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27.010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F</w:t>
            </w:r>
            <w:r>
              <w:rPr>
                <w:rFonts w:ascii="黑体" w:hAnsi="黑体" w:eastAsia="黑体"/>
                <w:sz w:val="21"/>
                <w:szCs w:val="21"/>
              </w:rPr>
              <w:t>10</w:t>
            </w:r>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rFonts w:hint="eastAsia"/>
                <w:lang w:val="en-US" w:eastAsia="zh-CN"/>
              </w:rPr>
              <w:t>3211</w:t>
            </w:r>
            <w:r>
              <w:rPr>
                <w:szCs w:val="96"/>
              </w:rPr>
              <w:t>-XX</w:t>
            </w:r>
            <w:r>
              <w:rPr>
                <w:sz w:val="21"/>
                <w:szCs w:val="21"/>
              </w:rPr>
              <w:t xml:space="preserve"> </w:t>
            </w:r>
          </w:p>
        </w:tc>
      </w:tr>
    </w:tbl>
    <w:p>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lang w:eastAsia="zh-CN"/>
        </w:rPr>
        <w:t>镇江市</w:t>
      </w:r>
      <w:r>
        <w:rPr>
          <w:rFonts w:hint="eastAsia" w:ascii="黑体" w:hAnsi="黑体" w:eastAsia="黑体"/>
          <w:b w:val="0"/>
          <w:bCs w:val="0"/>
          <w:w w:val="100"/>
          <w:sz w:val="48"/>
          <w:szCs w:val="48"/>
        </w:rPr>
        <w:t>地方标准</w:t>
      </w:r>
    </w:p>
    <w:bookmarkEnd w:id="0"/>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1" w:name="文字1"/>
      <w:r>
        <w:rPr>
          <w:lang w:val="fr-FR"/>
        </w:rPr>
        <w:instrText xml:space="preserve"> FORMTEXT </w:instrText>
      </w:r>
      <w:r>
        <w:fldChar w:fldCharType="separate"/>
      </w:r>
      <w:r>
        <w:rPr>
          <w:lang w:val="fr-FR"/>
        </w:rPr>
        <w:t>XX/T</w:t>
      </w:r>
      <w:r>
        <w:fldChar w:fldCharType="end"/>
      </w:r>
      <w:bookmarkEnd w:id="1"/>
      <w:r>
        <w:rPr>
          <w:lang w:val="fr-FR"/>
        </w:rPr>
        <w:t xml:space="preserve"> </w:t>
      </w:r>
      <w:r>
        <w:fldChar w:fldCharType="begin">
          <w:ffData>
            <w:name w:val="NSTD_CODE_F"/>
            <w:enabled/>
            <w:calcOnExit w:val="0"/>
            <w:textInput>
              <w:default w:val="XXXX"/>
            </w:textInput>
          </w:ffData>
        </w:fldChar>
      </w:r>
      <w:bookmarkStart w:id="2" w:name="NSTD_CODE_F"/>
      <w:r>
        <w:rPr>
          <w:lang w:val="fr-FR"/>
        </w:rPr>
        <w:instrText xml:space="preserve"> FORMTEXT </w:instrText>
      </w:r>
      <w:r>
        <w:fldChar w:fldCharType="separate"/>
      </w:r>
      <w:r>
        <w:rPr>
          <w:lang w:val="fr-FR"/>
        </w:rPr>
        <w:t>XXXX</w:t>
      </w:r>
      <w:r>
        <w:fldChar w:fldCharType="end"/>
      </w:r>
      <w:bookmarkEnd w:id="2"/>
      <w:r>
        <w:rPr>
          <w:rFonts w:hAnsi="黑体"/>
          <w:lang w:val="fr-FR"/>
        </w:rPr>
        <w:t>—</w:t>
      </w:r>
      <w:r>
        <w:t>2023</w:t>
      </w:r>
    </w:p>
    <w:p>
      <w:pPr>
        <w:pStyle w:val="196"/>
        <w:framePr/>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rPr>
          <w:rFonts w:hint="eastAsia"/>
        </w:rPr>
        <w:t>社区公共建筑低碳评价规范</w:t>
      </w:r>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t>Specification for low carbon evaluation of community public buildings</w:t>
      </w:r>
    </w:p>
    <w:p>
      <w:pPr>
        <w:framePr w:w="9639" w:h="6974" w:hRule="exact" w:wrap="around" w:vAnchor="page" w:hAnchor="page" w:x="1419" w:y="6408" w:anchorLock="1"/>
        <w:spacing w:line="760" w:lineRule="exact"/>
        <w:ind w:left="-1418"/>
      </w:pPr>
    </w:p>
    <w:p>
      <w:pPr>
        <w:pStyle w:val="193"/>
        <w:framePr w:wrap="around" w:y="14176"/>
      </w:pPr>
      <w:r>
        <w:rPr>
          <w:rFonts w:ascii="黑体"/>
        </w:rPr>
        <w:t>2023</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发布</w:t>
      </w:r>
    </w:p>
    <w:p>
      <w:pPr>
        <w:pStyle w:val="194"/>
        <w:framePr w:wrap="around" w:y="14176"/>
      </w:pPr>
      <w:r>
        <w:rPr>
          <w:rFonts w:ascii="黑体"/>
        </w:rPr>
        <w:t>2023</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实施</w:t>
      </w:r>
    </w:p>
    <w:p>
      <w:pPr>
        <w:pStyle w:val="151"/>
        <w:framePr w:h="584" w:hRule="exact" w:hSpace="181" w:vSpace="181" w:wrap="around" w:y="15027"/>
        <w:rPr>
          <w:rFonts w:hAnsi="黑体"/>
        </w:rPr>
      </w:pPr>
      <w:r>
        <w:rPr>
          <w:rFonts w:hint="eastAsia" w:hAnsi="黑体"/>
          <w:w w:val="100"/>
          <w:sz w:val="28"/>
        </w:rPr>
        <w:t>江苏省市场监督管理局</w:t>
      </w:r>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bookmarkStart w:id="79" w:name="_GoBack"/>
      <w:bookmarkEnd w:id="79"/>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7" w:name="BookMark1"/>
      <w:bookmarkStart w:id="8" w:name="_Toc146541054"/>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"_Toc146541108" </w:instrText>
      </w:r>
      <w:r>
        <w:fldChar w:fldCharType="separate"/>
      </w:r>
      <w:r>
        <w:rPr>
          <w:rStyle w:val="32"/>
        </w:rPr>
        <w:t>前言</w:t>
      </w:r>
      <w:r>
        <w:tab/>
      </w:r>
      <w:r>
        <w:fldChar w:fldCharType="begin"/>
      </w:r>
      <w:r>
        <w:instrText xml:space="preserve"> PAGEREF _Toc146541108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"_Toc146541109" </w:instrText>
      </w:r>
      <w:r>
        <w:fldChar w:fldCharType="separate"/>
      </w:r>
      <w:r>
        <w:rPr>
          <w:rStyle w:val="32"/>
        </w:rPr>
        <w:t>1  范围</w:t>
      </w:r>
      <w:r>
        <w:tab/>
      </w:r>
      <w:r>
        <w:fldChar w:fldCharType="begin"/>
      </w:r>
      <w:r>
        <w:instrText xml:space="preserve"> PAGEREF _Toc146541109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"_Toc146541110" </w:instrText>
      </w:r>
      <w:r>
        <w:fldChar w:fldCharType="separate"/>
      </w:r>
      <w:r>
        <w:rPr>
          <w:rStyle w:val="32"/>
        </w:rPr>
        <w:t>2  规范性引用文件</w:t>
      </w:r>
      <w:r>
        <w:tab/>
      </w:r>
      <w:r>
        <w:fldChar w:fldCharType="begin"/>
      </w:r>
      <w:r>
        <w:instrText xml:space="preserve"> PAGEREF _Toc146541110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"_Toc146541111" </w:instrText>
      </w:r>
      <w:r>
        <w:fldChar w:fldCharType="separate"/>
      </w:r>
      <w:r>
        <w:rPr>
          <w:rStyle w:val="32"/>
        </w:rPr>
        <w:t>3  术语和定义</w:t>
      </w:r>
      <w:r>
        <w:tab/>
      </w:r>
      <w:r>
        <w:fldChar w:fldCharType="begin"/>
      </w:r>
      <w:r>
        <w:instrText xml:space="preserve"> PAGEREF _Toc146541111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"_Toc146541112" </w:instrText>
      </w:r>
      <w:r>
        <w:fldChar w:fldCharType="separate"/>
      </w:r>
      <w:r>
        <w:rPr>
          <w:rStyle w:val="32"/>
        </w:rPr>
        <w:t>4  基本要求</w:t>
      </w:r>
      <w:r>
        <w:tab/>
      </w:r>
      <w:r>
        <w:fldChar w:fldCharType="begin"/>
      </w:r>
      <w:r>
        <w:instrText xml:space="preserve"> PAGEREF _Toc146541112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"_Toc146541113" </w:instrText>
      </w:r>
      <w:r>
        <w:fldChar w:fldCharType="separate"/>
      </w:r>
      <w:r>
        <w:rPr>
          <w:rStyle w:val="32"/>
        </w:rPr>
        <w:t>5  评价内容</w:t>
      </w:r>
      <w:r>
        <w:tab/>
      </w:r>
      <w:r>
        <w:fldChar w:fldCharType="begin"/>
      </w:r>
      <w:r>
        <w:instrText xml:space="preserve"> PAGEREF _Toc146541113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"_Toc146541114" </w:instrText>
      </w:r>
      <w:r>
        <w:fldChar w:fldCharType="separate"/>
      </w:r>
      <w:r>
        <w:rPr>
          <w:rStyle w:val="32"/>
        </w:rPr>
        <w:t>6  评价指标体系</w:t>
      </w:r>
      <w:r>
        <w:tab/>
      </w:r>
      <w:r>
        <w:fldChar w:fldCharType="begin"/>
      </w:r>
      <w:r>
        <w:instrText xml:space="preserve"> PAGEREF _Toc146541114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"_Toc146541115" </w:instrText>
      </w:r>
      <w:r>
        <w:fldChar w:fldCharType="separate"/>
      </w:r>
      <w:r>
        <w:rPr>
          <w:rStyle w:val="32"/>
        </w:rPr>
        <w:t>7  评价指标解释及计算</w:t>
      </w:r>
      <w:r>
        <w:tab/>
      </w:r>
      <w:r>
        <w:fldChar w:fldCharType="begin"/>
      </w:r>
      <w:r>
        <w:instrText xml:space="preserve"> PAGEREF _Toc146541115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"_Toc146541116" </w:instrText>
      </w:r>
      <w:r>
        <w:fldChar w:fldCharType="separate"/>
      </w:r>
      <w:r>
        <w:rPr>
          <w:rStyle w:val="32"/>
        </w:rPr>
        <w:t>8  评价等级</w:t>
      </w:r>
      <w:r>
        <w:tab/>
      </w:r>
      <w:r>
        <w:fldChar w:fldCharType="begin"/>
      </w:r>
      <w:r>
        <w:instrText xml:space="preserve"> PAGEREF _Toc146541116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"_Toc146541117" </w:instrText>
      </w:r>
      <w:r>
        <w:fldChar w:fldCharType="separate"/>
      </w:r>
      <w:r>
        <w:rPr>
          <w:rStyle w:val="32"/>
        </w:rPr>
        <w:t>9  评价程序</w:t>
      </w:r>
      <w:r>
        <w:tab/>
      </w:r>
      <w:r>
        <w:fldChar w:fldCharType="begin"/>
      </w:r>
      <w:r>
        <w:instrText xml:space="preserve"> PAGEREF _Toc146541117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"_Toc146541118" </w:instrText>
      </w:r>
      <w:r>
        <w:fldChar w:fldCharType="separate"/>
      </w:r>
      <w:r>
        <w:rPr>
          <w:rStyle w:val="32"/>
        </w:rPr>
        <w:t>10  评价结果应用</w:t>
      </w:r>
      <w:r>
        <w:tab/>
      </w:r>
      <w:r>
        <w:fldChar w:fldCharType="begin"/>
      </w:r>
      <w:r>
        <w:instrText xml:space="preserve"> PAGEREF _Toc146541118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"_Toc146541119" </w:instrText>
      </w:r>
      <w:r>
        <w:fldChar w:fldCharType="separate"/>
      </w:r>
      <w:r>
        <w:rPr>
          <w:rStyle w:val="32"/>
        </w:rPr>
        <w:t>附录A（资料性）  社区公共建筑低碳评价报告编写提纲及格式要求</w:t>
      </w:r>
      <w:r>
        <w:tab/>
      </w:r>
      <w:r>
        <w:fldChar w:fldCharType="begin"/>
      </w:r>
      <w:r>
        <w:instrText xml:space="preserve"> PAGEREF _Toc146541119 \h </w:instrText>
      </w:r>
      <w:r>
        <w:fldChar w:fldCharType="separate"/>
      </w:r>
      <w:r>
        <w:t>7</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7"/>
    <w:p>
      <w:pPr>
        <w:pStyle w:val="89"/>
        <w:spacing w:before="900" w:after="468"/>
      </w:pPr>
      <w:bookmarkStart w:id="9" w:name="_Toc146541108"/>
      <w:bookmarkStart w:id="10" w:name="BookMark2"/>
      <w:r>
        <w:rPr>
          <w:spacing w:val="320"/>
        </w:rPr>
        <w:t>前</w:t>
      </w:r>
      <w:r>
        <w:t>言</w:t>
      </w:r>
      <w:bookmarkEnd w:id="8"/>
      <w:bookmarkEnd w:id="9"/>
    </w:p>
    <w:p>
      <w:pPr>
        <w:pStyle w:val="56"/>
        <w:ind w:firstLine="420"/>
      </w:pPr>
      <w:r>
        <w:t>本文件按</w:t>
      </w:r>
      <w:r>
        <w:rPr>
          <w:rFonts w:ascii="Times New Roman" w:eastAsia="黑体"/>
        </w:rPr>
        <w:t>GB/T 1.1-2020</w:t>
      </w:r>
      <w:r>
        <w:t>《标准化工作导则 第1部分：标准化文件的结构和起草规则》</w:t>
      </w:r>
      <w:r>
        <w:rPr>
          <w:rFonts w:hint="eastAsia"/>
        </w:rPr>
        <w:t>的规定起草</w:t>
      </w:r>
      <w:r>
        <w:t>。</w:t>
      </w:r>
    </w:p>
    <w:p>
      <w:pPr>
        <w:pStyle w:val="56"/>
        <w:ind w:firstLine="420"/>
      </w:pPr>
      <w:r>
        <w:t xml:space="preserve">本文件由江苏省市场监督管理局提出并归口。 </w:t>
      </w:r>
    </w:p>
    <w:p>
      <w:pPr>
        <w:pStyle w:val="56"/>
        <w:ind w:firstLine="420"/>
      </w:pPr>
      <w:r>
        <w:t>本文件起草单位：</w:t>
      </w:r>
      <w:r>
        <w:rPr>
          <w:rFonts w:hint="eastAsia"/>
        </w:rPr>
        <w:t>镇江市京口路社区居民委员会、镇江市标准化研究中心、国家电网镇江供电公司、镇江市计量协会、镇江市计量检定测试中心、镇江市京口区正东路街道、镇江市京口区大市口街道、镇江市绿色三山环境公益服务中心、江苏现代低碳技术研究院、北京万德福兰科技有限公司。</w:t>
      </w:r>
    </w:p>
    <w:p>
      <w:pPr>
        <w:pStyle w:val="56"/>
        <w:ind w:firstLine="420"/>
      </w:pPr>
      <w:r>
        <w:t>本文件主要起草人：</w:t>
      </w:r>
      <w:r>
        <w:rPr>
          <w:rFonts w:hint="eastAsia"/>
        </w:rPr>
        <w:t>孟家园、赵小林、金亮、曹娟、季晓明、郑杨、缪春凤、陈志宏、褚磊、张骁劼、周轶、马一飞、朱明、夏勤、王雨薇、韩兵兵、林剑闽、沈赛男、朱昕姝、周金</w:t>
      </w: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10"/>
    <w:p>
      <w:pPr>
        <w:spacing w:line="20" w:lineRule="exact"/>
        <w:jc w:val="center"/>
        <w:rPr>
          <w:rFonts w:ascii="黑体" w:hAnsi="黑体" w:eastAsia="黑体"/>
          <w:sz w:val="32"/>
          <w:szCs w:val="32"/>
        </w:rPr>
      </w:pPr>
      <w:bookmarkStart w:id="11" w:name="BookMark4"/>
    </w:p>
    <w:p>
      <w:pPr>
        <w:spacing w:line="20" w:lineRule="exact"/>
        <w:jc w:val="center"/>
        <w:rPr>
          <w:rFonts w:ascii="黑体" w:hAnsi="黑体" w:eastAsia="黑体"/>
          <w:sz w:val="32"/>
          <w:szCs w:val="32"/>
        </w:rPr>
      </w:pPr>
    </w:p>
    <w:sdt>
      <w:sdtPr>
        <w:tag w:val="NEW_STAND_NAME"/>
        <w:id w:val="595910757"/>
        <w:lock w:val="sdtLocked"/>
        <w:placeholder>
          <w:docPart w:val="8AEAAE0676F34AEDA923473CBC390296"/>
        </w:placeholder>
      </w:sdtPr>
      <w:sdtContent>
        <w:p>
          <w:pPr>
            <w:pStyle w:val="177"/>
          </w:pPr>
          <w:bookmarkStart w:id="12" w:name="NEW_STAND_NAME"/>
          <w:r>
            <w:rPr>
              <w:rFonts w:hint="eastAsia"/>
            </w:rPr>
            <w:t>社区公共建筑低碳评价规范</w:t>
          </w:r>
        </w:p>
      </w:sdtContent>
    </w:sdt>
    <w:bookmarkEnd w:id="12"/>
    <w:p>
      <w:pPr>
        <w:pStyle w:val="104"/>
        <w:spacing w:before="312" w:after="312"/>
      </w:pPr>
      <w:bookmarkStart w:id="13" w:name="_Toc26986530"/>
      <w:bookmarkStart w:id="14" w:name="_Toc17233325"/>
      <w:bookmarkStart w:id="15" w:name="_Toc26986771"/>
      <w:bookmarkStart w:id="16" w:name="_Toc26718930"/>
      <w:bookmarkStart w:id="17" w:name="_Toc146541055"/>
      <w:bookmarkStart w:id="18" w:name="_Toc146541109"/>
      <w:bookmarkStart w:id="19" w:name="_Toc97191423"/>
      <w:bookmarkStart w:id="20" w:name="_Toc17233333"/>
      <w:bookmarkStart w:id="21" w:name="_Toc26648465"/>
      <w:bookmarkStart w:id="22" w:name="_Toc24884218"/>
      <w:bookmarkStart w:id="23" w:name="_Toc24884211"/>
      <w:r>
        <w:rPr>
          <w:rFonts w:hint="eastAsia"/>
        </w:rPr>
        <w:t>范围</w:t>
      </w:r>
      <w:bookmarkEnd w:id="13"/>
      <w:bookmarkEnd w:id="14"/>
      <w:bookmarkEnd w:id="15"/>
      <w:bookmarkEnd w:id="16"/>
      <w:bookmarkEnd w:id="17"/>
      <w:bookmarkEnd w:id="18"/>
      <w:bookmarkEnd w:id="19"/>
      <w:bookmarkEnd w:id="20"/>
      <w:bookmarkEnd w:id="21"/>
      <w:bookmarkEnd w:id="22"/>
      <w:bookmarkEnd w:id="23"/>
    </w:p>
    <w:p>
      <w:pPr>
        <w:pStyle w:val="56"/>
        <w:ind w:firstLine="420"/>
      </w:pPr>
      <w:bookmarkStart w:id="24" w:name="_Toc24884219"/>
      <w:bookmarkStart w:id="25" w:name="_Toc17233326"/>
      <w:bookmarkStart w:id="26" w:name="_Toc24884212"/>
      <w:bookmarkStart w:id="27" w:name="_Toc17233334"/>
      <w:bookmarkStart w:id="28" w:name="_Toc26648466"/>
      <w:r>
        <w:rPr>
          <w:rFonts w:hint="eastAsia"/>
        </w:rPr>
        <w:t>本文件规定了社区公共建筑低碳评价的基本要求、评价内容、评价指标体系、评价指标解释及计算、评价等级、评价程序和评价结果应用。</w:t>
      </w:r>
    </w:p>
    <w:p>
      <w:pPr>
        <w:pStyle w:val="56"/>
        <w:ind w:firstLine="420"/>
      </w:pPr>
      <w:r>
        <w:rPr>
          <w:rFonts w:hint="eastAsia"/>
        </w:rPr>
        <w:t>本文件适用于社区居民委员会、农村村民委员会公共建筑的低碳评价。</w:t>
      </w:r>
    </w:p>
    <w:p>
      <w:pPr>
        <w:pStyle w:val="104"/>
        <w:spacing w:before="312" w:after="312"/>
      </w:pPr>
      <w:bookmarkStart w:id="29" w:name="_Toc146541110"/>
      <w:bookmarkStart w:id="30" w:name="_Toc26986772"/>
      <w:bookmarkStart w:id="31" w:name="_Toc146541056"/>
      <w:bookmarkStart w:id="32" w:name="_Toc97191424"/>
      <w:bookmarkStart w:id="33" w:name="_Toc26986531"/>
      <w:bookmarkStart w:id="34" w:name="_Toc26718931"/>
      <w:r>
        <w:rPr>
          <w:rFonts w:hint="eastAsia"/>
        </w:rPr>
        <w:t>规范性引用文件</w:t>
      </w:r>
      <w:bookmarkEnd w:id="24"/>
      <w:bookmarkEnd w:id="25"/>
      <w:bookmarkEnd w:id="26"/>
      <w:bookmarkEnd w:id="27"/>
      <w:bookmarkEnd w:id="28"/>
      <w:bookmarkEnd w:id="29"/>
      <w:bookmarkEnd w:id="30"/>
      <w:bookmarkEnd w:id="31"/>
      <w:bookmarkEnd w:id="32"/>
      <w:bookmarkEnd w:id="33"/>
      <w:bookmarkEnd w:id="34"/>
    </w:p>
    <w:sdt>
      <w:sdtPr>
        <w:rPr>
          <w:rFonts w:hint="eastAsia"/>
        </w:rPr>
        <w:id w:val="715848253"/>
        <w:placeholder>
          <w:docPart w:val="BCA62C8CB99E418FAB27BAD5911D91B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ascii="Times New Roman" w:eastAsia="黑体"/>
        </w:rPr>
        <w:t>GB 8978</w:t>
      </w:r>
      <w:r>
        <w:rPr>
          <w:rFonts w:ascii="Times New Roman" w:eastAsia="黑体"/>
        </w:rPr>
        <w:t xml:space="preserve"> </w:t>
      </w:r>
      <w:r>
        <w:rPr>
          <w:rFonts w:hint="eastAsia"/>
        </w:rPr>
        <w:t>污水综合排放标准</w:t>
      </w:r>
    </w:p>
    <w:p>
      <w:pPr>
        <w:pStyle w:val="56"/>
        <w:ind w:firstLine="420"/>
      </w:pPr>
      <w:r>
        <w:rPr>
          <w:rFonts w:hint="eastAsia" w:ascii="Times New Roman" w:eastAsia="黑体"/>
        </w:rPr>
        <w:t>GB/T 32150</w:t>
      </w:r>
      <w:r>
        <w:rPr>
          <w:rFonts w:ascii="Times New Roman" w:eastAsia="黑体"/>
        </w:rPr>
        <w:t xml:space="preserve"> </w:t>
      </w:r>
      <w:r>
        <w:rPr>
          <w:rFonts w:hint="eastAsia"/>
        </w:rPr>
        <w:t>工业企业温室气体排放核算和报告通则</w:t>
      </w:r>
    </w:p>
    <w:p>
      <w:pPr>
        <w:pStyle w:val="56"/>
        <w:ind w:firstLine="420"/>
      </w:pPr>
      <w:r>
        <w:rPr>
          <w:rFonts w:hint="eastAsia" w:ascii="Times New Roman" w:eastAsia="黑体"/>
        </w:rPr>
        <w:t>GB/T 32910.4</w:t>
      </w:r>
      <w:r>
        <w:rPr>
          <w:rFonts w:ascii="Times New Roman" w:eastAsia="黑体"/>
        </w:rPr>
        <w:t xml:space="preserve"> </w:t>
      </w:r>
      <w:r>
        <w:rPr>
          <w:rFonts w:hint="eastAsia"/>
        </w:rPr>
        <w:t>数据中心 资源利用第4部分：可再生能源利用率</w:t>
      </w:r>
    </w:p>
    <w:p>
      <w:pPr>
        <w:pStyle w:val="56"/>
        <w:ind w:firstLine="420"/>
      </w:pPr>
      <w:r>
        <w:rPr>
          <w:rFonts w:hint="eastAsia" w:ascii="Times New Roman" w:eastAsia="黑体"/>
        </w:rPr>
        <w:t>GB/T 50378</w:t>
      </w:r>
      <w:r>
        <w:t xml:space="preserve"> </w:t>
      </w:r>
      <w:r>
        <w:rPr>
          <w:rFonts w:hint="eastAsia"/>
        </w:rPr>
        <w:t xml:space="preserve">绿色建筑评价标准 </w:t>
      </w:r>
    </w:p>
    <w:p>
      <w:pPr>
        <w:pStyle w:val="56"/>
        <w:ind w:firstLine="420"/>
      </w:pPr>
      <w:r>
        <w:rPr>
          <w:rFonts w:hint="eastAsia" w:ascii="Times New Roman" w:eastAsia="黑体"/>
        </w:rPr>
        <w:t>CJJ</w:t>
      </w:r>
      <w:r>
        <w:rPr>
          <w:rFonts w:ascii="Times New Roman" w:eastAsia="黑体"/>
        </w:rPr>
        <w:t xml:space="preserve"> </w:t>
      </w:r>
      <w:r>
        <w:rPr>
          <w:rFonts w:hint="eastAsia" w:ascii="Times New Roman" w:eastAsia="黑体"/>
        </w:rPr>
        <w:t>27</w:t>
      </w:r>
      <w:r>
        <w:rPr>
          <w:rFonts w:ascii="Times New Roman" w:eastAsia="黑体"/>
        </w:rPr>
        <w:t xml:space="preserve"> </w:t>
      </w:r>
      <w:r>
        <w:rPr>
          <w:rFonts w:hint="eastAsia"/>
        </w:rPr>
        <w:t>城镇环境卫生设施设置标准</w:t>
      </w:r>
    </w:p>
    <w:p>
      <w:pPr>
        <w:pStyle w:val="56"/>
        <w:ind w:firstLine="420"/>
      </w:pPr>
      <w:r>
        <w:rPr>
          <w:rFonts w:hint="eastAsia" w:ascii="Times New Roman" w:eastAsia="黑体"/>
        </w:rPr>
        <w:t>DB32/T</w:t>
      </w:r>
      <w:r>
        <w:rPr>
          <w:rFonts w:ascii="Times New Roman" w:eastAsia="黑体"/>
        </w:rPr>
        <w:t xml:space="preserve"> </w:t>
      </w:r>
      <w:r>
        <w:rPr>
          <w:rFonts w:hint="eastAsia" w:ascii="Times New Roman" w:eastAsia="黑体"/>
        </w:rPr>
        <w:t>4001</w:t>
      </w:r>
      <w:r>
        <w:rPr>
          <w:rFonts w:ascii="Times New Roman" w:eastAsia="黑体"/>
        </w:rPr>
        <w:t xml:space="preserve"> </w:t>
      </w:r>
      <w:r>
        <w:rPr>
          <w:rFonts w:hint="eastAsia"/>
        </w:rPr>
        <w:t>公共机构能耗定额及计算方法</w:t>
      </w:r>
    </w:p>
    <w:p>
      <w:pPr>
        <w:pStyle w:val="56"/>
        <w:ind w:firstLine="420"/>
      </w:pPr>
      <w:r>
        <w:rPr>
          <w:rFonts w:hint="eastAsia" w:ascii="Times New Roman" w:eastAsia="黑体"/>
        </w:rPr>
        <w:t>DB32/T</w:t>
      </w:r>
      <w:r>
        <w:rPr>
          <w:rFonts w:ascii="Times New Roman" w:eastAsia="黑体"/>
        </w:rPr>
        <w:t xml:space="preserve"> </w:t>
      </w:r>
      <w:r>
        <w:rPr>
          <w:rFonts w:hint="eastAsia" w:ascii="Times New Roman" w:eastAsia="黑体"/>
        </w:rPr>
        <w:t>4229</w:t>
      </w:r>
      <w:r>
        <w:t xml:space="preserve"> </w:t>
      </w:r>
      <w:r>
        <w:rPr>
          <w:rFonts w:hint="eastAsia"/>
        </w:rPr>
        <w:t>公共机构温室气体排放核算与报告要求</w:t>
      </w:r>
    </w:p>
    <w:p>
      <w:pPr>
        <w:pStyle w:val="104"/>
        <w:spacing w:before="312" w:after="312"/>
      </w:pPr>
      <w:bookmarkStart w:id="35" w:name="_Toc146541057"/>
      <w:bookmarkStart w:id="36" w:name="_Toc146541111"/>
      <w:bookmarkStart w:id="37" w:name="_Toc97191425"/>
      <w:r>
        <w:rPr>
          <w:rFonts w:hint="eastAsia"/>
          <w:szCs w:val="21"/>
        </w:rPr>
        <w:t>术语和定义</w:t>
      </w:r>
      <w:bookmarkEnd w:id="35"/>
      <w:bookmarkEnd w:id="36"/>
      <w:bookmarkEnd w:id="37"/>
    </w:p>
    <w:sdt>
      <w:sdtPr>
        <w:id w:val="-1909835108"/>
        <w:placeholder>
          <w:docPart w:val="1700685737B34A0D8C56CD4A3384303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38" w:name="_Toc26986532"/>
          <w:bookmarkEnd w:id="38"/>
          <w:r>
            <w:t>下列术语和定义适用于本文件。</w:t>
          </w:r>
        </w:p>
      </w:sdtContent>
    </w:sdt>
    <w:p>
      <w:pPr>
        <w:pStyle w:val="162"/>
      </w:pPr>
      <w:bookmarkStart w:id="39" w:name="_Toc146541058"/>
      <w:bookmarkEnd w:id="39"/>
    </w:p>
    <w:p>
      <w:pPr>
        <w:pStyle w:val="56"/>
        <w:ind w:firstLine="420"/>
        <w:rPr>
          <w:rFonts w:ascii="黑体" w:hAnsi="黑体" w:eastAsia="黑体"/>
        </w:rPr>
      </w:pPr>
      <w:r>
        <w:rPr>
          <w:rFonts w:hint="eastAsia" w:ascii="黑体" w:hAnsi="黑体" w:eastAsia="黑体"/>
        </w:rPr>
        <w:t xml:space="preserve">社区公共建筑 </w:t>
      </w:r>
      <w:r>
        <w:rPr>
          <w:rFonts w:ascii="Times New Roman" w:eastAsia="黑体"/>
        </w:rPr>
        <w:t>community Public Buildingsr</w:t>
      </w:r>
    </w:p>
    <w:p>
      <w:pPr>
        <w:pStyle w:val="56"/>
        <w:ind w:firstLine="420"/>
      </w:pPr>
      <w:r>
        <w:rPr>
          <w:rFonts w:hint="eastAsia"/>
        </w:rPr>
        <w:t>指社区居民委员会、农村村民委员会等公共建筑。</w:t>
      </w:r>
    </w:p>
    <w:p>
      <w:pPr>
        <w:pStyle w:val="162"/>
      </w:pPr>
      <w:bookmarkStart w:id="40" w:name="_Toc146541059"/>
      <w:bookmarkEnd w:id="40"/>
    </w:p>
    <w:p>
      <w:pPr>
        <w:pStyle w:val="56"/>
        <w:ind w:firstLine="420"/>
        <w:rPr>
          <w:rFonts w:ascii="黑体" w:hAnsi="黑体" w:eastAsia="黑体"/>
        </w:rPr>
      </w:pPr>
      <w:r>
        <w:rPr>
          <w:rFonts w:hint="eastAsia" w:ascii="黑体" w:hAnsi="黑体" w:eastAsia="黑体"/>
        </w:rPr>
        <w:t>温室气体</w:t>
      </w:r>
      <w:r>
        <w:rPr>
          <w:rFonts w:ascii="黑体" w:hAnsi="黑体" w:eastAsia="黑体"/>
        </w:rPr>
        <w:t xml:space="preserve"> </w:t>
      </w:r>
      <w:r>
        <w:rPr>
          <w:rFonts w:ascii="Times New Roman" w:eastAsia="黑体"/>
        </w:rPr>
        <w:t>greenhouse gas</w:t>
      </w:r>
    </w:p>
    <w:p>
      <w:pPr>
        <w:pStyle w:val="56"/>
        <w:ind w:firstLine="420"/>
      </w:pPr>
      <w:r>
        <w:rPr>
          <w:rFonts w:hint="eastAsia"/>
        </w:rPr>
        <w:t>大气层中自然存在的和由于人类活动产生的，能够吸收和散发由地球表面、大气层和云层所产生的、波长在红外光谱内的辐射的气态成分。社区公共建筑温室气体排放主要指二氧化碳（</w:t>
      </w:r>
      <w:r>
        <w:rPr>
          <w:rFonts w:ascii="Times New Roman"/>
        </w:rPr>
        <w:t>CO</w:t>
      </w:r>
      <w:r>
        <w:rPr>
          <w:rFonts w:ascii="Times New Roman"/>
          <w:vertAlign w:val="subscript"/>
        </w:rPr>
        <w:t>2</w:t>
      </w:r>
      <w:r>
        <w:rPr>
          <w:rFonts w:hint="eastAsia"/>
        </w:rPr>
        <w:t xml:space="preserve">）。 </w:t>
      </w:r>
    </w:p>
    <w:p>
      <w:pPr>
        <w:pStyle w:val="56"/>
        <w:ind w:firstLine="420"/>
      </w:pPr>
      <w:r>
        <w:rPr>
          <w:rFonts w:hint="eastAsia"/>
        </w:rPr>
        <w:t>[来源：</w:t>
      </w:r>
      <w:r>
        <w:rPr>
          <w:rFonts w:ascii="Times New Roman"/>
        </w:rPr>
        <w:t>GB/T 32150-2015，3.1，</w:t>
      </w:r>
      <w:r>
        <w:rPr>
          <w:rFonts w:hint="eastAsia"/>
        </w:rPr>
        <w:t xml:space="preserve">有修改] </w:t>
      </w:r>
    </w:p>
    <w:p>
      <w:pPr>
        <w:pStyle w:val="162"/>
      </w:pPr>
      <w:bookmarkStart w:id="41" w:name="_Toc146541060"/>
      <w:bookmarkEnd w:id="41"/>
    </w:p>
    <w:p>
      <w:pPr>
        <w:pStyle w:val="56"/>
        <w:ind w:firstLine="420"/>
        <w:rPr>
          <w:rFonts w:ascii="黑体" w:hAnsi="黑体" w:eastAsia="黑体"/>
        </w:rPr>
      </w:pPr>
      <w:r>
        <w:rPr>
          <w:rFonts w:hint="eastAsia" w:ascii="黑体" w:hAnsi="黑体" w:eastAsia="黑体"/>
        </w:rPr>
        <w:t xml:space="preserve">温室气体排放源 </w:t>
      </w:r>
      <w:r>
        <w:rPr>
          <w:rFonts w:ascii="Times New Roman" w:eastAsia="黑体"/>
        </w:rPr>
        <w:t>greenhouse gas source</w:t>
      </w:r>
    </w:p>
    <w:p>
      <w:pPr>
        <w:pStyle w:val="56"/>
        <w:ind w:firstLine="420"/>
      </w:pPr>
      <w:r>
        <w:rPr>
          <w:rFonts w:hint="eastAsia"/>
        </w:rPr>
        <w:t>向大气中排放温室气体的物理单元或过程，包括电力和天然气等。</w:t>
      </w:r>
    </w:p>
    <w:p>
      <w:pPr>
        <w:pStyle w:val="56"/>
        <w:ind w:firstLine="420"/>
      </w:pPr>
      <w:r>
        <w:rPr>
          <w:rFonts w:hint="eastAsia"/>
        </w:rPr>
        <w:t>[来源：</w:t>
      </w:r>
      <w:r>
        <w:rPr>
          <w:rFonts w:ascii="Times New Roman" w:eastAsia="黑体"/>
        </w:rPr>
        <w:t>GB/T 32150-2015，3.5</w:t>
      </w:r>
      <w:r>
        <w:rPr>
          <w:rFonts w:hint="eastAsia"/>
        </w:rPr>
        <w:t xml:space="preserve">，有修改] </w:t>
      </w:r>
    </w:p>
    <w:p>
      <w:pPr>
        <w:pStyle w:val="162"/>
      </w:pPr>
      <w:bookmarkStart w:id="42" w:name="_Toc146541061"/>
      <w:bookmarkEnd w:id="42"/>
    </w:p>
    <w:p>
      <w:pPr>
        <w:pStyle w:val="56"/>
        <w:ind w:firstLine="420"/>
        <w:rPr>
          <w:rFonts w:ascii="Times New Roman" w:eastAsia="黑体"/>
        </w:rPr>
      </w:pPr>
      <w:r>
        <w:rPr>
          <w:rFonts w:hint="eastAsia" w:ascii="黑体" w:hAnsi="黑体" w:eastAsia="黑体"/>
        </w:rPr>
        <w:t xml:space="preserve">可再生能源 </w:t>
      </w:r>
      <w:r>
        <w:rPr>
          <w:rFonts w:ascii="Times New Roman" w:eastAsia="黑体"/>
        </w:rPr>
        <w:t>renewable energy</w:t>
      </w:r>
    </w:p>
    <w:p>
      <w:pPr>
        <w:pStyle w:val="56"/>
        <w:ind w:firstLine="420"/>
      </w:pPr>
      <w:r>
        <w:rPr>
          <w:rFonts w:hint="eastAsia"/>
        </w:rPr>
        <w:t xml:space="preserve"> 一次能源的一类，在一定程度上，地球上此类能源可在自然过程中再生，包括例如太阳能、水能、风能、生物质能、海洋能、地热能等。</w:t>
      </w:r>
    </w:p>
    <w:p>
      <w:pPr>
        <w:pStyle w:val="56"/>
        <w:ind w:firstLine="420"/>
      </w:pPr>
      <w:r>
        <w:rPr>
          <w:rFonts w:hint="eastAsia"/>
        </w:rPr>
        <w:t>[来源：</w:t>
      </w:r>
      <w:r>
        <w:rPr>
          <w:rFonts w:ascii="Times New Roman" w:eastAsia="黑体"/>
        </w:rPr>
        <w:t>GB/T 32910.4-2021</w:t>
      </w:r>
      <w:r>
        <w:rPr>
          <w:rFonts w:hint="eastAsia"/>
        </w:rPr>
        <w:t xml:space="preserve">，有修改] </w:t>
      </w:r>
    </w:p>
    <w:p>
      <w:pPr>
        <w:pStyle w:val="105"/>
        <w:spacing w:before="156" w:after="156"/>
      </w:pPr>
      <w:bookmarkStart w:id="43" w:name="_Toc146541062"/>
      <w:bookmarkEnd w:id="43"/>
    </w:p>
    <w:p>
      <w:pPr>
        <w:pStyle w:val="56"/>
        <w:ind w:firstLine="420"/>
        <w:rPr>
          <w:rFonts w:ascii="黑体" w:hAnsi="黑体" w:eastAsia="黑体"/>
        </w:rPr>
      </w:pPr>
      <w:r>
        <w:rPr>
          <w:rFonts w:hint="eastAsia" w:ascii="黑体" w:hAnsi="黑体" w:eastAsia="黑体"/>
        </w:rPr>
        <w:t xml:space="preserve">再生资源 </w:t>
      </w:r>
      <w:r>
        <w:rPr>
          <w:rFonts w:hint="eastAsia" w:ascii="Times New Roman" w:eastAsia="黑体"/>
        </w:rPr>
        <w:t>recycled resources</w:t>
      </w:r>
    </w:p>
    <w:p>
      <w:pPr>
        <w:pStyle w:val="56"/>
        <w:ind w:firstLine="420"/>
      </w:pPr>
      <w:r>
        <w:rPr>
          <w:rFonts w:hint="eastAsia"/>
        </w:rPr>
        <w:t>居民生活消费过程中产生的，已经失去全部或部分使用价值，经过回收、加工处理，能够使其重新获得使用价值的各种废弃物。</w:t>
      </w:r>
    </w:p>
    <w:p>
      <w:pPr>
        <w:pStyle w:val="104"/>
        <w:spacing w:before="312" w:after="312"/>
      </w:pPr>
      <w:bookmarkStart w:id="44" w:name="_Toc146541063"/>
      <w:bookmarkStart w:id="45" w:name="_Toc146541112"/>
      <w:r>
        <w:rPr>
          <w:rFonts w:hint="eastAsia"/>
        </w:rPr>
        <w:t>基本要求</w:t>
      </w:r>
      <w:bookmarkEnd w:id="44"/>
      <w:bookmarkEnd w:id="45"/>
    </w:p>
    <w:p>
      <w:pPr>
        <w:pStyle w:val="105"/>
        <w:spacing w:before="156" w:after="156"/>
      </w:pPr>
      <w:bookmarkStart w:id="46" w:name="_Toc146541064"/>
      <w:r>
        <w:rPr>
          <w:rFonts w:hint="eastAsia"/>
        </w:rPr>
        <w:t>一般要求</w:t>
      </w:r>
      <w:bookmarkEnd w:id="46"/>
    </w:p>
    <w:p>
      <w:pPr>
        <w:pStyle w:val="165"/>
      </w:pPr>
      <w:r>
        <w:rPr>
          <w:rFonts w:hint="eastAsia"/>
        </w:rPr>
        <w:t>社区公共建筑具备独立的办公场所。</w:t>
      </w:r>
    </w:p>
    <w:p>
      <w:pPr>
        <w:pStyle w:val="165"/>
      </w:pPr>
      <w:r>
        <w:rPr>
          <w:rFonts w:hint="eastAsia"/>
        </w:rPr>
        <w:t>社区公共建筑污水排放应符合</w:t>
      </w:r>
      <w:r>
        <w:rPr>
          <w:rFonts w:ascii="Times New Roman"/>
        </w:rPr>
        <w:t>GB 8978</w:t>
      </w:r>
      <w:r>
        <w:rPr>
          <w:rFonts w:hint="eastAsia"/>
        </w:rPr>
        <w:t>《污水综合排放标准》的有关规定。</w:t>
      </w:r>
    </w:p>
    <w:p>
      <w:pPr>
        <w:pStyle w:val="165"/>
      </w:pPr>
      <w:r>
        <w:rPr>
          <w:rFonts w:hint="eastAsia"/>
        </w:rPr>
        <w:t>社区公共建筑应建立低碳管理机制，制定低碳管理制度。</w:t>
      </w:r>
    </w:p>
    <w:p>
      <w:pPr>
        <w:pStyle w:val="105"/>
        <w:spacing w:before="156" w:after="156"/>
      </w:pPr>
      <w:bookmarkStart w:id="47" w:name="_Toc146541065"/>
      <w:r>
        <w:rPr>
          <w:rFonts w:hint="eastAsia"/>
        </w:rPr>
        <w:t>能源管理</w:t>
      </w:r>
      <w:bookmarkEnd w:id="47"/>
      <w:r>
        <w:rPr>
          <w:rFonts w:hint="eastAsia"/>
        </w:rPr>
        <w:t xml:space="preserve">  </w:t>
      </w:r>
    </w:p>
    <w:p>
      <w:pPr>
        <w:pStyle w:val="165"/>
      </w:pPr>
      <w:r>
        <w:rPr>
          <w:rFonts w:hint="eastAsia"/>
        </w:rPr>
        <w:t>社区公共建筑优先实施提升能源利用效率措施。</w:t>
      </w:r>
    </w:p>
    <w:p>
      <w:pPr>
        <w:pStyle w:val="165"/>
      </w:pPr>
      <w:r>
        <w:rPr>
          <w:rFonts w:hint="eastAsia"/>
        </w:rPr>
        <w:t>社区公共建筑应建立本单位能源资源统计报表制度，报表数据应能追溯采集记录。</w:t>
      </w:r>
    </w:p>
    <w:p>
      <w:pPr>
        <w:pStyle w:val="105"/>
        <w:spacing w:before="156" w:after="156"/>
      </w:pPr>
      <w:bookmarkStart w:id="48" w:name="_Toc146541066"/>
      <w:r>
        <w:rPr>
          <w:rFonts w:hint="eastAsia"/>
        </w:rPr>
        <w:t>绿色管理</w:t>
      </w:r>
      <w:bookmarkEnd w:id="48"/>
    </w:p>
    <w:p>
      <w:pPr>
        <w:pStyle w:val="165"/>
      </w:pPr>
      <w:r>
        <w:rPr>
          <w:rFonts w:hint="eastAsia"/>
        </w:rPr>
        <w:t>实施环境绿化，因地制宜做好室内外绿化、美化，发挥绿色植物群体光合固碳和绿化土壤的吸碳贮碳功能。</w:t>
      </w:r>
    </w:p>
    <w:p>
      <w:pPr>
        <w:pStyle w:val="165"/>
      </w:pPr>
      <w:r>
        <w:rPr>
          <w:rFonts w:hint="eastAsia"/>
        </w:rPr>
        <w:t>实施绿色行为，按照相关机构及</w:t>
      </w:r>
      <w:r>
        <w:rPr>
          <w:rFonts w:ascii="Times New Roman"/>
        </w:rPr>
        <w:t>CJJ 27</w:t>
      </w:r>
      <w:r>
        <w:rPr>
          <w:rFonts w:hint="eastAsia"/>
        </w:rPr>
        <w:t>《城镇环境卫生设施设置标准》要求，实施垃圾分类，公共区域进行绿色低碳标语宣传。</w:t>
      </w:r>
    </w:p>
    <w:p>
      <w:pPr>
        <w:pStyle w:val="104"/>
        <w:spacing w:before="312" w:after="312"/>
      </w:pPr>
      <w:bookmarkStart w:id="49" w:name="_Toc146541067"/>
      <w:bookmarkStart w:id="50" w:name="_Toc146541113"/>
      <w:r>
        <w:rPr>
          <w:rFonts w:hint="eastAsia"/>
        </w:rPr>
        <w:t>评价内容</w:t>
      </w:r>
      <w:bookmarkEnd w:id="49"/>
      <w:bookmarkEnd w:id="50"/>
    </w:p>
    <w:p>
      <w:pPr>
        <w:pStyle w:val="105"/>
        <w:spacing w:before="156" w:after="156"/>
      </w:pPr>
      <w:bookmarkStart w:id="51" w:name="_Toc146541068"/>
      <w:r>
        <w:rPr>
          <w:rFonts w:hint="eastAsia"/>
        </w:rPr>
        <w:t>评价分类</w:t>
      </w:r>
      <w:bookmarkEnd w:id="51"/>
    </w:p>
    <w:p>
      <w:pPr>
        <w:pStyle w:val="56"/>
        <w:ind w:firstLine="420"/>
      </w:pPr>
      <w:r>
        <w:rPr>
          <w:rFonts w:hint="eastAsia"/>
        </w:rPr>
        <w:t>社区公共建筑低碳评价可分为自评价和第三方评价两种方式。</w:t>
      </w:r>
    </w:p>
    <w:p>
      <w:pPr>
        <w:pStyle w:val="105"/>
        <w:spacing w:before="156" w:after="156"/>
      </w:pPr>
      <w:bookmarkStart w:id="52" w:name="_Toc146541069"/>
      <w:r>
        <w:rPr>
          <w:rFonts w:hint="eastAsia"/>
        </w:rPr>
        <w:t>评价对象</w:t>
      </w:r>
      <w:bookmarkEnd w:id="52"/>
    </w:p>
    <w:p>
      <w:pPr>
        <w:pStyle w:val="56"/>
        <w:ind w:firstLine="420"/>
      </w:pPr>
      <w:r>
        <w:rPr>
          <w:rFonts w:hint="eastAsia"/>
        </w:rPr>
        <w:t>评价对象为社区居民委员会、农村村民委员会公共建筑及其配套设施。</w:t>
      </w:r>
    </w:p>
    <w:p>
      <w:pPr>
        <w:pStyle w:val="105"/>
        <w:spacing w:before="156" w:after="156"/>
      </w:pPr>
      <w:bookmarkStart w:id="53" w:name="_Toc146541070"/>
      <w:r>
        <w:rPr>
          <w:rFonts w:hint="eastAsia"/>
        </w:rPr>
        <w:t>评价边界</w:t>
      </w:r>
      <w:bookmarkEnd w:id="53"/>
    </w:p>
    <w:p>
      <w:pPr>
        <w:pStyle w:val="56"/>
        <w:ind w:firstLine="420"/>
      </w:pPr>
      <w:r>
        <w:rPr>
          <w:rFonts w:hint="eastAsia"/>
        </w:rPr>
        <w:t>社区居民委员会、农村村民委员会的边界为其所辖地理范围。如果申请评价时是以多个社区公共建筑联合申报，则边界为各个独立边界的组合，且需形成统一命名。</w:t>
      </w:r>
    </w:p>
    <w:p>
      <w:pPr>
        <w:pStyle w:val="104"/>
        <w:spacing w:before="312" w:after="312"/>
      </w:pPr>
      <w:bookmarkStart w:id="54" w:name="_Toc146541071"/>
      <w:bookmarkStart w:id="55" w:name="_Toc146541114"/>
      <w:r>
        <w:rPr>
          <w:rFonts w:hint="eastAsia"/>
        </w:rPr>
        <w:t>评价指标体系</w:t>
      </w:r>
      <w:bookmarkEnd w:id="54"/>
      <w:bookmarkEnd w:id="55"/>
    </w:p>
    <w:p>
      <w:pPr>
        <w:pStyle w:val="56"/>
        <w:ind w:firstLine="420"/>
      </w:pPr>
      <w:r>
        <w:rPr>
          <w:rFonts w:hint="eastAsia"/>
        </w:rPr>
        <w:t>社区公共建筑低碳评价指标包含社区公共建筑办公场所碳排放水平、能源利用、环境资源、固体废弃物处理、公共设施建设、公共治理、公共参与，评价指标分值总计100分，具体评价见表1所示。</w:t>
      </w:r>
    </w:p>
    <w:p>
      <w:pPr>
        <w:pStyle w:val="112"/>
        <w:spacing w:before="156" w:after="156"/>
      </w:pPr>
      <w:r>
        <w:rPr>
          <w:rFonts w:hint="eastAsia"/>
        </w:rPr>
        <w:t>社区公共建筑低碳评价标准体系</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57"/>
        <w:gridCol w:w="1418"/>
        <w:gridCol w:w="1134"/>
        <w:gridCol w:w="2268"/>
        <w:gridCol w:w="850"/>
        <w:gridCol w:w="567"/>
        <w:gridCol w:w="1276"/>
        <w:gridCol w:w="12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tblHeader/>
          <w:jc w:val="center"/>
        </w:trPr>
        <w:tc>
          <w:tcPr>
            <w:tcW w:w="557" w:type="dxa"/>
            <w:tcBorders>
              <w:top w:val="single" w:color="auto" w:sz="8" w:space="0"/>
              <w:bottom w:val="single" w:color="auto" w:sz="8" w:space="0"/>
            </w:tcBorders>
            <w:shd w:val="clear" w:color="auto" w:fill="auto"/>
            <w:vAlign w:val="center"/>
          </w:tcPr>
          <w:p>
            <w:pPr>
              <w:pStyle w:val="178"/>
              <w:rPr>
                <w:b/>
              </w:rPr>
            </w:pPr>
            <w:r>
              <w:rPr>
                <w:rFonts w:hint="eastAsia"/>
                <w:b/>
              </w:rPr>
              <w:t>序号</w:t>
            </w:r>
          </w:p>
        </w:tc>
        <w:tc>
          <w:tcPr>
            <w:tcW w:w="1418" w:type="dxa"/>
            <w:tcBorders>
              <w:top w:val="single" w:color="auto" w:sz="8" w:space="0"/>
              <w:bottom w:val="single" w:color="auto" w:sz="8" w:space="0"/>
            </w:tcBorders>
            <w:shd w:val="clear" w:color="auto" w:fill="auto"/>
            <w:vAlign w:val="center"/>
          </w:tcPr>
          <w:p>
            <w:pPr>
              <w:pStyle w:val="178"/>
              <w:rPr>
                <w:b/>
              </w:rPr>
            </w:pPr>
            <w:r>
              <w:rPr>
                <w:rFonts w:hint="eastAsia"/>
                <w:b/>
              </w:rPr>
              <w:t>指标内容</w:t>
            </w:r>
          </w:p>
        </w:tc>
        <w:tc>
          <w:tcPr>
            <w:tcW w:w="3402" w:type="dxa"/>
            <w:gridSpan w:val="2"/>
            <w:tcBorders>
              <w:top w:val="single" w:color="auto" w:sz="8" w:space="0"/>
              <w:bottom w:val="single" w:color="auto" w:sz="8" w:space="0"/>
            </w:tcBorders>
            <w:shd w:val="clear" w:color="auto" w:fill="auto"/>
            <w:vAlign w:val="center"/>
          </w:tcPr>
          <w:p>
            <w:pPr>
              <w:pStyle w:val="178"/>
              <w:rPr>
                <w:b/>
              </w:rPr>
            </w:pPr>
            <w:r>
              <w:rPr>
                <w:rFonts w:hint="eastAsia"/>
                <w:b/>
              </w:rPr>
              <w:t>指标名称</w:t>
            </w:r>
          </w:p>
        </w:tc>
        <w:tc>
          <w:tcPr>
            <w:tcW w:w="850" w:type="dxa"/>
            <w:tcBorders>
              <w:top w:val="single" w:color="auto" w:sz="8" w:space="0"/>
              <w:bottom w:val="single" w:color="auto" w:sz="8" w:space="0"/>
            </w:tcBorders>
            <w:shd w:val="clear" w:color="auto" w:fill="auto"/>
            <w:vAlign w:val="center"/>
          </w:tcPr>
          <w:p>
            <w:pPr>
              <w:pStyle w:val="178"/>
              <w:rPr>
                <w:b/>
              </w:rPr>
            </w:pPr>
            <w:r>
              <w:rPr>
                <w:rFonts w:hint="eastAsia"/>
                <w:b/>
              </w:rPr>
              <w:t>评分标准</w:t>
            </w:r>
          </w:p>
        </w:tc>
        <w:tc>
          <w:tcPr>
            <w:tcW w:w="567" w:type="dxa"/>
            <w:tcBorders>
              <w:top w:val="single" w:color="auto" w:sz="8" w:space="0"/>
              <w:bottom w:val="single" w:color="auto" w:sz="8" w:space="0"/>
            </w:tcBorders>
            <w:shd w:val="clear" w:color="auto" w:fill="auto"/>
            <w:vAlign w:val="center"/>
          </w:tcPr>
          <w:p>
            <w:pPr>
              <w:pStyle w:val="178"/>
              <w:rPr>
                <w:b/>
              </w:rPr>
            </w:pPr>
            <w:r>
              <w:rPr>
                <w:rFonts w:hint="eastAsia"/>
                <w:b/>
              </w:rPr>
              <w:t>分数</w:t>
            </w:r>
          </w:p>
        </w:tc>
        <w:tc>
          <w:tcPr>
            <w:tcW w:w="1276" w:type="dxa"/>
            <w:tcBorders>
              <w:top w:val="single" w:color="auto" w:sz="8" w:space="0"/>
              <w:bottom w:val="single" w:color="auto" w:sz="8" w:space="0"/>
            </w:tcBorders>
            <w:shd w:val="clear" w:color="auto" w:fill="auto"/>
            <w:vAlign w:val="center"/>
          </w:tcPr>
          <w:p>
            <w:pPr>
              <w:pStyle w:val="178"/>
              <w:rPr>
                <w:b/>
              </w:rPr>
            </w:pPr>
            <w:r>
              <w:rPr>
                <w:rFonts w:hint="eastAsia"/>
                <w:b/>
              </w:rPr>
              <w:t>备注</w:t>
            </w:r>
          </w:p>
        </w:tc>
        <w:tc>
          <w:tcPr>
            <w:tcW w:w="1264" w:type="dxa"/>
            <w:tcBorders>
              <w:top w:val="single" w:color="auto" w:sz="8" w:space="0"/>
              <w:bottom w:val="single" w:color="auto" w:sz="8" w:space="0"/>
            </w:tcBorders>
            <w:shd w:val="clear" w:color="auto" w:fill="auto"/>
            <w:vAlign w:val="center"/>
          </w:tcPr>
          <w:p>
            <w:pPr>
              <w:pStyle w:val="178"/>
              <w:rPr>
                <w:b/>
              </w:rPr>
            </w:pPr>
            <w:r>
              <w:rPr>
                <w:rFonts w:hint="eastAsia"/>
                <w:b/>
              </w:rPr>
              <w:t>指标类型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57" w:type="dxa"/>
            <w:vMerge w:val="restart"/>
            <w:tcBorders>
              <w:top w:val="single" w:color="auto" w:sz="8" w:space="0"/>
            </w:tcBorders>
            <w:shd w:val="clear" w:color="auto" w:fill="auto"/>
            <w:vAlign w:val="center"/>
          </w:tcPr>
          <w:p>
            <w:pPr>
              <w:pStyle w:val="178"/>
            </w:pPr>
            <w:r>
              <w:rPr>
                <w:rFonts w:hint="eastAsia"/>
              </w:rPr>
              <w:t>1</w:t>
            </w:r>
          </w:p>
        </w:tc>
        <w:tc>
          <w:tcPr>
            <w:tcW w:w="1418" w:type="dxa"/>
            <w:vMerge w:val="restart"/>
            <w:tcBorders>
              <w:top w:val="single" w:color="auto" w:sz="8" w:space="0"/>
            </w:tcBorders>
            <w:shd w:val="clear" w:color="auto" w:fill="auto"/>
            <w:vAlign w:val="center"/>
          </w:tcPr>
          <w:p>
            <w:pPr>
              <w:pStyle w:val="178"/>
            </w:pPr>
            <w:r>
              <w:rPr>
                <w:rFonts w:hint="eastAsia"/>
              </w:rPr>
              <w:t>碳排放水平</w:t>
            </w:r>
          </w:p>
        </w:tc>
        <w:tc>
          <w:tcPr>
            <w:tcW w:w="3402" w:type="dxa"/>
            <w:gridSpan w:val="2"/>
            <w:tcBorders>
              <w:top w:val="single" w:color="auto" w:sz="8" w:space="0"/>
            </w:tcBorders>
            <w:shd w:val="clear" w:color="auto" w:fill="auto"/>
            <w:vAlign w:val="center"/>
          </w:tcPr>
          <w:p>
            <w:pPr>
              <w:pStyle w:val="178"/>
              <w:jc w:val="left"/>
            </w:pPr>
            <w:r>
              <w:rPr>
                <w:rFonts w:hint="eastAsia"/>
              </w:rPr>
              <w:t>（a）单位面积（产权面积）碳排放量（tCO</w:t>
            </w:r>
            <w:r>
              <w:rPr>
                <w:rFonts w:hint="eastAsia"/>
                <w:vertAlign w:val="subscript"/>
              </w:rPr>
              <w:t>2</w:t>
            </w:r>
            <w:r>
              <w:rPr>
                <w:rFonts w:hint="eastAsia"/>
              </w:rPr>
              <w:t>/m</w:t>
            </w:r>
            <w:r>
              <w:rPr>
                <w:rFonts w:hint="eastAsia"/>
                <w:vertAlign w:val="superscript"/>
              </w:rPr>
              <w:t>2</w:t>
            </w:r>
            <w:r>
              <w:rPr>
                <w:rFonts w:hint="eastAsia"/>
              </w:rPr>
              <w:t>）</w:t>
            </w:r>
          </w:p>
        </w:tc>
        <w:tc>
          <w:tcPr>
            <w:tcW w:w="850" w:type="dxa"/>
            <w:tcBorders>
              <w:top w:val="single" w:color="auto" w:sz="8" w:space="0"/>
            </w:tcBorders>
            <w:shd w:val="clear" w:color="auto" w:fill="auto"/>
            <w:vAlign w:val="center"/>
          </w:tcPr>
          <w:p>
            <w:pPr>
              <w:pStyle w:val="178"/>
            </w:pPr>
            <w:r>
              <w:rPr>
                <w:rFonts w:hint="eastAsia"/>
              </w:rPr>
              <w:t>≤0.1</w:t>
            </w:r>
          </w:p>
        </w:tc>
        <w:tc>
          <w:tcPr>
            <w:tcW w:w="567" w:type="dxa"/>
            <w:tcBorders>
              <w:top w:val="single" w:color="auto" w:sz="8" w:space="0"/>
            </w:tcBorders>
            <w:shd w:val="clear" w:color="auto" w:fill="auto"/>
            <w:vAlign w:val="center"/>
          </w:tcPr>
          <w:p>
            <w:pPr>
              <w:pStyle w:val="178"/>
            </w:pPr>
            <w:r>
              <w:rPr>
                <w:rFonts w:hint="eastAsia"/>
              </w:rPr>
              <w:t>8</w:t>
            </w:r>
          </w:p>
        </w:tc>
        <w:tc>
          <w:tcPr>
            <w:tcW w:w="1276" w:type="dxa"/>
            <w:vMerge w:val="restart"/>
            <w:tcBorders>
              <w:top w:val="single" w:color="auto" w:sz="8" w:space="0"/>
            </w:tcBorders>
            <w:shd w:val="clear" w:color="auto" w:fill="auto"/>
            <w:vAlign w:val="center"/>
          </w:tcPr>
          <w:p>
            <w:pPr>
              <w:pStyle w:val="178"/>
              <w:jc w:val="left"/>
            </w:pPr>
            <w:r>
              <w:rPr>
                <w:rFonts w:hint="eastAsia"/>
              </w:rPr>
              <w:t>如（a）不满足时，可选用（b）得分项</w:t>
            </w:r>
          </w:p>
        </w:tc>
        <w:tc>
          <w:tcPr>
            <w:tcW w:w="1264" w:type="dxa"/>
            <w:vMerge w:val="restart"/>
            <w:tcBorders>
              <w:top w:val="single" w:color="auto" w:sz="8" w:space="0"/>
            </w:tcBorders>
            <w:shd w:val="clear" w:color="auto" w:fill="auto"/>
            <w:vAlign w:val="center"/>
          </w:tcPr>
          <w:p>
            <w:pPr>
              <w:pStyle w:val="178"/>
            </w:pPr>
            <w:r>
              <w:rPr>
                <w:rFonts w:hint="eastAsia"/>
              </w:rPr>
              <w:t>核心指标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57" w:type="dxa"/>
            <w:vMerge w:val="continue"/>
            <w:shd w:val="clear" w:color="auto" w:fill="auto"/>
            <w:vAlign w:val="center"/>
          </w:tcPr>
          <w:p>
            <w:pPr>
              <w:pStyle w:val="178"/>
            </w:pPr>
          </w:p>
        </w:tc>
        <w:tc>
          <w:tcPr>
            <w:tcW w:w="1418" w:type="dxa"/>
            <w:vMerge w:val="continue"/>
            <w:shd w:val="clear" w:color="auto" w:fill="auto"/>
            <w:vAlign w:val="center"/>
          </w:tcPr>
          <w:p>
            <w:pPr>
              <w:pStyle w:val="178"/>
            </w:pPr>
          </w:p>
        </w:tc>
        <w:tc>
          <w:tcPr>
            <w:tcW w:w="3402" w:type="dxa"/>
            <w:gridSpan w:val="2"/>
            <w:shd w:val="clear" w:color="auto" w:fill="auto"/>
            <w:vAlign w:val="center"/>
          </w:tcPr>
          <w:p>
            <w:pPr>
              <w:pStyle w:val="178"/>
              <w:jc w:val="left"/>
            </w:pPr>
            <w:r>
              <w:rPr>
                <w:rFonts w:hint="eastAsia"/>
              </w:rPr>
              <w:t>（b）碳排放总量较上一年下降</w:t>
            </w:r>
          </w:p>
        </w:tc>
        <w:tc>
          <w:tcPr>
            <w:tcW w:w="850" w:type="dxa"/>
            <w:shd w:val="clear" w:color="auto" w:fill="auto"/>
            <w:vAlign w:val="center"/>
          </w:tcPr>
          <w:p>
            <w:pPr>
              <w:pStyle w:val="178"/>
            </w:pPr>
            <w:r>
              <w:rPr>
                <w:rFonts w:hint="eastAsia"/>
              </w:rPr>
              <w:t>达标</w:t>
            </w:r>
          </w:p>
        </w:tc>
        <w:tc>
          <w:tcPr>
            <w:tcW w:w="567" w:type="dxa"/>
            <w:shd w:val="clear" w:color="auto" w:fill="auto"/>
            <w:vAlign w:val="center"/>
          </w:tcPr>
          <w:p>
            <w:pPr>
              <w:pStyle w:val="178"/>
            </w:pPr>
            <w:r>
              <w:rPr>
                <w:rFonts w:hint="eastAsia"/>
              </w:rPr>
              <w:t>5</w:t>
            </w:r>
          </w:p>
        </w:tc>
        <w:tc>
          <w:tcPr>
            <w:tcW w:w="1276" w:type="dxa"/>
            <w:vMerge w:val="continue"/>
            <w:shd w:val="clear" w:color="auto" w:fill="auto"/>
            <w:vAlign w:val="center"/>
          </w:tcPr>
          <w:p>
            <w:pPr>
              <w:pStyle w:val="178"/>
            </w:pPr>
          </w:p>
        </w:tc>
        <w:tc>
          <w:tcPr>
            <w:tcW w:w="126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6" w:hRule="atLeast"/>
          <w:jc w:val="center"/>
        </w:trPr>
        <w:tc>
          <w:tcPr>
            <w:tcW w:w="557" w:type="dxa"/>
            <w:vMerge w:val="restart"/>
            <w:shd w:val="clear" w:color="auto" w:fill="auto"/>
            <w:vAlign w:val="center"/>
          </w:tcPr>
          <w:p>
            <w:pPr>
              <w:pStyle w:val="178"/>
            </w:pPr>
            <w:r>
              <w:rPr>
                <w:rFonts w:hint="eastAsia"/>
              </w:rPr>
              <w:t>2</w:t>
            </w:r>
          </w:p>
        </w:tc>
        <w:tc>
          <w:tcPr>
            <w:tcW w:w="1418" w:type="dxa"/>
            <w:vMerge w:val="restart"/>
            <w:shd w:val="clear" w:color="auto" w:fill="auto"/>
            <w:vAlign w:val="center"/>
          </w:tcPr>
          <w:p>
            <w:pPr>
              <w:pStyle w:val="178"/>
            </w:pPr>
            <w:r>
              <w:rPr>
                <w:rFonts w:hint="eastAsia"/>
              </w:rPr>
              <w:t>能源利用</w:t>
            </w:r>
          </w:p>
        </w:tc>
        <w:tc>
          <w:tcPr>
            <w:tcW w:w="3402" w:type="dxa"/>
            <w:gridSpan w:val="2"/>
            <w:vMerge w:val="restart"/>
            <w:shd w:val="clear" w:color="auto" w:fill="auto"/>
            <w:vAlign w:val="center"/>
          </w:tcPr>
          <w:p>
            <w:pPr>
              <w:pStyle w:val="178"/>
              <w:jc w:val="left"/>
            </w:pPr>
            <w:r>
              <w:rPr>
                <w:rFonts w:hint="eastAsia"/>
                <w:szCs w:val="18"/>
              </w:rPr>
              <w:t>能耗定额指标达到DB32/T 4001</w:t>
            </w:r>
          </w:p>
        </w:tc>
        <w:tc>
          <w:tcPr>
            <w:tcW w:w="850" w:type="dxa"/>
            <w:shd w:val="clear" w:color="auto" w:fill="auto"/>
            <w:vAlign w:val="center"/>
          </w:tcPr>
          <w:p>
            <w:pPr>
              <w:pStyle w:val="178"/>
            </w:pPr>
            <w:r>
              <w:rPr>
                <w:rFonts w:hint="eastAsia"/>
              </w:rPr>
              <w:t>引导值</w:t>
            </w:r>
          </w:p>
        </w:tc>
        <w:tc>
          <w:tcPr>
            <w:tcW w:w="567" w:type="dxa"/>
            <w:shd w:val="clear" w:color="auto" w:fill="auto"/>
            <w:vAlign w:val="center"/>
          </w:tcPr>
          <w:p>
            <w:pPr>
              <w:pStyle w:val="178"/>
            </w:pPr>
            <w:r>
              <w:rPr>
                <w:rFonts w:hint="eastAsia"/>
              </w:rPr>
              <w:t>5</w:t>
            </w:r>
          </w:p>
        </w:tc>
        <w:tc>
          <w:tcPr>
            <w:tcW w:w="1276" w:type="dxa"/>
            <w:vMerge w:val="restart"/>
            <w:shd w:val="clear" w:color="auto" w:fill="auto"/>
            <w:vAlign w:val="center"/>
          </w:tcPr>
          <w:p>
            <w:pPr>
              <w:pStyle w:val="178"/>
            </w:pPr>
            <w:r>
              <w:rPr>
                <w:rFonts w:hint="eastAsia"/>
              </w:rPr>
              <w:t>—</w:t>
            </w:r>
          </w:p>
        </w:tc>
        <w:tc>
          <w:tcPr>
            <w:tcW w:w="1264" w:type="dxa"/>
            <w:vMerge w:val="restart"/>
            <w:shd w:val="clear" w:color="auto" w:fill="auto"/>
            <w:vAlign w:val="center"/>
          </w:tcPr>
          <w:p>
            <w:pPr>
              <w:pStyle w:val="178"/>
            </w:pPr>
            <w:r>
              <w:rPr>
                <w:rFonts w:hint="eastAsia"/>
              </w:rPr>
              <w:t>核心指标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57" w:type="dxa"/>
            <w:vMerge w:val="continue"/>
            <w:shd w:val="clear" w:color="auto" w:fill="auto"/>
            <w:vAlign w:val="center"/>
          </w:tcPr>
          <w:p>
            <w:pPr>
              <w:pStyle w:val="178"/>
            </w:pPr>
          </w:p>
        </w:tc>
        <w:tc>
          <w:tcPr>
            <w:tcW w:w="1418" w:type="dxa"/>
            <w:vMerge w:val="continue"/>
            <w:shd w:val="clear" w:color="auto" w:fill="auto"/>
            <w:vAlign w:val="center"/>
          </w:tcPr>
          <w:p>
            <w:pPr>
              <w:pStyle w:val="178"/>
            </w:pPr>
          </w:p>
        </w:tc>
        <w:tc>
          <w:tcPr>
            <w:tcW w:w="3402" w:type="dxa"/>
            <w:gridSpan w:val="2"/>
            <w:vMerge w:val="continue"/>
            <w:shd w:val="clear" w:color="auto" w:fill="auto"/>
            <w:vAlign w:val="center"/>
          </w:tcPr>
          <w:p>
            <w:pPr>
              <w:pStyle w:val="178"/>
              <w:rPr>
                <w:szCs w:val="18"/>
              </w:rPr>
            </w:pPr>
          </w:p>
        </w:tc>
        <w:tc>
          <w:tcPr>
            <w:tcW w:w="850" w:type="dxa"/>
            <w:shd w:val="clear" w:color="auto" w:fill="auto"/>
            <w:vAlign w:val="center"/>
          </w:tcPr>
          <w:p>
            <w:pPr>
              <w:pStyle w:val="178"/>
            </w:pPr>
            <w:r>
              <w:rPr>
                <w:rFonts w:hint="eastAsia"/>
              </w:rPr>
              <w:t>基准值</w:t>
            </w:r>
          </w:p>
        </w:tc>
        <w:tc>
          <w:tcPr>
            <w:tcW w:w="567" w:type="dxa"/>
            <w:shd w:val="clear" w:color="auto" w:fill="auto"/>
            <w:vAlign w:val="center"/>
          </w:tcPr>
          <w:p>
            <w:pPr>
              <w:pStyle w:val="178"/>
            </w:pPr>
            <w:r>
              <w:rPr>
                <w:rFonts w:hint="eastAsia"/>
              </w:rPr>
              <w:t>3</w:t>
            </w:r>
          </w:p>
        </w:tc>
        <w:tc>
          <w:tcPr>
            <w:tcW w:w="1276" w:type="dxa"/>
            <w:vMerge w:val="continue"/>
            <w:shd w:val="clear" w:color="auto" w:fill="auto"/>
            <w:vAlign w:val="center"/>
          </w:tcPr>
          <w:p>
            <w:pPr>
              <w:pStyle w:val="178"/>
            </w:pPr>
          </w:p>
        </w:tc>
        <w:tc>
          <w:tcPr>
            <w:tcW w:w="126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6" w:hRule="atLeast"/>
          <w:jc w:val="center"/>
        </w:trPr>
        <w:tc>
          <w:tcPr>
            <w:tcW w:w="557" w:type="dxa"/>
            <w:shd w:val="clear" w:color="auto" w:fill="auto"/>
            <w:vAlign w:val="center"/>
          </w:tcPr>
          <w:p>
            <w:pPr>
              <w:pStyle w:val="178"/>
            </w:pPr>
            <w:r>
              <w:rPr>
                <w:rFonts w:hint="eastAsia"/>
              </w:rPr>
              <w:t>3</w:t>
            </w:r>
          </w:p>
        </w:tc>
        <w:tc>
          <w:tcPr>
            <w:tcW w:w="1418" w:type="dxa"/>
            <w:vMerge w:val="continue"/>
            <w:shd w:val="clear" w:color="auto" w:fill="auto"/>
            <w:vAlign w:val="center"/>
          </w:tcPr>
          <w:p>
            <w:pPr>
              <w:pStyle w:val="178"/>
            </w:pPr>
          </w:p>
        </w:tc>
        <w:tc>
          <w:tcPr>
            <w:tcW w:w="3402" w:type="dxa"/>
            <w:gridSpan w:val="2"/>
            <w:shd w:val="clear" w:color="auto" w:fill="auto"/>
            <w:vAlign w:val="center"/>
          </w:tcPr>
          <w:p>
            <w:pPr>
              <w:pStyle w:val="178"/>
              <w:jc w:val="left"/>
            </w:pPr>
            <w:r>
              <w:rPr>
                <w:rFonts w:hint="eastAsia"/>
              </w:rPr>
              <w:t>配置可再生能源利用设备设施：太阳能路灯/风光互补路灯/光伏发电系统</w:t>
            </w:r>
          </w:p>
        </w:tc>
        <w:tc>
          <w:tcPr>
            <w:tcW w:w="850" w:type="dxa"/>
            <w:shd w:val="clear" w:color="auto" w:fill="auto"/>
            <w:vAlign w:val="center"/>
          </w:tcPr>
          <w:p>
            <w:pPr>
              <w:pStyle w:val="178"/>
            </w:pPr>
            <w:r>
              <w:rPr>
                <w:rFonts w:hint="eastAsia"/>
              </w:rPr>
              <w:t>配置</w:t>
            </w:r>
          </w:p>
        </w:tc>
        <w:tc>
          <w:tcPr>
            <w:tcW w:w="567" w:type="dxa"/>
            <w:shd w:val="clear" w:color="auto" w:fill="auto"/>
            <w:vAlign w:val="center"/>
          </w:tcPr>
          <w:p>
            <w:pPr>
              <w:pStyle w:val="178"/>
            </w:pPr>
            <w:r>
              <w:t>5</w:t>
            </w:r>
          </w:p>
        </w:tc>
        <w:tc>
          <w:tcPr>
            <w:tcW w:w="1276" w:type="dxa"/>
            <w:vMerge w:val="continue"/>
            <w:shd w:val="clear" w:color="auto" w:fill="auto"/>
            <w:vAlign w:val="center"/>
          </w:tcPr>
          <w:p>
            <w:pPr>
              <w:pStyle w:val="178"/>
            </w:pPr>
          </w:p>
        </w:tc>
        <w:tc>
          <w:tcPr>
            <w:tcW w:w="126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57" w:type="dxa"/>
            <w:shd w:val="clear" w:color="auto" w:fill="auto"/>
            <w:vAlign w:val="center"/>
          </w:tcPr>
          <w:p>
            <w:pPr>
              <w:pStyle w:val="178"/>
            </w:pPr>
            <w:r>
              <w:rPr>
                <w:rFonts w:hint="eastAsia"/>
              </w:rPr>
              <w:t>4</w:t>
            </w:r>
          </w:p>
        </w:tc>
        <w:tc>
          <w:tcPr>
            <w:tcW w:w="1418" w:type="dxa"/>
            <w:vMerge w:val="restart"/>
            <w:shd w:val="clear" w:color="auto" w:fill="auto"/>
            <w:vAlign w:val="center"/>
          </w:tcPr>
          <w:p>
            <w:pPr>
              <w:pStyle w:val="178"/>
            </w:pPr>
            <w:r>
              <w:rPr>
                <w:rFonts w:hint="eastAsia"/>
              </w:rPr>
              <w:t>环境资源</w:t>
            </w:r>
          </w:p>
        </w:tc>
        <w:tc>
          <w:tcPr>
            <w:tcW w:w="3402" w:type="dxa"/>
            <w:gridSpan w:val="2"/>
            <w:shd w:val="clear" w:color="auto" w:fill="auto"/>
            <w:vAlign w:val="center"/>
          </w:tcPr>
          <w:p>
            <w:pPr>
              <w:pStyle w:val="178"/>
              <w:jc w:val="left"/>
            </w:pPr>
            <w:r>
              <w:rPr>
                <w:rFonts w:hint="eastAsia"/>
              </w:rPr>
              <w:t>中水回用或雨水利用设施</w:t>
            </w:r>
          </w:p>
        </w:tc>
        <w:tc>
          <w:tcPr>
            <w:tcW w:w="850" w:type="dxa"/>
            <w:shd w:val="clear" w:color="auto" w:fill="auto"/>
            <w:vAlign w:val="center"/>
          </w:tcPr>
          <w:p>
            <w:pPr>
              <w:pStyle w:val="178"/>
            </w:pPr>
            <w:r>
              <w:rPr>
                <w:rFonts w:hint="eastAsia"/>
              </w:rPr>
              <w:t>配置</w:t>
            </w:r>
          </w:p>
        </w:tc>
        <w:tc>
          <w:tcPr>
            <w:tcW w:w="567" w:type="dxa"/>
            <w:shd w:val="clear" w:color="auto" w:fill="auto"/>
            <w:vAlign w:val="center"/>
          </w:tcPr>
          <w:p>
            <w:pPr>
              <w:pStyle w:val="178"/>
            </w:pPr>
            <w:r>
              <w:rPr>
                <w:rFonts w:hint="eastAsia"/>
              </w:rPr>
              <w:t>5</w:t>
            </w:r>
          </w:p>
        </w:tc>
        <w:tc>
          <w:tcPr>
            <w:tcW w:w="1276" w:type="dxa"/>
            <w:shd w:val="clear" w:color="auto" w:fill="auto"/>
            <w:vAlign w:val="center"/>
          </w:tcPr>
          <w:p>
            <w:pPr>
              <w:pStyle w:val="178"/>
            </w:pPr>
            <w:r>
              <w:rPr>
                <w:rFonts w:hint="eastAsia"/>
              </w:rPr>
              <w:t>—</w:t>
            </w:r>
          </w:p>
        </w:tc>
        <w:tc>
          <w:tcPr>
            <w:tcW w:w="1264" w:type="dxa"/>
            <w:shd w:val="clear" w:color="auto" w:fill="auto"/>
            <w:vAlign w:val="center"/>
          </w:tcPr>
          <w:p>
            <w:pPr>
              <w:pStyle w:val="178"/>
            </w:pPr>
            <w:r>
              <w:rPr>
                <w:rFonts w:hint="eastAsia"/>
              </w:rPr>
              <w:t>引导指标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57" w:type="dxa"/>
            <w:shd w:val="clear" w:color="auto" w:fill="auto"/>
            <w:vAlign w:val="center"/>
          </w:tcPr>
          <w:p>
            <w:pPr>
              <w:pStyle w:val="178"/>
            </w:pPr>
            <w:r>
              <w:rPr>
                <w:rFonts w:hint="eastAsia"/>
              </w:rPr>
              <w:t>5</w:t>
            </w:r>
          </w:p>
        </w:tc>
        <w:tc>
          <w:tcPr>
            <w:tcW w:w="1418" w:type="dxa"/>
            <w:vMerge w:val="continue"/>
            <w:shd w:val="clear" w:color="auto" w:fill="auto"/>
            <w:vAlign w:val="center"/>
          </w:tcPr>
          <w:p>
            <w:pPr>
              <w:pStyle w:val="178"/>
            </w:pPr>
          </w:p>
        </w:tc>
        <w:tc>
          <w:tcPr>
            <w:tcW w:w="3402" w:type="dxa"/>
            <w:gridSpan w:val="2"/>
            <w:shd w:val="clear" w:color="auto" w:fill="auto"/>
            <w:vAlign w:val="center"/>
          </w:tcPr>
          <w:p>
            <w:pPr>
              <w:pStyle w:val="178"/>
              <w:jc w:val="left"/>
            </w:pPr>
            <w:r>
              <w:rPr>
                <w:rFonts w:hint="eastAsia"/>
              </w:rPr>
              <w:t>人均月用水量（m3/人•月）</w:t>
            </w:r>
          </w:p>
        </w:tc>
        <w:tc>
          <w:tcPr>
            <w:tcW w:w="850" w:type="dxa"/>
            <w:shd w:val="clear" w:color="auto" w:fill="auto"/>
            <w:vAlign w:val="center"/>
          </w:tcPr>
          <w:p>
            <w:pPr>
              <w:pStyle w:val="178"/>
            </w:pPr>
            <w:r>
              <w:rPr>
                <w:rFonts w:hint="eastAsia"/>
              </w:rPr>
              <w:t>≤1.5</w:t>
            </w:r>
          </w:p>
        </w:tc>
        <w:tc>
          <w:tcPr>
            <w:tcW w:w="567" w:type="dxa"/>
            <w:shd w:val="clear" w:color="auto" w:fill="auto"/>
            <w:vAlign w:val="center"/>
          </w:tcPr>
          <w:p>
            <w:pPr>
              <w:pStyle w:val="178"/>
            </w:pPr>
            <w:r>
              <w:rPr>
                <w:rFonts w:hint="eastAsia"/>
              </w:rPr>
              <w:t>5</w:t>
            </w:r>
          </w:p>
        </w:tc>
        <w:tc>
          <w:tcPr>
            <w:tcW w:w="1276" w:type="dxa"/>
            <w:shd w:val="clear" w:color="auto" w:fill="auto"/>
            <w:vAlign w:val="center"/>
          </w:tcPr>
          <w:p>
            <w:pPr>
              <w:pStyle w:val="178"/>
            </w:pPr>
            <w:r>
              <w:rPr>
                <w:rFonts w:hint="eastAsia"/>
              </w:rPr>
              <w:t>—</w:t>
            </w:r>
          </w:p>
        </w:tc>
        <w:tc>
          <w:tcPr>
            <w:tcW w:w="1264" w:type="dxa"/>
            <w:shd w:val="clear" w:color="auto" w:fill="auto"/>
            <w:vAlign w:val="center"/>
          </w:tcPr>
          <w:p>
            <w:pPr>
              <w:pStyle w:val="178"/>
            </w:pPr>
            <w:r>
              <w:rPr>
                <w:rFonts w:hint="eastAsia"/>
              </w:rPr>
              <w:t>核心指标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6" w:hRule="atLeast"/>
          <w:jc w:val="center"/>
        </w:trPr>
        <w:tc>
          <w:tcPr>
            <w:tcW w:w="557" w:type="dxa"/>
            <w:shd w:val="clear" w:color="auto" w:fill="auto"/>
            <w:vAlign w:val="center"/>
          </w:tcPr>
          <w:p>
            <w:pPr>
              <w:pStyle w:val="178"/>
            </w:pPr>
            <w:r>
              <w:rPr>
                <w:rFonts w:hint="eastAsia"/>
              </w:rPr>
              <w:t>6</w:t>
            </w:r>
          </w:p>
        </w:tc>
        <w:tc>
          <w:tcPr>
            <w:tcW w:w="1418" w:type="dxa"/>
            <w:vMerge w:val="restart"/>
            <w:shd w:val="clear" w:color="auto" w:fill="auto"/>
            <w:vAlign w:val="center"/>
          </w:tcPr>
          <w:p>
            <w:pPr>
              <w:pStyle w:val="178"/>
            </w:pPr>
            <w:r>
              <w:rPr>
                <w:rFonts w:hint="eastAsia"/>
              </w:rPr>
              <w:t>固体废弃物处理</w:t>
            </w:r>
          </w:p>
        </w:tc>
        <w:tc>
          <w:tcPr>
            <w:tcW w:w="3402" w:type="dxa"/>
            <w:gridSpan w:val="2"/>
            <w:shd w:val="clear" w:color="auto" w:fill="auto"/>
            <w:vAlign w:val="center"/>
          </w:tcPr>
          <w:p>
            <w:pPr>
              <w:pStyle w:val="178"/>
              <w:jc w:val="left"/>
            </w:pPr>
            <w:r>
              <w:rPr>
                <w:rFonts w:hint="eastAsia"/>
              </w:rPr>
              <w:t>再生资源回收站点数（个）</w:t>
            </w:r>
          </w:p>
        </w:tc>
        <w:tc>
          <w:tcPr>
            <w:tcW w:w="850" w:type="dxa"/>
            <w:shd w:val="clear" w:color="auto" w:fill="auto"/>
            <w:vAlign w:val="center"/>
          </w:tcPr>
          <w:p>
            <w:pPr>
              <w:pStyle w:val="178"/>
            </w:pPr>
            <w:r>
              <w:rPr>
                <w:rFonts w:hint="eastAsia"/>
              </w:rPr>
              <w:t>≥1</w:t>
            </w:r>
          </w:p>
        </w:tc>
        <w:tc>
          <w:tcPr>
            <w:tcW w:w="567" w:type="dxa"/>
            <w:shd w:val="clear" w:color="auto" w:fill="auto"/>
            <w:vAlign w:val="center"/>
          </w:tcPr>
          <w:p>
            <w:pPr>
              <w:pStyle w:val="178"/>
            </w:pPr>
            <w:r>
              <w:rPr>
                <w:rFonts w:hint="eastAsia"/>
              </w:rPr>
              <w:t>5</w:t>
            </w:r>
          </w:p>
        </w:tc>
        <w:tc>
          <w:tcPr>
            <w:tcW w:w="1276" w:type="dxa"/>
            <w:shd w:val="clear" w:color="auto" w:fill="auto"/>
            <w:vAlign w:val="center"/>
          </w:tcPr>
          <w:p>
            <w:pPr>
              <w:pStyle w:val="178"/>
            </w:pPr>
            <w:r>
              <w:rPr>
                <w:rFonts w:hint="eastAsia"/>
              </w:rPr>
              <w:t>—</w:t>
            </w:r>
          </w:p>
        </w:tc>
        <w:tc>
          <w:tcPr>
            <w:tcW w:w="1264" w:type="dxa"/>
            <w:shd w:val="clear" w:color="auto" w:fill="auto"/>
            <w:vAlign w:val="center"/>
          </w:tcPr>
          <w:p>
            <w:pPr>
              <w:pStyle w:val="178"/>
            </w:pPr>
            <w:r>
              <w:rPr>
                <w:rFonts w:hint="eastAsia"/>
              </w:rPr>
              <w:t>核心指标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6" w:hRule="atLeast"/>
          <w:jc w:val="center"/>
        </w:trPr>
        <w:tc>
          <w:tcPr>
            <w:tcW w:w="557" w:type="dxa"/>
            <w:shd w:val="clear" w:color="auto" w:fill="auto"/>
            <w:vAlign w:val="center"/>
          </w:tcPr>
          <w:p>
            <w:pPr>
              <w:pStyle w:val="178"/>
            </w:pPr>
            <w:r>
              <w:rPr>
                <w:rFonts w:hint="eastAsia"/>
              </w:rPr>
              <w:t>7</w:t>
            </w:r>
          </w:p>
        </w:tc>
        <w:tc>
          <w:tcPr>
            <w:tcW w:w="1418" w:type="dxa"/>
            <w:vMerge w:val="continue"/>
            <w:shd w:val="clear" w:color="auto" w:fill="auto"/>
            <w:vAlign w:val="center"/>
          </w:tcPr>
          <w:p>
            <w:pPr>
              <w:pStyle w:val="178"/>
            </w:pPr>
          </w:p>
        </w:tc>
        <w:tc>
          <w:tcPr>
            <w:tcW w:w="3402" w:type="dxa"/>
            <w:gridSpan w:val="2"/>
            <w:shd w:val="clear" w:color="auto" w:fill="auto"/>
            <w:vAlign w:val="center"/>
          </w:tcPr>
          <w:p>
            <w:pPr>
              <w:pStyle w:val="178"/>
              <w:jc w:val="left"/>
            </w:pPr>
            <w:r>
              <w:rPr>
                <w:rFonts w:hint="eastAsia"/>
              </w:rPr>
              <w:t>生活垃圾分类收集</w:t>
            </w:r>
          </w:p>
        </w:tc>
        <w:tc>
          <w:tcPr>
            <w:tcW w:w="850" w:type="dxa"/>
            <w:shd w:val="clear" w:color="auto" w:fill="auto"/>
            <w:vAlign w:val="center"/>
          </w:tcPr>
          <w:p>
            <w:pPr>
              <w:pStyle w:val="178"/>
            </w:pPr>
            <w:r>
              <w:rPr>
                <w:rFonts w:hint="eastAsia"/>
              </w:rPr>
              <w:t>分类</w:t>
            </w:r>
          </w:p>
        </w:tc>
        <w:tc>
          <w:tcPr>
            <w:tcW w:w="567" w:type="dxa"/>
            <w:shd w:val="clear" w:color="auto" w:fill="auto"/>
            <w:vAlign w:val="center"/>
          </w:tcPr>
          <w:p>
            <w:pPr>
              <w:pStyle w:val="178"/>
            </w:pPr>
            <w:r>
              <w:rPr>
                <w:rFonts w:hint="eastAsia"/>
              </w:rPr>
              <w:t>5</w:t>
            </w:r>
          </w:p>
        </w:tc>
        <w:tc>
          <w:tcPr>
            <w:tcW w:w="1276" w:type="dxa"/>
            <w:shd w:val="clear" w:color="auto" w:fill="auto"/>
            <w:vAlign w:val="center"/>
          </w:tcPr>
          <w:p>
            <w:pPr>
              <w:pStyle w:val="178"/>
            </w:pPr>
            <w:r>
              <w:rPr>
                <w:rFonts w:hint="eastAsia"/>
              </w:rPr>
              <w:t>—</w:t>
            </w:r>
          </w:p>
        </w:tc>
        <w:tc>
          <w:tcPr>
            <w:tcW w:w="1264" w:type="dxa"/>
            <w:shd w:val="clear" w:color="auto" w:fill="auto"/>
            <w:vAlign w:val="center"/>
          </w:tcPr>
          <w:p>
            <w:pPr>
              <w:pStyle w:val="178"/>
            </w:pPr>
            <w:r>
              <w:rPr>
                <w:rFonts w:hint="eastAsia"/>
              </w:rPr>
              <w:t>核心指标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6" w:hRule="atLeast"/>
          <w:jc w:val="center"/>
        </w:trPr>
        <w:tc>
          <w:tcPr>
            <w:tcW w:w="557" w:type="dxa"/>
            <w:shd w:val="clear" w:color="auto" w:fill="auto"/>
            <w:vAlign w:val="center"/>
          </w:tcPr>
          <w:p>
            <w:pPr>
              <w:pStyle w:val="178"/>
            </w:pPr>
            <w:r>
              <w:rPr>
                <w:rFonts w:hint="eastAsia"/>
              </w:rPr>
              <w:t>8</w:t>
            </w:r>
          </w:p>
        </w:tc>
        <w:tc>
          <w:tcPr>
            <w:tcW w:w="1418" w:type="dxa"/>
            <w:vMerge w:val="restart"/>
            <w:shd w:val="clear" w:color="auto" w:fill="auto"/>
            <w:vAlign w:val="center"/>
          </w:tcPr>
          <w:p>
            <w:pPr>
              <w:pStyle w:val="178"/>
            </w:pPr>
            <w:r>
              <w:rPr>
                <w:rFonts w:hint="eastAsia"/>
              </w:rPr>
              <w:t>公共设施建设</w:t>
            </w:r>
          </w:p>
        </w:tc>
        <w:tc>
          <w:tcPr>
            <w:tcW w:w="3402" w:type="dxa"/>
            <w:gridSpan w:val="2"/>
            <w:shd w:val="clear" w:color="auto" w:fill="auto"/>
            <w:vAlign w:val="center"/>
          </w:tcPr>
          <w:p>
            <w:pPr>
              <w:pStyle w:val="178"/>
              <w:jc w:val="left"/>
            </w:pPr>
            <w:r>
              <w:rPr>
                <w:rFonts w:hint="eastAsia"/>
              </w:rPr>
              <w:t>绿色建筑占比率（%）</w:t>
            </w:r>
          </w:p>
        </w:tc>
        <w:tc>
          <w:tcPr>
            <w:tcW w:w="850" w:type="dxa"/>
            <w:shd w:val="clear" w:color="auto" w:fill="auto"/>
            <w:vAlign w:val="center"/>
          </w:tcPr>
          <w:p>
            <w:pPr>
              <w:pStyle w:val="178"/>
            </w:pPr>
            <w:r>
              <w:rPr>
                <w:rFonts w:hint="eastAsia"/>
              </w:rPr>
              <w:t>≥60</w:t>
            </w:r>
          </w:p>
        </w:tc>
        <w:tc>
          <w:tcPr>
            <w:tcW w:w="567" w:type="dxa"/>
            <w:shd w:val="clear" w:color="auto" w:fill="auto"/>
            <w:vAlign w:val="center"/>
          </w:tcPr>
          <w:p>
            <w:pPr>
              <w:pStyle w:val="178"/>
            </w:pPr>
            <w:r>
              <w:rPr>
                <w:rFonts w:hint="eastAsia"/>
              </w:rPr>
              <w:t>5</w:t>
            </w:r>
          </w:p>
        </w:tc>
        <w:tc>
          <w:tcPr>
            <w:tcW w:w="1276" w:type="dxa"/>
            <w:shd w:val="clear" w:color="auto" w:fill="auto"/>
            <w:vAlign w:val="center"/>
          </w:tcPr>
          <w:p>
            <w:pPr>
              <w:pStyle w:val="178"/>
            </w:pPr>
            <w:r>
              <w:rPr>
                <w:rFonts w:hint="eastAsia"/>
              </w:rPr>
              <w:t>—</w:t>
            </w:r>
          </w:p>
        </w:tc>
        <w:tc>
          <w:tcPr>
            <w:tcW w:w="1264" w:type="dxa"/>
            <w:shd w:val="clear" w:color="auto" w:fill="auto"/>
            <w:vAlign w:val="center"/>
          </w:tcPr>
          <w:p>
            <w:pPr>
              <w:pStyle w:val="178"/>
            </w:pPr>
            <w:r>
              <w:rPr>
                <w:rFonts w:hint="eastAsia"/>
              </w:rPr>
              <w:t>引导指标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6" w:hRule="atLeast"/>
          <w:jc w:val="center"/>
        </w:trPr>
        <w:tc>
          <w:tcPr>
            <w:tcW w:w="557" w:type="dxa"/>
            <w:shd w:val="clear" w:color="auto" w:fill="auto"/>
            <w:vAlign w:val="center"/>
          </w:tcPr>
          <w:p>
            <w:pPr>
              <w:pStyle w:val="178"/>
            </w:pPr>
            <w:r>
              <w:rPr>
                <w:rFonts w:hint="eastAsia"/>
              </w:rPr>
              <w:t>9</w:t>
            </w:r>
          </w:p>
        </w:tc>
        <w:tc>
          <w:tcPr>
            <w:tcW w:w="1418" w:type="dxa"/>
            <w:vMerge w:val="continue"/>
            <w:shd w:val="clear" w:color="auto" w:fill="auto"/>
            <w:vAlign w:val="center"/>
          </w:tcPr>
          <w:p>
            <w:pPr>
              <w:pStyle w:val="178"/>
            </w:pPr>
          </w:p>
        </w:tc>
        <w:tc>
          <w:tcPr>
            <w:tcW w:w="3402" w:type="dxa"/>
            <w:gridSpan w:val="2"/>
            <w:shd w:val="clear" w:color="auto" w:fill="auto"/>
            <w:vAlign w:val="center"/>
          </w:tcPr>
          <w:p>
            <w:pPr>
              <w:pStyle w:val="178"/>
              <w:jc w:val="left"/>
            </w:pPr>
            <w:r>
              <w:rPr>
                <w:rFonts w:hint="eastAsia"/>
              </w:rPr>
              <w:t>建筑面积容积率（%）</w:t>
            </w:r>
          </w:p>
        </w:tc>
        <w:tc>
          <w:tcPr>
            <w:tcW w:w="850" w:type="dxa"/>
            <w:shd w:val="clear" w:color="auto" w:fill="auto"/>
            <w:vAlign w:val="center"/>
          </w:tcPr>
          <w:p>
            <w:pPr>
              <w:pStyle w:val="178"/>
            </w:pPr>
            <w:r>
              <w:rPr>
                <w:rFonts w:hint="eastAsia"/>
              </w:rPr>
              <w:t>≥1.5</w:t>
            </w:r>
          </w:p>
        </w:tc>
        <w:tc>
          <w:tcPr>
            <w:tcW w:w="567" w:type="dxa"/>
            <w:shd w:val="clear" w:color="auto" w:fill="auto"/>
            <w:vAlign w:val="center"/>
          </w:tcPr>
          <w:p>
            <w:pPr>
              <w:pStyle w:val="178"/>
            </w:pPr>
            <w:r>
              <w:rPr>
                <w:rFonts w:hint="eastAsia"/>
              </w:rPr>
              <w:t>5</w:t>
            </w:r>
          </w:p>
        </w:tc>
        <w:tc>
          <w:tcPr>
            <w:tcW w:w="1276" w:type="dxa"/>
            <w:shd w:val="clear" w:color="auto" w:fill="auto"/>
            <w:vAlign w:val="center"/>
          </w:tcPr>
          <w:p>
            <w:pPr>
              <w:pStyle w:val="178"/>
            </w:pPr>
            <w:r>
              <w:rPr>
                <w:rFonts w:hint="eastAsia"/>
              </w:rPr>
              <w:t>—</w:t>
            </w:r>
          </w:p>
        </w:tc>
        <w:tc>
          <w:tcPr>
            <w:tcW w:w="1264" w:type="dxa"/>
            <w:shd w:val="clear" w:color="auto" w:fill="auto"/>
            <w:vAlign w:val="center"/>
          </w:tcPr>
          <w:p>
            <w:pPr>
              <w:pStyle w:val="178"/>
            </w:pPr>
            <w:r>
              <w:rPr>
                <w:rFonts w:hint="eastAsia"/>
              </w:rPr>
              <w:t>引导指标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6" w:hRule="atLeast"/>
          <w:jc w:val="center"/>
        </w:trPr>
        <w:tc>
          <w:tcPr>
            <w:tcW w:w="557" w:type="dxa"/>
            <w:shd w:val="clear" w:color="auto" w:fill="auto"/>
            <w:vAlign w:val="center"/>
          </w:tcPr>
          <w:p>
            <w:pPr>
              <w:pStyle w:val="178"/>
            </w:pPr>
            <w:r>
              <w:rPr>
                <w:rFonts w:hint="eastAsia"/>
              </w:rPr>
              <w:t>1</w:t>
            </w:r>
            <w:r>
              <w:t>0</w:t>
            </w:r>
          </w:p>
        </w:tc>
        <w:tc>
          <w:tcPr>
            <w:tcW w:w="1418" w:type="dxa"/>
            <w:vMerge w:val="continue"/>
            <w:shd w:val="clear" w:color="auto" w:fill="auto"/>
            <w:vAlign w:val="center"/>
          </w:tcPr>
          <w:p>
            <w:pPr>
              <w:pStyle w:val="178"/>
            </w:pPr>
          </w:p>
        </w:tc>
        <w:tc>
          <w:tcPr>
            <w:tcW w:w="3402" w:type="dxa"/>
            <w:gridSpan w:val="2"/>
            <w:shd w:val="clear" w:color="auto" w:fill="auto"/>
            <w:vAlign w:val="center"/>
          </w:tcPr>
          <w:p>
            <w:pPr>
              <w:pStyle w:val="178"/>
              <w:jc w:val="left"/>
            </w:pPr>
            <w:r>
              <w:rPr>
                <w:rFonts w:hint="eastAsia"/>
              </w:rPr>
              <w:t>绿化率（%）</w:t>
            </w:r>
          </w:p>
        </w:tc>
        <w:tc>
          <w:tcPr>
            <w:tcW w:w="850" w:type="dxa"/>
            <w:shd w:val="clear" w:color="auto" w:fill="auto"/>
            <w:vAlign w:val="center"/>
          </w:tcPr>
          <w:p>
            <w:pPr>
              <w:pStyle w:val="178"/>
            </w:pPr>
            <w:r>
              <w:rPr>
                <w:rFonts w:hint="eastAsia"/>
              </w:rPr>
              <w:t>≥25</w:t>
            </w:r>
          </w:p>
        </w:tc>
        <w:tc>
          <w:tcPr>
            <w:tcW w:w="567" w:type="dxa"/>
            <w:shd w:val="clear" w:color="auto" w:fill="auto"/>
            <w:vAlign w:val="center"/>
          </w:tcPr>
          <w:p>
            <w:pPr>
              <w:pStyle w:val="178"/>
            </w:pPr>
            <w:r>
              <w:rPr>
                <w:rFonts w:hint="eastAsia"/>
              </w:rPr>
              <w:t>2</w:t>
            </w:r>
          </w:p>
        </w:tc>
        <w:tc>
          <w:tcPr>
            <w:tcW w:w="1276" w:type="dxa"/>
            <w:shd w:val="clear" w:color="auto" w:fill="auto"/>
            <w:vAlign w:val="center"/>
          </w:tcPr>
          <w:p>
            <w:pPr>
              <w:pStyle w:val="178"/>
            </w:pPr>
            <w:r>
              <w:rPr>
                <w:rFonts w:hint="eastAsia"/>
              </w:rPr>
              <w:t>—</w:t>
            </w:r>
          </w:p>
        </w:tc>
        <w:tc>
          <w:tcPr>
            <w:tcW w:w="1264" w:type="dxa"/>
            <w:shd w:val="clear" w:color="auto" w:fill="auto"/>
            <w:vAlign w:val="center"/>
          </w:tcPr>
          <w:p>
            <w:pPr>
              <w:pStyle w:val="178"/>
            </w:pPr>
            <w:r>
              <w:rPr>
                <w:rFonts w:hint="eastAsia"/>
              </w:rPr>
              <w:t>引导指标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6" w:hRule="atLeast"/>
          <w:jc w:val="center"/>
        </w:trPr>
        <w:tc>
          <w:tcPr>
            <w:tcW w:w="557" w:type="dxa"/>
            <w:shd w:val="clear" w:color="auto" w:fill="auto"/>
            <w:vAlign w:val="center"/>
          </w:tcPr>
          <w:p>
            <w:pPr>
              <w:pStyle w:val="178"/>
            </w:pPr>
            <w:r>
              <w:rPr>
                <w:rFonts w:hint="eastAsia"/>
              </w:rPr>
              <w:t>1</w:t>
            </w:r>
            <w:r>
              <w:t>1</w:t>
            </w:r>
          </w:p>
        </w:tc>
        <w:tc>
          <w:tcPr>
            <w:tcW w:w="1418" w:type="dxa"/>
            <w:vMerge w:val="restart"/>
            <w:shd w:val="clear" w:color="auto" w:fill="auto"/>
            <w:vAlign w:val="center"/>
          </w:tcPr>
          <w:p>
            <w:pPr>
              <w:pStyle w:val="178"/>
            </w:pPr>
            <w:r>
              <w:rPr>
                <w:rFonts w:hint="eastAsia"/>
              </w:rPr>
              <w:t>公共治理</w:t>
            </w:r>
          </w:p>
        </w:tc>
        <w:tc>
          <w:tcPr>
            <w:tcW w:w="3402" w:type="dxa"/>
            <w:gridSpan w:val="2"/>
            <w:shd w:val="clear" w:color="auto" w:fill="auto"/>
            <w:vAlign w:val="center"/>
          </w:tcPr>
          <w:p>
            <w:pPr>
              <w:pStyle w:val="178"/>
              <w:jc w:val="left"/>
            </w:pPr>
            <w:r>
              <w:rPr>
                <w:rFonts w:hint="eastAsia"/>
              </w:rPr>
              <w:t>社区治理的组织架构、低碳发展规划和实施方案</w:t>
            </w:r>
          </w:p>
        </w:tc>
        <w:tc>
          <w:tcPr>
            <w:tcW w:w="850" w:type="dxa"/>
            <w:shd w:val="clear" w:color="auto" w:fill="auto"/>
            <w:vAlign w:val="center"/>
          </w:tcPr>
          <w:p>
            <w:pPr>
              <w:pStyle w:val="178"/>
            </w:pPr>
            <w:r>
              <w:rPr>
                <w:rFonts w:hint="eastAsia"/>
              </w:rPr>
              <w:t>建立</w:t>
            </w:r>
          </w:p>
        </w:tc>
        <w:tc>
          <w:tcPr>
            <w:tcW w:w="567" w:type="dxa"/>
            <w:shd w:val="clear" w:color="auto" w:fill="auto"/>
            <w:vAlign w:val="center"/>
          </w:tcPr>
          <w:p>
            <w:pPr>
              <w:pStyle w:val="178"/>
            </w:pPr>
            <w:r>
              <w:rPr>
                <w:rFonts w:hint="eastAsia"/>
              </w:rPr>
              <w:t>6</w:t>
            </w:r>
          </w:p>
        </w:tc>
        <w:tc>
          <w:tcPr>
            <w:tcW w:w="1276" w:type="dxa"/>
            <w:shd w:val="clear" w:color="auto" w:fill="auto"/>
            <w:vAlign w:val="center"/>
          </w:tcPr>
          <w:p>
            <w:pPr>
              <w:pStyle w:val="178"/>
            </w:pPr>
            <w:r>
              <w:rPr>
                <w:rFonts w:hint="eastAsia"/>
              </w:rPr>
              <w:t>—</w:t>
            </w:r>
          </w:p>
        </w:tc>
        <w:tc>
          <w:tcPr>
            <w:tcW w:w="1264" w:type="dxa"/>
            <w:shd w:val="clear" w:color="auto" w:fill="auto"/>
            <w:vAlign w:val="center"/>
          </w:tcPr>
          <w:p>
            <w:pPr>
              <w:pStyle w:val="178"/>
            </w:pPr>
            <w:r>
              <w:rPr>
                <w:rFonts w:hint="eastAsia"/>
              </w:rPr>
              <w:t>核心指标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6" w:hRule="atLeast"/>
          <w:jc w:val="center"/>
        </w:trPr>
        <w:tc>
          <w:tcPr>
            <w:tcW w:w="557" w:type="dxa"/>
            <w:shd w:val="clear" w:color="auto" w:fill="auto"/>
            <w:vAlign w:val="center"/>
          </w:tcPr>
          <w:p>
            <w:pPr>
              <w:pStyle w:val="178"/>
            </w:pPr>
            <w:r>
              <w:rPr>
                <w:rFonts w:hint="eastAsia"/>
              </w:rPr>
              <w:t>1</w:t>
            </w:r>
            <w:r>
              <w:t>2</w:t>
            </w:r>
          </w:p>
        </w:tc>
        <w:tc>
          <w:tcPr>
            <w:tcW w:w="1418" w:type="dxa"/>
            <w:vMerge w:val="continue"/>
            <w:shd w:val="clear" w:color="auto" w:fill="auto"/>
            <w:vAlign w:val="center"/>
          </w:tcPr>
          <w:p>
            <w:pPr>
              <w:pStyle w:val="178"/>
            </w:pPr>
          </w:p>
        </w:tc>
        <w:tc>
          <w:tcPr>
            <w:tcW w:w="3402" w:type="dxa"/>
            <w:gridSpan w:val="2"/>
            <w:shd w:val="clear" w:color="auto" w:fill="auto"/>
            <w:vAlign w:val="center"/>
          </w:tcPr>
          <w:p>
            <w:pPr>
              <w:pStyle w:val="178"/>
              <w:jc w:val="left"/>
            </w:pPr>
            <w:r>
              <w:rPr>
                <w:rFonts w:hint="eastAsia"/>
              </w:rPr>
              <w:t>社区公共建筑办公场所温室气体排放核算与报告</w:t>
            </w:r>
          </w:p>
        </w:tc>
        <w:tc>
          <w:tcPr>
            <w:tcW w:w="850" w:type="dxa"/>
            <w:shd w:val="clear" w:color="auto" w:fill="auto"/>
            <w:vAlign w:val="center"/>
          </w:tcPr>
          <w:p>
            <w:pPr>
              <w:pStyle w:val="178"/>
            </w:pPr>
            <w:r>
              <w:rPr>
                <w:rFonts w:hint="eastAsia"/>
              </w:rPr>
              <w:t>有</w:t>
            </w:r>
          </w:p>
        </w:tc>
        <w:tc>
          <w:tcPr>
            <w:tcW w:w="567" w:type="dxa"/>
            <w:shd w:val="clear" w:color="auto" w:fill="auto"/>
            <w:vAlign w:val="center"/>
          </w:tcPr>
          <w:p>
            <w:pPr>
              <w:pStyle w:val="178"/>
            </w:pPr>
            <w:r>
              <w:rPr>
                <w:rFonts w:hint="eastAsia"/>
              </w:rPr>
              <w:t>6</w:t>
            </w:r>
          </w:p>
        </w:tc>
        <w:tc>
          <w:tcPr>
            <w:tcW w:w="1276" w:type="dxa"/>
            <w:shd w:val="clear" w:color="auto" w:fill="auto"/>
            <w:vAlign w:val="center"/>
          </w:tcPr>
          <w:p>
            <w:pPr>
              <w:pStyle w:val="178"/>
            </w:pPr>
            <w:r>
              <w:rPr>
                <w:rFonts w:hint="eastAsia"/>
              </w:rPr>
              <w:t>—</w:t>
            </w:r>
          </w:p>
        </w:tc>
        <w:tc>
          <w:tcPr>
            <w:tcW w:w="1264" w:type="dxa"/>
            <w:shd w:val="clear" w:color="auto" w:fill="auto"/>
            <w:vAlign w:val="center"/>
          </w:tcPr>
          <w:p>
            <w:pPr>
              <w:pStyle w:val="178"/>
            </w:pPr>
            <w:r>
              <w:rPr>
                <w:rFonts w:hint="eastAsia"/>
              </w:rPr>
              <w:t>核心指标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6" w:hRule="atLeast"/>
          <w:jc w:val="center"/>
        </w:trPr>
        <w:tc>
          <w:tcPr>
            <w:tcW w:w="557" w:type="dxa"/>
            <w:shd w:val="clear" w:color="auto" w:fill="auto"/>
            <w:vAlign w:val="center"/>
          </w:tcPr>
          <w:p>
            <w:pPr>
              <w:pStyle w:val="178"/>
            </w:pPr>
            <w:r>
              <w:rPr>
                <w:rFonts w:hint="eastAsia"/>
              </w:rPr>
              <w:t>1</w:t>
            </w:r>
            <w:r>
              <w:t>3</w:t>
            </w:r>
          </w:p>
        </w:tc>
        <w:tc>
          <w:tcPr>
            <w:tcW w:w="1418" w:type="dxa"/>
            <w:vMerge w:val="continue"/>
            <w:shd w:val="clear" w:color="auto" w:fill="auto"/>
            <w:vAlign w:val="center"/>
          </w:tcPr>
          <w:p>
            <w:pPr>
              <w:pStyle w:val="178"/>
            </w:pPr>
          </w:p>
        </w:tc>
        <w:tc>
          <w:tcPr>
            <w:tcW w:w="3402" w:type="dxa"/>
            <w:gridSpan w:val="2"/>
            <w:shd w:val="clear" w:color="auto" w:fill="auto"/>
            <w:vAlign w:val="center"/>
          </w:tcPr>
          <w:p>
            <w:pPr>
              <w:pStyle w:val="178"/>
              <w:jc w:val="left"/>
            </w:pPr>
            <w:r>
              <w:rPr>
                <w:rFonts w:hint="eastAsia"/>
              </w:rPr>
              <w:t>社区公共建筑能源统计管理</w:t>
            </w:r>
          </w:p>
        </w:tc>
        <w:tc>
          <w:tcPr>
            <w:tcW w:w="850" w:type="dxa"/>
            <w:shd w:val="clear" w:color="auto" w:fill="auto"/>
            <w:vAlign w:val="center"/>
          </w:tcPr>
          <w:p>
            <w:pPr>
              <w:pStyle w:val="178"/>
            </w:pPr>
            <w:r>
              <w:rPr>
                <w:rFonts w:hint="eastAsia"/>
              </w:rPr>
              <w:t>建立制度</w:t>
            </w:r>
          </w:p>
        </w:tc>
        <w:tc>
          <w:tcPr>
            <w:tcW w:w="567" w:type="dxa"/>
            <w:shd w:val="clear" w:color="auto" w:fill="auto"/>
            <w:vAlign w:val="center"/>
          </w:tcPr>
          <w:p>
            <w:pPr>
              <w:pStyle w:val="178"/>
            </w:pPr>
            <w:r>
              <w:t>6</w:t>
            </w:r>
          </w:p>
        </w:tc>
        <w:tc>
          <w:tcPr>
            <w:tcW w:w="1276" w:type="dxa"/>
            <w:shd w:val="clear" w:color="auto" w:fill="auto"/>
            <w:vAlign w:val="center"/>
          </w:tcPr>
          <w:p>
            <w:pPr>
              <w:pStyle w:val="178"/>
            </w:pPr>
            <w:r>
              <w:rPr>
                <w:rFonts w:hint="eastAsia"/>
              </w:rPr>
              <w:t>—</w:t>
            </w:r>
          </w:p>
        </w:tc>
        <w:tc>
          <w:tcPr>
            <w:tcW w:w="1264" w:type="dxa"/>
            <w:shd w:val="clear" w:color="auto" w:fill="auto"/>
            <w:vAlign w:val="center"/>
          </w:tcPr>
          <w:p>
            <w:pPr>
              <w:pStyle w:val="178"/>
            </w:pPr>
            <w:r>
              <w:rPr>
                <w:rFonts w:hint="eastAsia"/>
              </w:rPr>
              <w:t>核心指标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6" w:hRule="atLeast"/>
          <w:jc w:val="center"/>
        </w:trPr>
        <w:tc>
          <w:tcPr>
            <w:tcW w:w="557" w:type="dxa"/>
            <w:vMerge w:val="restart"/>
            <w:shd w:val="clear" w:color="auto" w:fill="auto"/>
            <w:vAlign w:val="center"/>
          </w:tcPr>
          <w:p>
            <w:pPr>
              <w:pStyle w:val="178"/>
            </w:pPr>
            <w:r>
              <w:rPr>
                <w:rFonts w:hint="eastAsia"/>
              </w:rPr>
              <w:t>1</w:t>
            </w:r>
            <w:r>
              <w:t>4</w:t>
            </w:r>
          </w:p>
        </w:tc>
        <w:tc>
          <w:tcPr>
            <w:tcW w:w="1418" w:type="dxa"/>
            <w:vMerge w:val="continue"/>
            <w:shd w:val="clear" w:color="auto" w:fill="auto"/>
            <w:vAlign w:val="center"/>
          </w:tcPr>
          <w:p>
            <w:pPr>
              <w:pStyle w:val="178"/>
            </w:pPr>
          </w:p>
        </w:tc>
        <w:tc>
          <w:tcPr>
            <w:tcW w:w="3402" w:type="dxa"/>
            <w:gridSpan w:val="2"/>
            <w:shd w:val="clear" w:color="auto" w:fill="auto"/>
            <w:vAlign w:val="center"/>
          </w:tcPr>
          <w:p>
            <w:pPr>
              <w:pStyle w:val="178"/>
              <w:jc w:val="left"/>
            </w:pPr>
            <w:r>
              <w:rPr>
                <w:rFonts w:hint="eastAsia"/>
              </w:rPr>
              <w:t>（a）节电节水器具使用率</w:t>
            </w:r>
            <w:r>
              <w:rPr>
                <w:rFonts w:hint="eastAsia"/>
                <w:vertAlign w:val="superscript"/>
              </w:rPr>
              <w:t>①</w:t>
            </w:r>
            <w:r>
              <w:rPr>
                <w:rFonts w:hint="eastAsia"/>
              </w:rPr>
              <w:t>（%）</w:t>
            </w:r>
          </w:p>
        </w:tc>
        <w:tc>
          <w:tcPr>
            <w:tcW w:w="850" w:type="dxa"/>
            <w:shd w:val="clear" w:color="auto" w:fill="auto"/>
            <w:vAlign w:val="center"/>
          </w:tcPr>
          <w:p>
            <w:pPr>
              <w:pStyle w:val="178"/>
            </w:pPr>
            <w:r>
              <w:rPr>
                <w:rFonts w:hint="eastAsia"/>
              </w:rPr>
              <w:t>≥90</w:t>
            </w:r>
          </w:p>
        </w:tc>
        <w:tc>
          <w:tcPr>
            <w:tcW w:w="567" w:type="dxa"/>
            <w:shd w:val="clear" w:color="auto" w:fill="auto"/>
            <w:vAlign w:val="center"/>
          </w:tcPr>
          <w:p>
            <w:pPr>
              <w:pStyle w:val="178"/>
            </w:pPr>
            <w:r>
              <w:rPr>
                <w:rFonts w:hint="eastAsia"/>
              </w:rPr>
              <w:t>8</w:t>
            </w:r>
          </w:p>
        </w:tc>
        <w:tc>
          <w:tcPr>
            <w:tcW w:w="1276" w:type="dxa"/>
            <w:vMerge w:val="restart"/>
            <w:shd w:val="clear" w:color="auto" w:fill="auto"/>
            <w:vAlign w:val="center"/>
          </w:tcPr>
          <w:p>
            <w:pPr>
              <w:pStyle w:val="178"/>
            </w:pPr>
            <w:r>
              <w:rPr>
                <w:rFonts w:hint="eastAsia"/>
              </w:rPr>
              <w:t>如（a）不满足时，可选用（b）得分项</w:t>
            </w:r>
          </w:p>
        </w:tc>
        <w:tc>
          <w:tcPr>
            <w:tcW w:w="1264" w:type="dxa"/>
            <w:vMerge w:val="restart"/>
            <w:shd w:val="clear" w:color="auto" w:fill="auto"/>
            <w:vAlign w:val="center"/>
          </w:tcPr>
          <w:p>
            <w:pPr>
              <w:pStyle w:val="178"/>
            </w:pPr>
            <w:r>
              <w:rPr>
                <w:rFonts w:hint="eastAsia"/>
              </w:rPr>
              <w:t>核心指标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6" w:hRule="atLeast"/>
          <w:jc w:val="center"/>
        </w:trPr>
        <w:tc>
          <w:tcPr>
            <w:tcW w:w="557" w:type="dxa"/>
            <w:vMerge w:val="continue"/>
            <w:shd w:val="clear" w:color="auto" w:fill="auto"/>
            <w:vAlign w:val="center"/>
          </w:tcPr>
          <w:p>
            <w:pPr>
              <w:pStyle w:val="178"/>
            </w:pPr>
          </w:p>
        </w:tc>
        <w:tc>
          <w:tcPr>
            <w:tcW w:w="1418" w:type="dxa"/>
            <w:vMerge w:val="continue"/>
            <w:shd w:val="clear" w:color="auto" w:fill="auto"/>
            <w:vAlign w:val="center"/>
          </w:tcPr>
          <w:p>
            <w:pPr>
              <w:pStyle w:val="178"/>
            </w:pPr>
          </w:p>
        </w:tc>
        <w:tc>
          <w:tcPr>
            <w:tcW w:w="3402" w:type="dxa"/>
            <w:gridSpan w:val="2"/>
            <w:shd w:val="clear" w:color="auto" w:fill="auto"/>
            <w:vAlign w:val="center"/>
          </w:tcPr>
          <w:p>
            <w:pPr>
              <w:pStyle w:val="178"/>
              <w:jc w:val="left"/>
            </w:pPr>
            <w:r>
              <w:rPr>
                <w:rFonts w:hint="eastAsia"/>
              </w:rPr>
              <w:t>（b）配置节能设备设施</w:t>
            </w:r>
            <w:r>
              <w:rPr>
                <w:rFonts w:hint="eastAsia"/>
                <w:vertAlign w:val="superscript"/>
              </w:rPr>
              <w:t>②</w:t>
            </w:r>
            <w:r>
              <w:rPr>
                <w:rFonts w:hint="eastAsia"/>
              </w:rPr>
              <w:t>（个）：空调、电梯、数据中心用电设备、照明、供电等设备</w:t>
            </w:r>
          </w:p>
        </w:tc>
        <w:tc>
          <w:tcPr>
            <w:tcW w:w="850" w:type="dxa"/>
            <w:shd w:val="clear" w:color="auto" w:fill="auto"/>
            <w:vAlign w:val="center"/>
          </w:tcPr>
          <w:p>
            <w:pPr>
              <w:pStyle w:val="178"/>
            </w:pPr>
            <w:r>
              <w:rPr>
                <w:rFonts w:hint="eastAsia"/>
              </w:rPr>
              <w:t>≥1</w:t>
            </w:r>
          </w:p>
        </w:tc>
        <w:tc>
          <w:tcPr>
            <w:tcW w:w="567" w:type="dxa"/>
            <w:shd w:val="clear" w:color="auto" w:fill="auto"/>
            <w:vAlign w:val="center"/>
          </w:tcPr>
          <w:p>
            <w:pPr>
              <w:pStyle w:val="178"/>
            </w:pPr>
            <w:r>
              <w:rPr>
                <w:rFonts w:hint="eastAsia"/>
              </w:rPr>
              <w:t>5</w:t>
            </w:r>
          </w:p>
        </w:tc>
        <w:tc>
          <w:tcPr>
            <w:tcW w:w="1276" w:type="dxa"/>
            <w:vMerge w:val="continue"/>
            <w:shd w:val="clear" w:color="auto" w:fill="auto"/>
            <w:vAlign w:val="center"/>
          </w:tcPr>
          <w:p>
            <w:pPr>
              <w:pStyle w:val="178"/>
            </w:pPr>
          </w:p>
        </w:tc>
        <w:tc>
          <w:tcPr>
            <w:tcW w:w="1264" w:type="dxa"/>
            <w:vMerge w:val="continue"/>
            <w:shd w:val="clear" w:color="auto" w:fill="auto"/>
            <w:vAlign w:val="center"/>
          </w:tcPr>
          <w:p>
            <w:pPr>
              <w:pStyle w:val="178"/>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6" w:hRule="atLeast"/>
          <w:jc w:val="center"/>
        </w:trPr>
        <w:tc>
          <w:tcPr>
            <w:tcW w:w="557" w:type="dxa"/>
            <w:shd w:val="clear" w:color="auto" w:fill="auto"/>
            <w:vAlign w:val="center"/>
          </w:tcPr>
          <w:p>
            <w:pPr>
              <w:pStyle w:val="178"/>
            </w:pPr>
            <w:r>
              <w:rPr>
                <w:rFonts w:hint="eastAsia"/>
              </w:rPr>
              <w:t>1</w:t>
            </w:r>
            <w:r>
              <w:t>5</w:t>
            </w:r>
          </w:p>
        </w:tc>
        <w:tc>
          <w:tcPr>
            <w:tcW w:w="1418" w:type="dxa"/>
            <w:vMerge w:val="restart"/>
            <w:shd w:val="clear" w:color="auto" w:fill="auto"/>
            <w:vAlign w:val="center"/>
          </w:tcPr>
          <w:p>
            <w:pPr>
              <w:pStyle w:val="178"/>
            </w:pPr>
            <w:r>
              <w:rPr>
                <w:rFonts w:hint="eastAsia"/>
              </w:rPr>
              <w:t>公共参与</w:t>
            </w:r>
          </w:p>
        </w:tc>
        <w:tc>
          <w:tcPr>
            <w:tcW w:w="3402" w:type="dxa"/>
            <w:gridSpan w:val="2"/>
            <w:shd w:val="clear" w:color="auto" w:fill="auto"/>
            <w:vAlign w:val="center"/>
          </w:tcPr>
          <w:p>
            <w:pPr>
              <w:pStyle w:val="178"/>
              <w:jc w:val="left"/>
            </w:pPr>
            <w:r>
              <w:rPr>
                <w:rFonts w:hint="eastAsia"/>
              </w:rPr>
              <w:t>低碳宣传教育（次/年）</w:t>
            </w:r>
          </w:p>
        </w:tc>
        <w:tc>
          <w:tcPr>
            <w:tcW w:w="850" w:type="dxa"/>
            <w:shd w:val="clear" w:color="auto" w:fill="auto"/>
            <w:vAlign w:val="center"/>
          </w:tcPr>
          <w:p>
            <w:pPr>
              <w:pStyle w:val="178"/>
            </w:pPr>
            <w:r>
              <w:rPr>
                <w:rFonts w:hint="eastAsia"/>
              </w:rPr>
              <w:t>≥4</w:t>
            </w:r>
          </w:p>
        </w:tc>
        <w:tc>
          <w:tcPr>
            <w:tcW w:w="567" w:type="dxa"/>
            <w:shd w:val="clear" w:color="auto" w:fill="auto"/>
            <w:vAlign w:val="center"/>
          </w:tcPr>
          <w:p>
            <w:pPr>
              <w:pStyle w:val="178"/>
            </w:pPr>
            <w:r>
              <w:rPr>
                <w:rFonts w:hint="eastAsia"/>
              </w:rPr>
              <w:t>6</w:t>
            </w:r>
          </w:p>
        </w:tc>
        <w:tc>
          <w:tcPr>
            <w:tcW w:w="1276" w:type="dxa"/>
            <w:shd w:val="clear" w:color="auto" w:fill="auto"/>
            <w:vAlign w:val="center"/>
          </w:tcPr>
          <w:p>
            <w:pPr>
              <w:pStyle w:val="178"/>
            </w:pPr>
            <w:r>
              <w:rPr>
                <w:rFonts w:hint="eastAsia"/>
              </w:rPr>
              <w:t>—</w:t>
            </w:r>
          </w:p>
        </w:tc>
        <w:tc>
          <w:tcPr>
            <w:tcW w:w="1264" w:type="dxa"/>
            <w:shd w:val="clear" w:color="auto" w:fill="auto"/>
            <w:vAlign w:val="center"/>
          </w:tcPr>
          <w:p>
            <w:pPr>
              <w:pStyle w:val="178"/>
            </w:pPr>
            <w:r>
              <w:rPr>
                <w:rFonts w:hint="eastAsia"/>
              </w:rPr>
              <w:t>核心指标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557" w:type="dxa"/>
            <w:shd w:val="clear" w:color="auto" w:fill="auto"/>
            <w:vAlign w:val="center"/>
          </w:tcPr>
          <w:p>
            <w:pPr>
              <w:pStyle w:val="178"/>
            </w:pPr>
            <w:r>
              <w:rPr>
                <w:rFonts w:hint="eastAsia"/>
              </w:rPr>
              <w:t>1</w:t>
            </w:r>
            <w:r>
              <w:t>6</w:t>
            </w:r>
          </w:p>
        </w:tc>
        <w:tc>
          <w:tcPr>
            <w:tcW w:w="1418" w:type="dxa"/>
            <w:vMerge w:val="continue"/>
            <w:shd w:val="clear" w:color="auto" w:fill="auto"/>
            <w:vAlign w:val="center"/>
          </w:tcPr>
          <w:p>
            <w:pPr>
              <w:pStyle w:val="178"/>
            </w:pPr>
          </w:p>
        </w:tc>
        <w:tc>
          <w:tcPr>
            <w:tcW w:w="3402" w:type="dxa"/>
            <w:gridSpan w:val="2"/>
            <w:shd w:val="clear" w:color="auto" w:fill="auto"/>
            <w:vAlign w:val="center"/>
          </w:tcPr>
          <w:p>
            <w:pPr>
              <w:pStyle w:val="178"/>
              <w:jc w:val="left"/>
            </w:pPr>
            <w:r>
              <w:rPr>
                <w:rFonts w:hint="eastAsia"/>
              </w:rPr>
              <w:t>社区低碳信息服务（设置绿色低碳宣传栏、网络平台发布绿色低碳信息等）</w:t>
            </w:r>
          </w:p>
        </w:tc>
        <w:tc>
          <w:tcPr>
            <w:tcW w:w="850" w:type="dxa"/>
            <w:shd w:val="clear" w:color="auto" w:fill="auto"/>
            <w:vAlign w:val="center"/>
          </w:tcPr>
          <w:p>
            <w:pPr>
              <w:pStyle w:val="178"/>
            </w:pPr>
            <w:r>
              <w:rPr>
                <w:rFonts w:hint="eastAsia"/>
              </w:rPr>
              <w:t>开展</w:t>
            </w:r>
          </w:p>
        </w:tc>
        <w:tc>
          <w:tcPr>
            <w:tcW w:w="567" w:type="dxa"/>
            <w:shd w:val="clear" w:color="auto" w:fill="auto"/>
            <w:vAlign w:val="center"/>
          </w:tcPr>
          <w:p>
            <w:pPr>
              <w:pStyle w:val="178"/>
            </w:pPr>
            <w:r>
              <w:rPr>
                <w:rFonts w:hint="eastAsia"/>
              </w:rPr>
              <w:t>6</w:t>
            </w:r>
          </w:p>
        </w:tc>
        <w:tc>
          <w:tcPr>
            <w:tcW w:w="1276" w:type="dxa"/>
            <w:shd w:val="clear" w:color="auto" w:fill="auto"/>
            <w:vAlign w:val="center"/>
          </w:tcPr>
          <w:p>
            <w:pPr>
              <w:pStyle w:val="178"/>
            </w:pPr>
            <w:r>
              <w:rPr>
                <w:rFonts w:hint="eastAsia"/>
              </w:rPr>
              <w:t>—</w:t>
            </w:r>
          </w:p>
        </w:tc>
        <w:tc>
          <w:tcPr>
            <w:tcW w:w="1264" w:type="dxa"/>
            <w:shd w:val="clear" w:color="auto" w:fill="auto"/>
            <w:vAlign w:val="center"/>
          </w:tcPr>
          <w:p>
            <w:pPr>
              <w:pStyle w:val="178"/>
            </w:pPr>
            <w:r>
              <w:rPr>
                <w:rFonts w:hint="eastAsia"/>
              </w:rPr>
              <w:t>核心指标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6" w:hRule="atLeast"/>
          <w:jc w:val="center"/>
        </w:trPr>
        <w:tc>
          <w:tcPr>
            <w:tcW w:w="557" w:type="dxa"/>
            <w:vMerge w:val="restart"/>
            <w:shd w:val="clear" w:color="auto" w:fill="auto"/>
            <w:vAlign w:val="center"/>
          </w:tcPr>
          <w:p>
            <w:pPr>
              <w:pStyle w:val="178"/>
            </w:pPr>
            <w:r>
              <w:rPr>
                <w:rFonts w:hint="eastAsia"/>
              </w:rPr>
              <w:t>1</w:t>
            </w:r>
            <w:r>
              <w:t>7</w:t>
            </w:r>
          </w:p>
        </w:tc>
        <w:tc>
          <w:tcPr>
            <w:tcW w:w="1418" w:type="dxa"/>
            <w:vMerge w:val="continue"/>
            <w:shd w:val="clear" w:color="auto" w:fill="auto"/>
            <w:vAlign w:val="center"/>
          </w:tcPr>
          <w:p>
            <w:pPr>
              <w:pStyle w:val="178"/>
            </w:pPr>
          </w:p>
        </w:tc>
        <w:tc>
          <w:tcPr>
            <w:tcW w:w="1134" w:type="dxa"/>
            <w:vMerge w:val="restart"/>
            <w:shd w:val="clear" w:color="auto" w:fill="auto"/>
            <w:vAlign w:val="center"/>
          </w:tcPr>
          <w:p>
            <w:pPr>
              <w:pStyle w:val="178"/>
              <w:jc w:val="left"/>
            </w:pPr>
            <w:r>
              <w:rPr>
                <w:rFonts w:hint="eastAsia"/>
              </w:rPr>
              <w:t>旧物交换及回收利用设施</w:t>
            </w:r>
          </w:p>
        </w:tc>
        <w:tc>
          <w:tcPr>
            <w:tcW w:w="2268" w:type="dxa"/>
            <w:shd w:val="clear" w:color="auto" w:fill="auto"/>
            <w:vAlign w:val="center"/>
          </w:tcPr>
          <w:p>
            <w:pPr>
              <w:pStyle w:val="178"/>
              <w:jc w:val="left"/>
            </w:pPr>
            <w:r>
              <w:rPr>
                <w:rFonts w:hint="eastAsia"/>
              </w:rPr>
              <w:t>旧物交换活动（次/月）</w:t>
            </w:r>
          </w:p>
        </w:tc>
        <w:tc>
          <w:tcPr>
            <w:tcW w:w="850" w:type="dxa"/>
            <w:shd w:val="clear" w:color="auto" w:fill="auto"/>
            <w:vAlign w:val="center"/>
          </w:tcPr>
          <w:p>
            <w:pPr>
              <w:pStyle w:val="178"/>
            </w:pPr>
            <w:r>
              <w:rPr>
                <w:rFonts w:hint="eastAsia"/>
              </w:rPr>
              <w:t>≥1</w:t>
            </w:r>
          </w:p>
        </w:tc>
        <w:tc>
          <w:tcPr>
            <w:tcW w:w="567" w:type="dxa"/>
            <w:shd w:val="clear" w:color="auto" w:fill="auto"/>
            <w:vAlign w:val="center"/>
          </w:tcPr>
          <w:p>
            <w:pPr>
              <w:pStyle w:val="178"/>
            </w:pPr>
            <w:r>
              <w:rPr>
                <w:rFonts w:hint="eastAsia"/>
              </w:rPr>
              <w:t>6</w:t>
            </w:r>
          </w:p>
        </w:tc>
        <w:tc>
          <w:tcPr>
            <w:tcW w:w="1276" w:type="dxa"/>
            <w:shd w:val="clear" w:color="auto" w:fill="auto"/>
            <w:vAlign w:val="center"/>
          </w:tcPr>
          <w:p>
            <w:pPr>
              <w:pStyle w:val="178"/>
            </w:pPr>
            <w:r>
              <w:rPr>
                <w:rFonts w:hint="eastAsia"/>
              </w:rPr>
              <w:t>—</w:t>
            </w:r>
          </w:p>
        </w:tc>
        <w:tc>
          <w:tcPr>
            <w:tcW w:w="1264" w:type="dxa"/>
            <w:shd w:val="clear" w:color="auto" w:fill="auto"/>
            <w:vAlign w:val="center"/>
          </w:tcPr>
          <w:p>
            <w:pPr>
              <w:pStyle w:val="178"/>
            </w:pPr>
            <w:r>
              <w:rPr>
                <w:rFonts w:hint="eastAsia"/>
              </w:rPr>
              <w:t>核心指标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6" w:hRule="atLeast"/>
          <w:jc w:val="center"/>
        </w:trPr>
        <w:tc>
          <w:tcPr>
            <w:tcW w:w="557" w:type="dxa"/>
            <w:vMerge w:val="continue"/>
            <w:shd w:val="clear" w:color="auto" w:fill="auto"/>
            <w:vAlign w:val="center"/>
          </w:tcPr>
          <w:p>
            <w:pPr>
              <w:pStyle w:val="178"/>
            </w:pPr>
          </w:p>
        </w:tc>
        <w:tc>
          <w:tcPr>
            <w:tcW w:w="1418" w:type="dxa"/>
            <w:vMerge w:val="continue"/>
            <w:shd w:val="clear" w:color="auto" w:fill="auto"/>
            <w:vAlign w:val="center"/>
          </w:tcPr>
          <w:p>
            <w:pPr>
              <w:pStyle w:val="178"/>
            </w:pPr>
          </w:p>
        </w:tc>
        <w:tc>
          <w:tcPr>
            <w:tcW w:w="1134" w:type="dxa"/>
            <w:vMerge w:val="continue"/>
            <w:shd w:val="clear" w:color="auto" w:fill="auto"/>
            <w:vAlign w:val="center"/>
          </w:tcPr>
          <w:p>
            <w:pPr>
              <w:pStyle w:val="178"/>
            </w:pPr>
          </w:p>
        </w:tc>
        <w:tc>
          <w:tcPr>
            <w:tcW w:w="2268" w:type="dxa"/>
            <w:shd w:val="clear" w:color="auto" w:fill="auto"/>
            <w:vAlign w:val="center"/>
          </w:tcPr>
          <w:p>
            <w:pPr>
              <w:pStyle w:val="178"/>
              <w:jc w:val="left"/>
            </w:pPr>
            <w:r>
              <w:rPr>
                <w:rFonts w:hint="eastAsia"/>
              </w:rPr>
              <w:t>垃圾分类回收活动（次/月）</w:t>
            </w:r>
          </w:p>
        </w:tc>
        <w:tc>
          <w:tcPr>
            <w:tcW w:w="850" w:type="dxa"/>
            <w:shd w:val="clear" w:color="auto" w:fill="auto"/>
            <w:vAlign w:val="center"/>
          </w:tcPr>
          <w:p>
            <w:pPr>
              <w:pStyle w:val="178"/>
            </w:pPr>
            <w:r>
              <w:rPr>
                <w:rFonts w:hint="eastAsia"/>
              </w:rPr>
              <w:t>≥2</w:t>
            </w:r>
          </w:p>
        </w:tc>
        <w:tc>
          <w:tcPr>
            <w:tcW w:w="567" w:type="dxa"/>
            <w:shd w:val="clear" w:color="auto" w:fill="auto"/>
            <w:vAlign w:val="center"/>
          </w:tcPr>
          <w:p>
            <w:pPr>
              <w:pStyle w:val="178"/>
            </w:pPr>
            <w:r>
              <w:rPr>
                <w:rFonts w:hint="eastAsia"/>
              </w:rPr>
              <w:t>6</w:t>
            </w:r>
          </w:p>
        </w:tc>
        <w:tc>
          <w:tcPr>
            <w:tcW w:w="1276" w:type="dxa"/>
            <w:shd w:val="clear" w:color="auto" w:fill="auto"/>
            <w:vAlign w:val="center"/>
          </w:tcPr>
          <w:p>
            <w:pPr>
              <w:pStyle w:val="178"/>
            </w:pPr>
            <w:r>
              <w:rPr>
                <w:rFonts w:hint="eastAsia"/>
              </w:rPr>
              <w:t>—</w:t>
            </w:r>
          </w:p>
        </w:tc>
        <w:tc>
          <w:tcPr>
            <w:tcW w:w="1264" w:type="dxa"/>
            <w:shd w:val="clear" w:color="auto" w:fill="auto"/>
            <w:vAlign w:val="center"/>
          </w:tcPr>
          <w:p>
            <w:pPr>
              <w:pStyle w:val="178"/>
            </w:pPr>
            <w:r>
              <w:rPr>
                <w:rFonts w:hint="eastAsia"/>
              </w:rPr>
              <w:t>核心指标</w:t>
            </w:r>
          </w:p>
        </w:tc>
      </w:tr>
    </w:tbl>
    <w:p>
      <w:pPr>
        <w:pStyle w:val="179"/>
      </w:pPr>
      <w:r>
        <w:rPr>
          <w:rFonts w:hint="eastAsia"/>
        </w:rPr>
        <w:t>①②满足国家标准节能评价值能效二级及以上的要求。</w:t>
      </w:r>
    </w:p>
    <w:p>
      <w:pPr>
        <w:pStyle w:val="104"/>
        <w:spacing w:before="312" w:after="312"/>
      </w:pPr>
      <w:bookmarkStart w:id="56" w:name="_Toc146541072"/>
      <w:bookmarkStart w:id="57" w:name="_Toc146541115"/>
      <w:r>
        <w:rPr>
          <w:rFonts w:hint="eastAsia"/>
        </w:rPr>
        <w:t>评价指标解释及计算</w:t>
      </w:r>
      <w:bookmarkEnd w:id="56"/>
      <w:bookmarkEnd w:id="57"/>
    </w:p>
    <w:p>
      <w:pPr>
        <w:pStyle w:val="105"/>
        <w:spacing w:before="156" w:after="156"/>
      </w:pPr>
      <w:bookmarkStart w:id="58" w:name="_Toc146541073"/>
      <w:r>
        <w:rPr>
          <w:rFonts w:hint="eastAsia"/>
        </w:rPr>
        <w:t>单位面积碳排放量</w:t>
      </w:r>
      <w:bookmarkEnd w:id="58"/>
    </w:p>
    <w:p>
      <w:pPr>
        <w:pStyle w:val="56"/>
        <w:ind w:firstLine="420"/>
      </w:pPr>
      <w:r>
        <w:rPr>
          <w:rFonts w:hint="eastAsia"/>
        </w:rPr>
        <w:t>社区公共建筑需对温室气体排放源做好识别与统计，确保用能温室气体排放量计算的准确性。</w:t>
      </w:r>
    </w:p>
    <w:p>
      <w:pPr>
        <w:pStyle w:val="56"/>
        <w:ind w:firstLine="420"/>
      </w:pPr>
      <w:r>
        <w:rPr>
          <w:rFonts w:hint="eastAsia"/>
        </w:rPr>
        <w:t>单位面积碳排放量计算方法见公式（1）：</w:t>
      </w:r>
    </w:p>
    <w:p>
      <w:pPr>
        <w:pStyle w:val="56"/>
        <w:ind w:firstLine="420"/>
      </w:pPr>
    </w:p>
    <w:p>
      <w:pPr>
        <w:autoSpaceDE w:val="0"/>
        <w:autoSpaceDN w:val="0"/>
        <w:adjustRightInd/>
        <w:spacing w:line="240" w:lineRule="auto"/>
        <w:ind w:firstLine="420" w:firstLineChars="200"/>
        <w:jc w:val="left"/>
        <w:rPr>
          <w:rFonts w:ascii="宋体" w:hAnsi="宋体" w:cs="宋体"/>
          <w:kern w:val="0"/>
          <w:sz w:val="28"/>
          <w:szCs w:val="28"/>
          <w:lang w:bidi="en-US"/>
        </w:rPr>
      </w:pPr>
      <w:r>
        <w:rPr>
          <w:rFonts w:hint="eastAsia" w:ascii="宋体" w:hAnsi="宋体" w:cs="宋体"/>
          <w:kern w:val="0"/>
          <w:lang w:bidi="en-US"/>
        </w:rPr>
        <w:t>单位面积碳排放量</w:t>
      </w:r>
      <w:r>
        <w:rPr>
          <w:rFonts w:ascii="Times New Roman" w:hAnsi="Times New Roman"/>
          <w:kern w:val="0"/>
          <w:lang w:bidi="en-US"/>
        </w:rPr>
        <w:t>（tCO</w:t>
      </w:r>
      <w:r>
        <w:rPr>
          <w:rFonts w:ascii="Times New Roman" w:hAnsi="Times New Roman"/>
          <w:kern w:val="0"/>
          <w:vertAlign w:val="subscript"/>
          <w:lang w:bidi="en-US"/>
        </w:rPr>
        <w:t>2</w:t>
      </w:r>
      <w:r>
        <w:rPr>
          <w:rFonts w:ascii="Times New Roman" w:hAnsi="Times New Roman"/>
          <w:kern w:val="0"/>
          <w:lang w:bidi="en-US"/>
        </w:rPr>
        <w:t>/m</w:t>
      </w:r>
      <w:r>
        <w:rPr>
          <w:rFonts w:ascii="Times New Roman" w:hAnsi="Times New Roman"/>
          <w:kern w:val="0"/>
          <w:vertAlign w:val="superscript"/>
          <w:lang w:bidi="en-US"/>
        </w:rPr>
        <w:t>2</w:t>
      </w:r>
      <w:r>
        <w:rPr>
          <w:rFonts w:ascii="Times New Roman" w:hAnsi="Times New Roman"/>
          <w:kern w:val="0"/>
          <w:lang w:bidi="en-US"/>
        </w:rPr>
        <w:t>)</w:t>
      </w:r>
      <w:r>
        <w:rPr>
          <w:rFonts w:hint="eastAsia" w:ascii="宋体" w:hAnsi="宋体" w:cs="宋体"/>
          <w:kern w:val="0"/>
          <w:lang w:bidi="en-US"/>
        </w:rPr>
        <w:t>=</w:t>
      </w:r>
      <m:oMath>
        <m:f>
          <m:fPr>
            <m:ctrlPr>
              <w:rPr>
                <w:rFonts w:hint="eastAsia" w:ascii="Cambria Math" w:hAnsi="Cambria Math" w:cs="宋体"/>
                <w:kern w:val="0"/>
                <w:sz w:val="28"/>
                <w:szCs w:val="28"/>
                <w:lang w:eastAsia="en-US" w:bidi="en-US"/>
              </w:rPr>
            </m:ctrlPr>
          </m:fPr>
          <m:num>
            <m:r>
              <m:rPr>
                <m:sty m:val="p"/>
              </m:rPr>
              <w:rPr>
                <w:rFonts w:hint="eastAsia" w:ascii="Cambria Math" w:hAnsi="Cambria Math" w:cs="宋体"/>
                <w:kern w:val="0"/>
                <w:sz w:val="28"/>
                <w:szCs w:val="28"/>
                <w:lang w:bidi="en-US"/>
              </w:rPr>
              <m:t>社区公共建筑年用能产生的温室气体排放（</m:t>
            </m:r>
            <m:r>
              <m:rPr>
                <m:sty m:val="p"/>
              </m:rPr>
              <w:rPr>
                <w:rFonts w:ascii="Cambria Math" w:hAnsi="Cambria Math" w:cs="宋体"/>
                <w:kern w:val="0"/>
                <w:sz w:val="28"/>
                <w:szCs w:val="28"/>
                <w:lang w:bidi="en-US"/>
              </w:rPr>
              <m:t>t</m:t>
            </m:r>
            <m:sSub>
              <m:sSubPr>
                <m:ctrlPr>
                  <w:rPr>
                    <w:rFonts w:ascii="Cambria Math" w:hAnsi="Cambria Math" w:cs="宋体"/>
                    <w:kern w:val="0"/>
                    <w:sz w:val="28"/>
                    <w:szCs w:val="28"/>
                    <w:lang w:bidi="en-US"/>
                  </w:rPr>
                </m:ctrlPr>
              </m:sSubPr>
              <m:e>
                <m:r>
                  <m:rPr>
                    <m:sty m:val="p"/>
                  </m:rPr>
                  <w:rPr>
                    <w:rFonts w:ascii="Cambria Math" w:hAnsi="Cambria Math" w:cs="宋体"/>
                    <w:kern w:val="0"/>
                    <w:sz w:val="28"/>
                    <w:szCs w:val="28"/>
                    <w:lang w:bidi="en-US"/>
                  </w:rPr>
                  <m:t>CO</m:t>
                </m:r>
                <m:ctrlPr>
                  <w:rPr>
                    <w:rFonts w:ascii="Cambria Math" w:hAnsi="Cambria Math" w:cs="宋体"/>
                    <w:kern w:val="0"/>
                    <w:sz w:val="28"/>
                    <w:szCs w:val="28"/>
                    <w:lang w:bidi="en-US"/>
                  </w:rPr>
                </m:ctrlPr>
              </m:e>
              <m:sub>
                <m:r>
                  <m:rPr>
                    <m:sty m:val="p"/>
                  </m:rPr>
                  <w:rPr>
                    <w:rFonts w:ascii="Cambria Math" w:hAnsi="Cambria Math" w:cs="宋体"/>
                    <w:kern w:val="0"/>
                    <w:sz w:val="28"/>
                    <w:szCs w:val="28"/>
                    <w:lang w:bidi="en-US"/>
                  </w:rPr>
                  <m:t>2</m:t>
                </m:r>
                <m:ctrlPr>
                  <w:rPr>
                    <w:rFonts w:ascii="Cambria Math" w:hAnsi="Cambria Math" w:cs="宋体"/>
                    <w:kern w:val="0"/>
                    <w:sz w:val="28"/>
                    <w:szCs w:val="28"/>
                    <w:lang w:bidi="en-US"/>
                  </w:rPr>
                </m:ctrlPr>
              </m:sub>
            </m:sSub>
            <m:r>
              <m:rPr>
                <m:sty m:val="p"/>
              </m:rPr>
              <w:rPr>
                <w:rFonts w:ascii="Cambria Math" w:hAnsi="Cambria Math" w:cs="宋体"/>
                <w:kern w:val="0"/>
                <w:sz w:val="28"/>
                <w:szCs w:val="28"/>
                <w:lang w:bidi="en-US"/>
              </w:rPr>
              <m:t>)</m:t>
            </m:r>
            <m:ctrlPr>
              <w:rPr>
                <w:rFonts w:hint="eastAsia" w:ascii="Cambria Math" w:hAnsi="Cambria Math" w:cs="宋体"/>
                <w:kern w:val="0"/>
                <w:sz w:val="28"/>
                <w:szCs w:val="28"/>
                <w:lang w:eastAsia="en-US" w:bidi="en-US"/>
              </w:rPr>
            </m:ctrlPr>
          </m:num>
          <m:den>
            <m:r>
              <m:rPr>
                <m:sty m:val="p"/>
              </m:rPr>
              <w:rPr>
                <w:rFonts w:hint="eastAsia" w:ascii="Cambria Math" w:hAnsi="Cambria Math" w:cs="宋体"/>
                <w:kern w:val="0"/>
                <w:sz w:val="28"/>
                <w:szCs w:val="28"/>
                <w:lang w:bidi="en-US"/>
              </w:rPr>
              <m:t>社区公共建筑办公区域面积</m:t>
            </m:r>
            <m:r>
              <m:rPr>
                <m:sty m:val="p"/>
              </m:rPr>
              <w:rPr>
                <w:rFonts w:ascii="Cambria Math" w:hAnsi="Cambria Math" w:cs="宋体"/>
                <w:kern w:val="0"/>
                <w:sz w:val="28"/>
                <w:szCs w:val="28"/>
                <w:lang w:bidi="en-US"/>
              </w:rPr>
              <m:t>(</m:t>
            </m:r>
            <m:sSup>
              <m:sSupPr>
                <m:ctrlPr>
                  <w:rPr>
                    <w:rFonts w:ascii="Cambria Math" w:hAnsi="Cambria Math"/>
                    <w:kern w:val="0"/>
                    <w:sz w:val="28"/>
                    <w:szCs w:val="28"/>
                    <w:lang w:bidi="en-US"/>
                  </w:rPr>
                </m:ctrlPr>
              </m:sSupPr>
              <m:e>
                <m:r>
                  <m:rPr>
                    <m:sty m:val="p"/>
                  </m:rPr>
                  <w:rPr>
                    <w:rFonts w:ascii="Cambria Math" w:hAnsi="Cambria Math"/>
                    <w:kern w:val="0"/>
                    <w:sz w:val="28"/>
                    <w:szCs w:val="28"/>
                    <w:lang w:bidi="en-US"/>
                  </w:rPr>
                  <m:t>m</m:t>
                </m:r>
                <m:ctrlPr>
                  <w:rPr>
                    <w:rFonts w:ascii="Cambria Math" w:hAnsi="Cambria Math"/>
                    <w:kern w:val="0"/>
                    <w:sz w:val="28"/>
                    <w:szCs w:val="28"/>
                    <w:lang w:bidi="en-US"/>
                  </w:rPr>
                </m:ctrlPr>
              </m:e>
              <m:sup>
                <m:r>
                  <m:rPr>
                    <m:sty m:val="p"/>
                  </m:rPr>
                  <w:rPr>
                    <w:rFonts w:ascii="Cambria Math" w:hAnsi="Cambria Math"/>
                    <w:kern w:val="0"/>
                    <w:sz w:val="28"/>
                    <w:szCs w:val="28"/>
                    <w:lang w:bidi="en-US"/>
                  </w:rPr>
                  <m:t>2</m:t>
                </m:r>
                <m:ctrlPr>
                  <w:rPr>
                    <w:rFonts w:ascii="Cambria Math" w:hAnsi="Cambria Math"/>
                    <w:kern w:val="0"/>
                    <w:sz w:val="28"/>
                    <w:szCs w:val="28"/>
                    <w:lang w:bidi="en-US"/>
                  </w:rPr>
                </m:ctrlPr>
              </m:sup>
            </m:sSup>
            <m:r>
              <m:rPr>
                <m:sty m:val="p"/>
              </m:rPr>
              <w:rPr>
                <w:rFonts w:ascii="Cambria Math" w:hAnsi="Cambria Math" w:cs="宋体"/>
                <w:kern w:val="0"/>
                <w:sz w:val="28"/>
                <w:szCs w:val="28"/>
                <w:lang w:bidi="en-US"/>
              </w:rPr>
              <m:t>)</m:t>
            </m:r>
            <m:ctrlPr>
              <w:rPr>
                <w:rFonts w:hint="eastAsia" w:ascii="Cambria Math" w:hAnsi="Cambria Math" w:cs="宋体"/>
                <w:kern w:val="0"/>
                <w:sz w:val="28"/>
                <w:szCs w:val="28"/>
                <w:lang w:eastAsia="en-US" w:bidi="en-US"/>
              </w:rPr>
            </m:ctrlPr>
          </m:den>
        </m:f>
      </m:oMath>
      <w:r>
        <w:rPr>
          <w:rFonts w:hint="eastAsia" w:ascii="宋体" w:hAnsi="宋体" w:cs="宋体"/>
          <w:spacing w:val="-8"/>
          <w:kern w:val="0"/>
          <w:lang w:bidi="en-US"/>
        </w:rPr>
        <w:t>………………（1）</w:t>
      </w:r>
    </w:p>
    <w:p>
      <w:pPr>
        <w:pStyle w:val="56"/>
        <w:ind w:firstLine="420"/>
      </w:pPr>
      <w:r>
        <w:rPr>
          <w:rFonts w:hint="eastAsia"/>
        </w:rPr>
        <w:t>温室气体排放核算范围为：在社区公共建筑范围内由社区直接管理的公共服务设施。</w:t>
      </w:r>
    </w:p>
    <w:p>
      <w:pPr>
        <w:pStyle w:val="56"/>
        <w:ind w:firstLine="420"/>
      </w:pPr>
      <w:r>
        <w:rPr>
          <w:rFonts w:ascii="Times New Roman"/>
        </w:rPr>
        <w:t>CO</w:t>
      </w:r>
      <w:r>
        <w:rPr>
          <w:rFonts w:ascii="Times New Roman"/>
          <w:vertAlign w:val="subscript"/>
        </w:rPr>
        <w:t>2</w:t>
      </w:r>
      <w:r>
        <w:rPr>
          <w:rFonts w:hint="eastAsia"/>
        </w:rPr>
        <w:t>排放量计算参照</w:t>
      </w:r>
      <w:r>
        <w:rPr>
          <w:rFonts w:ascii="Times New Roman"/>
        </w:rPr>
        <w:t>DB32/T</w:t>
      </w:r>
      <w:r>
        <w:rPr>
          <w:rFonts w:hint="eastAsia"/>
        </w:rPr>
        <w:t xml:space="preserve"> 4229《公共机构温室气体排放核算与报告要求》，本文件只核算直接排放中燃料燃烧排放部分和间接排放中净购入电力的排放部分。</w:t>
      </w:r>
    </w:p>
    <w:p>
      <w:pPr>
        <w:pStyle w:val="56"/>
        <w:ind w:firstLine="420"/>
      </w:pPr>
      <w:r>
        <w:rPr>
          <w:rFonts w:hint="eastAsia"/>
        </w:rPr>
        <w:t>当不满足条件</w:t>
      </w:r>
      <w:r>
        <w:rPr>
          <w:rFonts w:ascii="Times New Roman"/>
        </w:rPr>
        <w:t>（a）</w:t>
      </w:r>
      <w:r>
        <w:rPr>
          <w:rFonts w:hint="eastAsia"/>
        </w:rPr>
        <w:t>时，可参用条件</w:t>
      </w:r>
      <w:r>
        <w:rPr>
          <w:rFonts w:hint="eastAsia" w:ascii="Times New Roman"/>
        </w:rPr>
        <w:t>（b）</w:t>
      </w:r>
      <w:r>
        <w:rPr>
          <w:rFonts w:hint="eastAsia"/>
        </w:rPr>
        <w:t>碳排放总量较上一年下降。</w:t>
      </w:r>
    </w:p>
    <w:p>
      <w:pPr>
        <w:pStyle w:val="105"/>
        <w:spacing w:before="156" w:after="156"/>
      </w:pPr>
      <w:bookmarkStart w:id="59" w:name="_Toc146541074"/>
      <w:r>
        <w:rPr>
          <w:rFonts w:hint="eastAsia"/>
        </w:rPr>
        <w:t>人均月用水量</w:t>
      </w:r>
      <w:bookmarkEnd w:id="59"/>
    </w:p>
    <w:p>
      <w:pPr>
        <w:pStyle w:val="56"/>
        <w:ind w:firstLine="420"/>
      </w:pPr>
      <w:r>
        <w:rPr>
          <w:rFonts w:hint="eastAsia"/>
        </w:rPr>
        <w:t>人均月用水量指社区公共建筑每年总用水量除以公共建筑常驻人口再除以12个月的比例。</w:t>
      </w:r>
    </w:p>
    <w:p>
      <w:pPr>
        <w:pStyle w:val="56"/>
        <w:ind w:firstLine="420"/>
        <w:rPr>
          <w:color w:val="FF0000"/>
        </w:rPr>
      </w:pPr>
      <w:r>
        <w:rPr>
          <w:rFonts w:hint="eastAsia"/>
        </w:rPr>
        <w:t>人均月用水量计算方法见公式</w:t>
      </w:r>
      <w:r>
        <w:rPr>
          <w:rFonts w:hint="eastAsia"/>
          <w:color w:val="FF0000"/>
        </w:rPr>
        <w:t>（</w:t>
      </w:r>
      <w:r>
        <w:rPr>
          <w:color w:val="FF0000"/>
        </w:rPr>
        <w:t>2</w:t>
      </w:r>
      <w:r>
        <w:rPr>
          <w:rFonts w:hint="eastAsia"/>
          <w:color w:val="FF0000"/>
        </w:rPr>
        <w:t>）：</w:t>
      </w:r>
    </w:p>
    <w:p>
      <w:pPr>
        <w:pStyle w:val="56"/>
        <w:ind w:firstLine="420"/>
      </w:pPr>
    </w:p>
    <w:p>
      <w:pPr>
        <w:pStyle w:val="13"/>
        <w:ind w:firstLine="420"/>
        <w:rPr>
          <w:spacing w:val="-8"/>
        </w:rPr>
      </w:pPr>
      <w:r>
        <w:rPr>
          <w:rFonts w:hint="eastAsia"/>
        </w:rPr>
        <w:t>人均月用水</w:t>
      </w:r>
      <w:r>
        <w:rPr>
          <w:rFonts w:ascii="Times New Roman" w:hAnsi="Times New Roman"/>
        </w:rPr>
        <w:t>量（</w:t>
      </w:r>
      <w:r>
        <w:rPr>
          <w:rFonts w:ascii="Times New Roman" w:hAnsi="Times New Roman" w:eastAsiaTheme="minorEastAsia"/>
        </w:rPr>
        <w:t>m</w:t>
      </w:r>
      <w:r>
        <w:rPr>
          <w:rFonts w:ascii="Times New Roman" w:hAnsi="Times New Roman" w:eastAsiaTheme="minorEastAsia"/>
          <w:vertAlign w:val="superscript"/>
        </w:rPr>
        <w:t>3</w:t>
      </w:r>
      <w:r>
        <w:rPr>
          <w:rFonts w:ascii="Times New Roman" w:hAnsi="Times New Roman" w:eastAsiaTheme="minorEastAsia"/>
        </w:rPr>
        <w:t>/人•月）</w:t>
      </w:r>
      <w:r>
        <w:rPr>
          <w:rFonts w:hint="eastAsia" w:asciiTheme="minorEastAsia" w:hAnsiTheme="minorEastAsia" w:eastAsiaTheme="minorEastAsia" w:cstheme="minorEastAsia"/>
        </w:rPr>
        <w:t xml:space="preserve"> </w:t>
      </w:r>
      <w:r>
        <w:rPr>
          <w:rFonts w:hint="eastAsia"/>
        </w:rPr>
        <w:t>=</w:t>
      </w:r>
      <w:r>
        <w:t xml:space="preserve"> </w:t>
      </w:r>
      <m:oMath>
        <m:f>
          <m:fPr>
            <m:ctrlPr>
              <w:rPr>
                <w:rFonts w:hint="eastAsia" w:ascii="Cambria Math" w:hAnsi="Cambria Math"/>
                <w:sz w:val="28"/>
                <w:szCs w:val="28"/>
              </w:rPr>
            </m:ctrlPr>
          </m:fPr>
          <m:num>
            <m:r>
              <m:rPr>
                <m:sty m:val="p"/>
              </m:rPr>
              <w:rPr>
                <w:rFonts w:hint="eastAsia" w:ascii="Cambria Math" w:hAnsi="Cambria Math"/>
                <w:sz w:val="28"/>
                <w:szCs w:val="28"/>
              </w:rPr>
              <m:t>社区公共建筑每年总用水量（</m:t>
            </m:r>
            <m:sSup>
              <m:sSupPr>
                <m:ctrlPr>
                  <w:rPr>
                    <w:rFonts w:ascii="Cambria Math" w:hAnsi="Cambria Math"/>
                    <w:sz w:val="28"/>
                    <w:szCs w:val="28"/>
                  </w:rPr>
                </m:ctrlPr>
              </m:sSupPr>
              <m:e>
                <m:r>
                  <m:rPr>
                    <m:sty m:val="p"/>
                  </m:rPr>
                  <w:rPr>
                    <w:rFonts w:ascii="Cambria Math" w:hAnsi="Cambria Math"/>
                    <w:sz w:val="28"/>
                    <w:szCs w:val="28"/>
                  </w:rPr>
                  <m:t>m</m:t>
                </m:r>
                <m:ctrlPr>
                  <w:rPr>
                    <w:rFonts w:ascii="Cambria Math" w:hAnsi="Cambria Math"/>
                    <w:sz w:val="28"/>
                    <w:szCs w:val="28"/>
                  </w:rPr>
                </m:ctrlPr>
              </m:e>
              <m:sup>
                <m:r>
                  <m:rPr>
                    <m:sty m:val="p"/>
                  </m:rPr>
                  <w:rPr>
                    <w:rFonts w:ascii="Cambria Math" w:hAnsi="Cambria Math"/>
                    <w:sz w:val="28"/>
                    <w:szCs w:val="28"/>
                  </w:rPr>
                  <m:t>3</m:t>
                </m:r>
                <m:ctrlPr>
                  <w:rPr>
                    <w:rFonts w:ascii="Cambria Math" w:hAnsi="Cambria Math"/>
                    <w:sz w:val="28"/>
                    <w:szCs w:val="28"/>
                  </w:rPr>
                </m:ctrlPr>
              </m:sup>
            </m:sSup>
            <m:r>
              <m:rPr>
                <m:sty m:val="p"/>
              </m:rPr>
              <w:rPr>
                <w:rFonts w:ascii="Cambria Math" w:hAnsi="Cambria Math"/>
                <w:sz w:val="28"/>
                <w:szCs w:val="28"/>
              </w:rPr>
              <m:t>)</m:t>
            </m:r>
            <m:ctrlPr>
              <w:rPr>
                <w:rFonts w:hint="eastAsia" w:ascii="Cambria Math" w:hAnsi="Cambria Math"/>
                <w:sz w:val="28"/>
                <w:szCs w:val="28"/>
              </w:rPr>
            </m:ctrlPr>
          </m:num>
          <m:den>
            <m:r>
              <m:rPr>
                <m:sty m:val="p"/>
              </m:rPr>
              <w:rPr>
                <w:rFonts w:hint="eastAsia" w:ascii="Cambria Math" w:hAnsi="Cambria Math"/>
                <w:sz w:val="28"/>
                <w:szCs w:val="28"/>
              </w:rPr>
              <m:t>社区公共建筑常驻人口(人数)×12</m:t>
            </m:r>
            <m:ctrlPr>
              <w:rPr>
                <w:rFonts w:hint="eastAsia" w:ascii="Cambria Math" w:hAnsi="Cambria Math"/>
                <w:sz w:val="28"/>
                <w:szCs w:val="28"/>
              </w:rPr>
            </m:ctrlPr>
          </m:den>
        </m:f>
      </m:oMath>
      <w:r>
        <w:rPr>
          <w:rFonts w:hint="eastAsia"/>
          <w:spacing w:val="-8"/>
        </w:rPr>
        <w:t>………………………………</w:t>
      </w:r>
      <w:r>
        <w:rPr>
          <w:rFonts w:hint="eastAsia"/>
          <w:color w:val="FF0000"/>
          <w:spacing w:val="-8"/>
        </w:rPr>
        <w:t>（</w:t>
      </w:r>
      <w:r>
        <w:rPr>
          <w:color w:val="FF0000"/>
          <w:spacing w:val="-8"/>
        </w:rPr>
        <w:t>2</w:t>
      </w:r>
      <w:r>
        <w:rPr>
          <w:rFonts w:hint="eastAsia"/>
          <w:color w:val="FF0000"/>
          <w:spacing w:val="-8"/>
        </w:rPr>
        <w:t>）</w:t>
      </w:r>
    </w:p>
    <w:p>
      <w:pPr>
        <w:pStyle w:val="105"/>
        <w:spacing w:before="156" w:after="156"/>
      </w:pPr>
      <w:bookmarkStart w:id="60" w:name="_Toc146541075"/>
      <w:r>
        <w:rPr>
          <w:rFonts w:hint="eastAsia"/>
        </w:rPr>
        <w:t>绿色建筑占比率</w:t>
      </w:r>
      <w:bookmarkEnd w:id="60"/>
    </w:p>
    <w:p>
      <w:pPr>
        <w:pStyle w:val="56"/>
        <w:ind w:firstLine="420"/>
      </w:pPr>
      <w:r>
        <w:rPr>
          <w:rFonts w:hint="eastAsia"/>
        </w:rPr>
        <w:t>指在社区公共建筑新建或改造建筑达到星级绿色建筑（参考</w:t>
      </w:r>
      <w:r>
        <w:rPr>
          <w:rFonts w:ascii="Times New Roman"/>
        </w:rPr>
        <w:t>GB/T 50378</w:t>
      </w:r>
      <w:r>
        <w:rPr>
          <w:rFonts w:hint="eastAsia"/>
        </w:rPr>
        <w:t>绿色建筑评价标准）的面积占社区公共建筑总建筑面积的百分比，计算方法见公式</w:t>
      </w:r>
      <w:r>
        <w:rPr>
          <w:rFonts w:hint="eastAsia"/>
          <w:color w:val="FF0000"/>
        </w:rPr>
        <w:t>（</w:t>
      </w:r>
      <w:r>
        <w:rPr>
          <w:color w:val="FF0000"/>
        </w:rPr>
        <w:t>3</w:t>
      </w:r>
      <w:r>
        <w:rPr>
          <w:rFonts w:hint="eastAsia"/>
          <w:color w:val="FF0000"/>
        </w:rPr>
        <w:t>）</w:t>
      </w:r>
      <w:r>
        <w:rPr>
          <w:rFonts w:hint="eastAsia"/>
        </w:rPr>
        <w:t>：</w:t>
      </w:r>
    </w:p>
    <w:p>
      <w:pPr>
        <w:autoSpaceDE w:val="0"/>
        <w:autoSpaceDN w:val="0"/>
        <w:adjustRightInd/>
        <w:spacing w:line="240" w:lineRule="auto"/>
        <w:ind w:firstLine="420" w:firstLineChars="200"/>
        <w:jc w:val="left"/>
        <w:rPr>
          <w:rFonts w:ascii="宋体" w:hAnsi="宋体" w:cs="宋体"/>
          <w:kern w:val="0"/>
          <w:lang w:bidi="en-US"/>
        </w:rPr>
      </w:pPr>
    </w:p>
    <w:p>
      <w:pPr>
        <w:numPr>
          <w:ilvl w:val="255"/>
          <w:numId w:val="0"/>
        </w:numPr>
        <w:autoSpaceDE w:val="0"/>
        <w:autoSpaceDN w:val="0"/>
        <w:adjustRightInd/>
        <w:spacing w:before="156" w:beforeLines="50" w:after="156" w:afterLines="50" w:line="240" w:lineRule="auto"/>
        <w:ind w:firstLine="420" w:firstLineChars="200"/>
        <w:jc w:val="left"/>
        <w:rPr>
          <w:rFonts w:ascii="宋体" w:hAnsi="宋体" w:cs="宋体"/>
          <w:kern w:val="0"/>
          <w:lang w:bidi="en-US"/>
        </w:rPr>
      </w:pPr>
      <w:r>
        <w:rPr>
          <w:rFonts w:hint="eastAsia" w:ascii="宋体" w:hAnsi="宋体" w:cs="宋体"/>
          <w:kern w:val="0"/>
          <w:lang w:bidi="en-US"/>
        </w:rPr>
        <w:t>绿色建筑占比</w:t>
      </w:r>
      <w:r>
        <w:rPr>
          <w:rFonts w:ascii="Times New Roman" w:hAnsi="Times New Roman"/>
          <w:kern w:val="0"/>
          <w:lang w:bidi="en-US"/>
        </w:rPr>
        <w:t>率</w:t>
      </w:r>
      <w:r>
        <w:rPr>
          <w:rFonts w:ascii="Times New Roman" w:hAnsi="Times New Roman"/>
          <w:kern w:val="0"/>
          <w:sz w:val="22"/>
          <w:szCs w:val="22"/>
          <w:lang w:bidi="en-US"/>
        </w:rPr>
        <w:t>（%）</w:t>
      </w:r>
      <w:r>
        <w:rPr>
          <w:rFonts w:hint="eastAsia" w:ascii="宋体" w:hAnsi="宋体" w:cs="宋体"/>
          <w:kern w:val="0"/>
          <w:sz w:val="22"/>
          <w:szCs w:val="22"/>
          <w:lang w:bidi="en-US"/>
        </w:rPr>
        <w:t xml:space="preserve"> = </w:t>
      </w:r>
      <m:oMath>
        <m:f>
          <m:fPr>
            <m:ctrlPr>
              <w:rPr>
                <w:rFonts w:hint="eastAsia" w:ascii="Cambria Math" w:hAnsi="Cambria Math" w:cs="宋体"/>
                <w:kern w:val="0"/>
                <w:sz w:val="28"/>
                <w:szCs w:val="28"/>
                <w:lang w:eastAsia="en-US" w:bidi="en-US"/>
              </w:rPr>
            </m:ctrlPr>
          </m:fPr>
          <m:num>
            <m:r>
              <m:rPr>
                <m:sty m:val="p"/>
              </m:rPr>
              <w:rPr>
                <w:rFonts w:hint="eastAsia" w:ascii="Cambria Math" w:hAnsi="Cambria Math" w:cs="宋体"/>
                <w:kern w:val="0"/>
                <w:sz w:val="28"/>
                <w:szCs w:val="28"/>
                <w:lang w:bidi="en-US"/>
              </w:rPr>
              <m:t>新建或改造建筑达星级绿色建筑面积</m:t>
            </m:r>
            <m:r>
              <m:rPr>
                <m:sty m:val="p"/>
              </m:rPr>
              <w:rPr>
                <w:rFonts w:ascii="Cambria Math" w:hAnsi="Cambria Math" w:cs="宋体"/>
                <w:kern w:val="0"/>
                <w:sz w:val="28"/>
                <w:szCs w:val="28"/>
                <w:lang w:bidi="en-US"/>
              </w:rPr>
              <m:t>(</m:t>
            </m:r>
            <m:sSup>
              <m:sSupPr>
                <m:ctrlPr>
                  <w:rPr>
                    <w:rFonts w:ascii="Cambria Math" w:hAnsi="Cambria Math"/>
                    <w:kern w:val="0"/>
                    <w:sz w:val="28"/>
                    <w:szCs w:val="28"/>
                    <w:lang w:bidi="en-US"/>
                  </w:rPr>
                </m:ctrlPr>
              </m:sSupPr>
              <m:e>
                <m:r>
                  <m:rPr>
                    <m:sty m:val="p"/>
                  </m:rPr>
                  <w:rPr>
                    <w:rFonts w:ascii="Cambria Math" w:hAnsi="Cambria Math"/>
                    <w:kern w:val="0"/>
                    <w:sz w:val="28"/>
                    <w:szCs w:val="28"/>
                    <w:lang w:bidi="en-US"/>
                  </w:rPr>
                  <m:t>m</m:t>
                </m:r>
                <m:ctrlPr>
                  <w:rPr>
                    <w:rFonts w:ascii="Cambria Math" w:hAnsi="Cambria Math"/>
                    <w:kern w:val="0"/>
                    <w:sz w:val="28"/>
                    <w:szCs w:val="28"/>
                    <w:lang w:bidi="en-US"/>
                  </w:rPr>
                </m:ctrlPr>
              </m:e>
              <m:sup>
                <m:r>
                  <m:rPr>
                    <m:sty m:val="p"/>
                  </m:rPr>
                  <w:rPr>
                    <w:rFonts w:ascii="Cambria Math" w:hAnsi="Cambria Math"/>
                    <w:kern w:val="0"/>
                    <w:sz w:val="28"/>
                    <w:szCs w:val="28"/>
                    <w:lang w:bidi="en-US"/>
                  </w:rPr>
                  <m:t>2</m:t>
                </m:r>
                <m:ctrlPr>
                  <w:rPr>
                    <w:rFonts w:ascii="Cambria Math" w:hAnsi="Cambria Math"/>
                    <w:kern w:val="0"/>
                    <w:sz w:val="28"/>
                    <w:szCs w:val="28"/>
                    <w:lang w:bidi="en-US"/>
                  </w:rPr>
                </m:ctrlPr>
              </m:sup>
            </m:sSup>
            <m:r>
              <m:rPr>
                <m:sty m:val="p"/>
              </m:rPr>
              <w:rPr>
                <w:rFonts w:ascii="Cambria Math" w:hAnsi="Cambria Math" w:cs="宋体"/>
                <w:kern w:val="0"/>
                <w:sz w:val="28"/>
                <w:szCs w:val="28"/>
                <w:lang w:bidi="en-US"/>
              </w:rPr>
              <m:t>)</m:t>
            </m:r>
            <m:ctrlPr>
              <w:rPr>
                <w:rFonts w:hint="eastAsia" w:ascii="Cambria Math" w:hAnsi="Cambria Math" w:cs="宋体"/>
                <w:kern w:val="0"/>
                <w:sz w:val="28"/>
                <w:szCs w:val="28"/>
                <w:lang w:eastAsia="en-US" w:bidi="en-US"/>
              </w:rPr>
            </m:ctrlPr>
          </m:num>
          <m:den>
            <m:r>
              <m:rPr>
                <m:sty m:val="p"/>
              </m:rPr>
              <w:rPr>
                <w:rFonts w:hint="eastAsia" w:ascii="Cambria Math" w:hAnsi="Cambria Math" w:cs="宋体"/>
                <w:kern w:val="0"/>
                <w:sz w:val="28"/>
                <w:szCs w:val="28"/>
                <w:lang w:bidi="en-US"/>
              </w:rPr>
              <m:t>社区公共建筑总建筑面积（</m:t>
            </m:r>
            <m:sSup>
              <m:sSupPr>
                <m:ctrlPr>
                  <w:rPr>
                    <w:rFonts w:ascii="Cambria Math" w:hAnsi="Cambria Math"/>
                    <w:kern w:val="0"/>
                    <w:sz w:val="28"/>
                    <w:szCs w:val="28"/>
                    <w:lang w:bidi="en-US"/>
                  </w:rPr>
                </m:ctrlPr>
              </m:sSupPr>
              <m:e>
                <m:r>
                  <m:rPr>
                    <m:sty m:val="p"/>
                  </m:rPr>
                  <w:rPr>
                    <w:rFonts w:ascii="Cambria Math" w:hAnsi="Cambria Math"/>
                    <w:kern w:val="0"/>
                    <w:sz w:val="28"/>
                    <w:szCs w:val="28"/>
                    <w:lang w:bidi="en-US"/>
                  </w:rPr>
                  <m:t>m</m:t>
                </m:r>
                <m:ctrlPr>
                  <w:rPr>
                    <w:rFonts w:ascii="Cambria Math" w:hAnsi="Cambria Math"/>
                    <w:kern w:val="0"/>
                    <w:sz w:val="28"/>
                    <w:szCs w:val="28"/>
                    <w:lang w:bidi="en-US"/>
                  </w:rPr>
                </m:ctrlPr>
              </m:e>
              <m:sup>
                <m:r>
                  <m:rPr>
                    <m:sty m:val="p"/>
                  </m:rPr>
                  <w:rPr>
                    <w:rFonts w:ascii="Cambria Math" w:hAnsi="Cambria Math"/>
                    <w:kern w:val="0"/>
                    <w:sz w:val="28"/>
                    <w:szCs w:val="28"/>
                    <w:lang w:bidi="en-US"/>
                  </w:rPr>
                  <m:t>2</m:t>
                </m:r>
                <m:ctrlPr>
                  <w:rPr>
                    <w:rFonts w:ascii="Cambria Math" w:hAnsi="Cambria Math"/>
                    <w:kern w:val="0"/>
                    <w:sz w:val="28"/>
                    <w:szCs w:val="28"/>
                    <w:lang w:bidi="en-US"/>
                  </w:rPr>
                </m:ctrlPr>
              </m:sup>
            </m:sSup>
            <m:r>
              <m:rPr>
                <m:sty m:val="p"/>
              </m:rPr>
              <w:rPr>
                <w:rFonts w:hint="eastAsia" w:ascii="Cambria Math" w:hAnsi="Cambria Math" w:cs="宋体"/>
                <w:kern w:val="0"/>
                <w:sz w:val="28"/>
                <w:szCs w:val="28"/>
                <w:lang w:bidi="en-US"/>
              </w:rPr>
              <m:t>）</m:t>
            </m:r>
            <m:ctrlPr>
              <w:rPr>
                <w:rFonts w:hint="eastAsia" w:ascii="Cambria Math" w:hAnsi="Cambria Math" w:cs="宋体"/>
                <w:kern w:val="0"/>
                <w:sz w:val="28"/>
                <w:szCs w:val="28"/>
                <w:lang w:eastAsia="en-US" w:bidi="en-US"/>
              </w:rPr>
            </m:ctrlPr>
          </m:den>
        </m:f>
        <m:r>
          <m:rPr>
            <m:sty m:val="p"/>
          </m:rPr>
          <w:rPr>
            <w:rFonts w:hint="eastAsia" w:ascii="Cambria Math" w:hAnsi="Cambria Math" w:cs="宋体"/>
            <w:kern w:val="0"/>
            <w:lang w:bidi="en-US"/>
          </w:rPr>
          <m:t>×100</m:t>
        </m:r>
        <m:r>
          <m:rPr>
            <m:sty m:val="p"/>
          </m:rPr>
          <w:rPr>
            <w:rFonts w:ascii="Cambria Math" w:hAnsi="Cambria Math"/>
            <w:kern w:val="0"/>
            <w:sz w:val="22"/>
            <w:szCs w:val="22"/>
            <w:lang w:bidi="en-US"/>
          </w:rPr>
          <m:t>%</m:t>
        </m:r>
        <m:r>
          <m:rPr>
            <m:sty m:val="p"/>
          </m:rPr>
          <w:rPr>
            <w:rFonts w:hint="eastAsia" w:ascii="Cambria Math" w:hAnsi="Cambria Math" w:cs="宋体"/>
            <w:kern w:val="0"/>
            <w:sz w:val="28"/>
            <w:szCs w:val="28"/>
            <w:lang w:bidi="en-US"/>
          </w:rPr>
          <m:t xml:space="preserve"> </m:t>
        </m:r>
      </m:oMath>
      <w:r>
        <w:rPr>
          <w:rFonts w:hint="eastAsia" w:ascii="宋体" w:hAnsi="宋体" w:cs="宋体"/>
          <w:spacing w:val="-8"/>
          <w:kern w:val="0"/>
          <w:lang w:bidi="en-US"/>
        </w:rPr>
        <w:t>………………</w:t>
      </w:r>
      <w:r>
        <w:rPr>
          <w:rFonts w:hint="eastAsia" w:ascii="宋体" w:hAnsi="宋体" w:cs="宋体"/>
          <w:color w:val="FF0000"/>
          <w:spacing w:val="-8"/>
          <w:kern w:val="0"/>
          <w:lang w:bidi="en-US"/>
        </w:rPr>
        <w:t>（</w:t>
      </w:r>
      <w:r>
        <w:rPr>
          <w:rFonts w:ascii="宋体" w:hAnsi="宋体" w:cs="宋体"/>
          <w:color w:val="FF0000"/>
          <w:spacing w:val="-8"/>
          <w:kern w:val="0"/>
          <w:lang w:bidi="en-US"/>
        </w:rPr>
        <w:t>3</w:t>
      </w:r>
      <w:r>
        <w:rPr>
          <w:rFonts w:hint="eastAsia" w:ascii="宋体" w:hAnsi="宋体" w:cs="宋体"/>
          <w:color w:val="FF0000"/>
          <w:spacing w:val="-8"/>
          <w:kern w:val="0"/>
          <w:lang w:bidi="en-US"/>
        </w:rPr>
        <w:t>）</w:t>
      </w:r>
    </w:p>
    <w:p>
      <w:pPr>
        <w:pStyle w:val="105"/>
        <w:spacing w:before="156" w:after="156"/>
      </w:pPr>
      <w:bookmarkStart w:id="61" w:name="_Toc146541076"/>
      <w:r>
        <w:rPr>
          <w:rFonts w:hint="eastAsia"/>
        </w:rPr>
        <w:t>建筑面积容积率</w:t>
      </w:r>
      <w:bookmarkEnd w:id="61"/>
    </w:p>
    <w:p>
      <w:pPr>
        <w:pStyle w:val="56"/>
        <w:ind w:firstLine="420"/>
      </w:pPr>
      <w:r>
        <w:rPr>
          <w:rFonts w:hint="eastAsia"/>
        </w:rPr>
        <w:t>容积率指在社区公共建筑使用面积内，社区公共建筑总建筑面积与建筑用地面总面积的比值,计算方法见公式</w:t>
      </w:r>
      <w:r>
        <w:rPr>
          <w:rFonts w:hint="eastAsia"/>
          <w:color w:val="FF0000"/>
        </w:rPr>
        <w:t>（</w:t>
      </w:r>
      <w:r>
        <w:rPr>
          <w:color w:val="FF0000"/>
        </w:rPr>
        <w:t>4</w:t>
      </w:r>
      <w:r>
        <w:rPr>
          <w:rFonts w:hint="eastAsia"/>
          <w:color w:val="FF0000"/>
        </w:rPr>
        <w:t>）</w:t>
      </w:r>
      <w:r>
        <w:rPr>
          <w:rFonts w:hint="eastAsia"/>
        </w:rPr>
        <w:t>：</w:t>
      </w:r>
    </w:p>
    <w:p>
      <w:pPr>
        <w:pStyle w:val="56"/>
        <w:ind w:firstLine="420"/>
      </w:pPr>
    </w:p>
    <w:p>
      <w:pPr>
        <w:autoSpaceDE w:val="0"/>
        <w:autoSpaceDN w:val="0"/>
        <w:adjustRightInd/>
        <w:spacing w:line="240" w:lineRule="auto"/>
        <w:ind w:firstLine="420" w:firstLineChars="200"/>
        <w:jc w:val="left"/>
        <w:rPr>
          <w:rFonts w:ascii="宋体" w:hAnsi="宋体" w:cs="宋体"/>
          <w:spacing w:val="-8"/>
          <w:kern w:val="0"/>
          <w:lang w:bidi="en-US"/>
        </w:rPr>
      </w:pPr>
      <w:r>
        <w:rPr>
          <w:rFonts w:ascii="Times New Roman" w:hAnsi="Times New Roman"/>
          <w:kern w:val="0"/>
          <w:lang w:bidi="en-US"/>
        </w:rPr>
        <w:t>容积率（%）</w:t>
      </w:r>
      <w:r>
        <w:rPr>
          <w:rFonts w:hint="eastAsia" w:ascii="宋体" w:hAnsi="宋体" w:cs="宋体"/>
          <w:kern w:val="0"/>
          <w:lang w:bidi="en-US"/>
        </w:rPr>
        <w:t xml:space="preserve"> =</w:t>
      </w:r>
      <w:r>
        <w:rPr>
          <w:rFonts w:ascii="宋体" w:hAnsi="宋体" w:cs="宋体"/>
          <w:kern w:val="0"/>
          <w:lang w:bidi="en-US"/>
        </w:rPr>
        <w:t xml:space="preserve"> </w:t>
      </w:r>
      <m:oMath>
        <m:f>
          <m:fPr>
            <m:ctrlPr>
              <w:rPr>
                <w:rFonts w:hint="eastAsia" w:ascii="Cambria Math" w:hAnsi="Cambria Math" w:cs="宋体"/>
                <w:kern w:val="0"/>
                <w:sz w:val="28"/>
                <w:szCs w:val="28"/>
                <w:lang w:eastAsia="en-US" w:bidi="en-US"/>
              </w:rPr>
            </m:ctrlPr>
          </m:fPr>
          <m:num>
            <m:r>
              <m:rPr>
                <m:sty m:val="p"/>
              </m:rPr>
              <w:rPr>
                <w:rFonts w:hint="eastAsia" w:ascii="Cambria Math" w:hAnsi="Cambria Math" w:cs="宋体"/>
                <w:kern w:val="0"/>
                <w:sz w:val="28"/>
                <w:szCs w:val="28"/>
                <w:lang w:bidi="en-US"/>
              </w:rPr>
              <m:t>社区公共建筑总建筑面积</m:t>
            </m:r>
            <m:r>
              <m:rPr>
                <m:sty m:val="p"/>
              </m:rPr>
              <w:rPr>
                <w:rFonts w:ascii="Cambria Math" w:hAnsi="Cambria Math" w:cs="宋体"/>
                <w:kern w:val="0"/>
                <w:sz w:val="28"/>
                <w:szCs w:val="28"/>
                <w:lang w:bidi="en-US"/>
              </w:rPr>
              <m:t>(</m:t>
            </m:r>
            <m:sSup>
              <m:sSupPr>
                <m:ctrlPr>
                  <w:rPr>
                    <w:rFonts w:ascii="Cambria Math" w:hAnsi="Cambria Math"/>
                    <w:kern w:val="0"/>
                    <w:sz w:val="28"/>
                    <w:szCs w:val="28"/>
                    <w:lang w:bidi="en-US"/>
                  </w:rPr>
                </m:ctrlPr>
              </m:sSupPr>
              <m:e>
                <m:r>
                  <m:rPr>
                    <m:sty m:val="p"/>
                  </m:rPr>
                  <w:rPr>
                    <w:rFonts w:ascii="Cambria Math" w:hAnsi="Cambria Math"/>
                    <w:kern w:val="0"/>
                    <w:sz w:val="28"/>
                    <w:szCs w:val="28"/>
                    <w:lang w:bidi="en-US"/>
                  </w:rPr>
                  <m:t>m</m:t>
                </m:r>
                <m:ctrlPr>
                  <w:rPr>
                    <w:rFonts w:ascii="Cambria Math" w:hAnsi="Cambria Math"/>
                    <w:kern w:val="0"/>
                    <w:sz w:val="28"/>
                    <w:szCs w:val="28"/>
                    <w:lang w:bidi="en-US"/>
                  </w:rPr>
                </m:ctrlPr>
              </m:e>
              <m:sup>
                <m:r>
                  <m:rPr>
                    <m:sty m:val="p"/>
                  </m:rPr>
                  <w:rPr>
                    <w:rFonts w:ascii="Cambria Math" w:hAnsi="Cambria Math"/>
                    <w:kern w:val="0"/>
                    <w:sz w:val="28"/>
                    <w:szCs w:val="28"/>
                    <w:lang w:bidi="en-US"/>
                  </w:rPr>
                  <m:t>2</m:t>
                </m:r>
                <m:ctrlPr>
                  <w:rPr>
                    <w:rFonts w:ascii="Cambria Math" w:hAnsi="Cambria Math"/>
                    <w:kern w:val="0"/>
                    <w:sz w:val="28"/>
                    <w:szCs w:val="28"/>
                    <w:lang w:bidi="en-US"/>
                  </w:rPr>
                </m:ctrlPr>
              </m:sup>
            </m:sSup>
            <m:r>
              <m:rPr>
                <m:sty m:val="p"/>
              </m:rPr>
              <w:rPr>
                <w:rFonts w:ascii="Cambria Math" w:hAnsi="Cambria Math" w:cs="宋体"/>
                <w:kern w:val="0"/>
                <w:sz w:val="28"/>
                <w:szCs w:val="28"/>
                <w:lang w:bidi="en-US"/>
              </w:rPr>
              <m:t>)</m:t>
            </m:r>
            <m:ctrlPr>
              <w:rPr>
                <w:rFonts w:hint="eastAsia" w:ascii="Cambria Math" w:hAnsi="Cambria Math" w:cs="宋体"/>
                <w:kern w:val="0"/>
                <w:sz w:val="28"/>
                <w:szCs w:val="28"/>
                <w:lang w:eastAsia="en-US" w:bidi="en-US"/>
              </w:rPr>
            </m:ctrlPr>
          </m:num>
          <m:den>
            <m:r>
              <m:rPr>
                <m:sty m:val="p"/>
              </m:rPr>
              <w:rPr>
                <w:rFonts w:hint="eastAsia" w:ascii="Cambria Math" w:hAnsi="Cambria Math" w:cs="宋体"/>
                <w:kern w:val="0"/>
                <w:sz w:val="28"/>
                <w:szCs w:val="28"/>
                <w:lang w:bidi="en-US"/>
              </w:rPr>
              <m:t>社区公共建筑用地面积（</m:t>
            </m:r>
            <m:sSup>
              <m:sSupPr>
                <m:ctrlPr>
                  <w:rPr>
                    <w:rFonts w:ascii="Cambria Math" w:hAnsi="Cambria Math"/>
                    <w:kern w:val="0"/>
                    <w:sz w:val="28"/>
                    <w:szCs w:val="28"/>
                    <w:lang w:bidi="en-US"/>
                  </w:rPr>
                </m:ctrlPr>
              </m:sSupPr>
              <m:e>
                <m:r>
                  <m:rPr>
                    <m:sty m:val="p"/>
                  </m:rPr>
                  <w:rPr>
                    <w:rFonts w:ascii="Cambria Math" w:hAnsi="Cambria Math"/>
                    <w:kern w:val="0"/>
                    <w:sz w:val="28"/>
                    <w:szCs w:val="28"/>
                    <w:lang w:bidi="en-US"/>
                  </w:rPr>
                  <m:t>m</m:t>
                </m:r>
                <m:ctrlPr>
                  <w:rPr>
                    <w:rFonts w:ascii="Cambria Math" w:hAnsi="Cambria Math"/>
                    <w:kern w:val="0"/>
                    <w:sz w:val="28"/>
                    <w:szCs w:val="28"/>
                    <w:lang w:bidi="en-US"/>
                  </w:rPr>
                </m:ctrlPr>
              </m:e>
              <m:sup>
                <m:r>
                  <m:rPr>
                    <m:sty m:val="p"/>
                  </m:rPr>
                  <w:rPr>
                    <w:rFonts w:ascii="Cambria Math" w:hAnsi="Cambria Math"/>
                    <w:kern w:val="0"/>
                    <w:sz w:val="28"/>
                    <w:szCs w:val="28"/>
                    <w:lang w:bidi="en-US"/>
                  </w:rPr>
                  <m:t>2</m:t>
                </m:r>
                <m:ctrlPr>
                  <w:rPr>
                    <w:rFonts w:ascii="Cambria Math" w:hAnsi="Cambria Math"/>
                    <w:kern w:val="0"/>
                    <w:sz w:val="28"/>
                    <w:szCs w:val="28"/>
                    <w:lang w:bidi="en-US"/>
                  </w:rPr>
                </m:ctrlPr>
              </m:sup>
            </m:sSup>
            <m:r>
              <m:rPr>
                <m:sty m:val="p"/>
              </m:rPr>
              <w:rPr>
                <w:rFonts w:hint="eastAsia" w:ascii="Cambria Math" w:hAnsi="Cambria Math" w:cs="宋体"/>
                <w:kern w:val="0"/>
                <w:sz w:val="28"/>
                <w:szCs w:val="28"/>
                <w:lang w:bidi="en-US"/>
              </w:rPr>
              <m:t>）</m:t>
            </m:r>
            <m:ctrlPr>
              <w:rPr>
                <w:rFonts w:hint="eastAsia" w:ascii="Cambria Math" w:hAnsi="Cambria Math" w:cs="宋体"/>
                <w:kern w:val="0"/>
                <w:sz w:val="28"/>
                <w:szCs w:val="28"/>
                <w:lang w:eastAsia="en-US" w:bidi="en-US"/>
              </w:rPr>
            </m:ctrlPr>
          </m:den>
        </m:f>
      </m:oMath>
      <w:r>
        <w:rPr>
          <w:rFonts w:hint="eastAsia" w:ascii="宋体" w:hAnsi="宋体" w:cs="宋体"/>
          <w:kern w:val="0"/>
          <w:lang w:bidi="en-US"/>
        </w:rPr>
        <w:t>×100</w:t>
      </w:r>
      <w:r>
        <w:rPr>
          <w:rFonts w:ascii="Times New Roman" w:hAnsi="Times New Roman"/>
          <w:kern w:val="0"/>
          <w:lang w:bidi="en-US"/>
        </w:rPr>
        <w:t>%</w:t>
      </w:r>
      <w:r>
        <w:rPr>
          <w:rFonts w:hint="eastAsia" w:ascii="宋体" w:hAnsi="宋体" w:cs="宋体"/>
          <w:spacing w:val="-8"/>
          <w:kern w:val="0"/>
          <w:lang w:bidi="en-US"/>
        </w:rPr>
        <w:t>……………………………………</w:t>
      </w:r>
      <w:r>
        <w:rPr>
          <w:rFonts w:hint="eastAsia" w:ascii="宋体" w:hAnsi="宋体" w:cs="宋体"/>
          <w:color w:val="FF0000"/>
          <w:spacing w:val="-8"/>
          <w:kern w:val="0"/>
          <w:lang w:bidi="en-US"/>
        </w:rPr>
        <w:t>（</w:t>
      </w:r>
      <w:r>
        <w:rPr>
          <w:rFonts w:ascii="宋体" w:hAnsi="宋体" w:cs="宋体"/>
          <w:color w:val="FF0000"/>
          <w:spacing w:val="-8"/>
          <w:kern w:val="0"/>
          <w:lang w:bidi="en-US"/>
        </w:rPr>
        <w:t>4</w:t>
      </w:r>
      <w:r>
        <w:rPr>
          <w:rFonts w:hint="eastAsia" w:ascii="宋体" w:hAnsi="宋体" w:cs="宋体"/>
          <w:color w:val="FF0000"/>
          <w:spacing w:val="-8"/>
          <w:kern w:val="0"/>
          <w:lang w:bidi="en-US"/>
        </w:rPr>
        <w:t>）</w:t>
      </w:r>
    </w:p>
    <w:p>
      <w:pPr>
        <w:pStyle w:val="105"/>
        <w:spacing w:before="156" w:after="156"/>
      </w:pPr>
      <w:bookmarkStart w:id="62" w:name="_Toc146541077"/>
      <w:r>
        <w:rPr>
          <w:rFonts w:hint="eastAsia"/>
        </w:rPr>
        <w:t>绿化率</w:t>
      </w:r>
      <w:bookmarkEnd w:id="62"/>
    </w:p>
    <w:p>
      <w:pPr>
        <w:pStyle w:val="56"/>
        <w:ind w:firstLine="420"/>
      </w:pPr>
      <w:r>
        <w:rPr>
          <w:rFonts w:hint="eastAsia"/>
        </w:rPr>
        <w:t>“绿化率”指社区公共建筑内绿化覆盖面积与社区公共建筑用地总面积的比例。</w:t>
      </w:r>
    </w:p>
    <w:p>
      <w:pPr>
        <w:pStyle w:val="56"/>
        <w:ind w:firstLine="420"/>
      </w:pPr>
      <w:r>
        <w:rPr>
          <w:rFonts w:hint="eastAsia"/>
        </w:rPr>
        <w:t>绿化率计算方法见公式（</w:t>
      </w:r>
      <w:r>
        <w:t>5</w:t>
      </w:r>
      <w:r>
        <w:rPr>
          <w:rFonts w:hint="eastAsia"/>
        </w:rPr>
        <w:t>）：</w:t>
      </w:r>
    </w:p>
    <w:p>
      <w:pPr>
        <w:pStyle w:val="56"/>
        <w:ind w:firstLine="420"/>
      </w:pPr>
    </w:p>
    <w:p>
      <w:pPr>
        <w:pStyle w:val="13"/>
        <w:ind w:firstLine="420"/>
        <w:rPr>
          <w:spacing w:val="-8"/>
        </w:rPr>
      </w:pPr>
      <w:r>
        <w:rPr>
          <w:rFonts w:ascii="Times New Roman" w:hAnsi="Times New Roman"/>
        </w:rPr>
        <w:t>绿化率（</w:t>
      </w:r>
      <w:r>
        <w:rPr>
          <w:rFonts w:ascii="Times New Roman" w:hAnsi="Times New Roman" w:eastAsiaTheme="minorEastAsia"/>
        </w:rPr>
        <w:t>%）</w:t>
      </w:r>
      <w:r>
        <w:rPr>
          <w:rFonts w:hint="eastAsia" w:asciiTheme="minorEastAsia" w:hAnsiTheme="minorEastAsia" w:eastAsiaTheme="minorEastAsia" w:cstheme="minorEastAsia"/>
        </w:rPr>
        <w:t xml:space="preserve"> </w:t>
      </w:r>
      <w:r>
        <w:rPr>
          <w:rFonts w:hint="eastAsia"/>
        </w:rPr>
        <w:t>=</w:t>
      </w:r>
      <w:r>
        <w:t xml:space="preserve"> </w:t>
      </w:r>
      <m:oMath>
        <m:f>
          <m:fPr>
            <m:ctrlPr>
              <w:rPr>
                <w:rFonts w:hint="eastAsia" w:ascii="Cambria Math" w:hAnsi="Cambria Math"/>
                <w:sz w:val="28"/>
                <w:szCs w:val="28"/>
              </w:rPr>
            </m:ctrlPr>
          </m:fPr>
          <m:num>
            <m:r>
              <m:rPr>
                <m:sty m:val="p"/>
              </m:rPr>
              <w:rPr>
                <w:rFonts w:hint="eastAsia" w:ascii="Cambria Math" w:hAnsi="Cambria Math"/>
                <w:sz w:val="28"/>
                <w:szCs w:val="28"/>
              </w:rPr>
              <m:t>社区公共建筑绿化面积</m:t>
            </m:r>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hAnsi="Cambria Math"/>
                    <w:sz w:val="28"/>
                    <w:szCs w:val="28"/>
                  </w:rPr>
                  <m:t>m</m:t>
                </m:r>
                <m:ctrlPr>
                  <w:rPr>
                    <w:rFonts w:ascii="Cambria Math" w:hAnsi="Cambria Math"/>
                    <w:sz w:val="28"/>
                    <w:szCs w:val="28"/>
                  </w:rPr>
                </m:ctrlPr>
              </m:e>
              <m:sup>
                <m:r>
                  <m:rPr>
                    <m:sty m:val="p"/>
                  </m:rPr>
                  <w:rPr>
                    <w:rFonts w:ascii="Cambria Math" w:hAnsi="Cambria Math"/>
                    <w:sz w:val="28"/>
                    <w:szCs w:val="28"/>
                  </w:rPr>
                  <m:t>2</m:t>
                </m:r>
                <m:ctrlPr>
                  <w:rPr>
                    <w:rFonts w:ascii="Cambria Math" w:hAnsi="Cambria Math"/>
                    <w:sz w:val="28"/>
                    <w:szCs w:val="28"/>
                  </w:rPr>
                </m:ctrlPr>
              </m:sup>
            </m:sSup>
            <m:r>
              <m:rPr>
                <m:sty m:val="p"/>
              </m:rPr>
              <w:rPr>
                <w:rFonts w:ascii="Cambria Math" w:hAnsi="Cambria Math"/>
                <w:sz w:val="28"/>
                <w:szCs w:val="28"/>
              </w:rPr>
              <m:t>)</m:t>
            </m:r>
            <m:ctrlPr>
              <w:rPr>
                <w:rFonts w:hint="eastAsia" w:ascii="Cambria Math" w:hAnsi="Cambria Math"/>
                <w:sz w:val="28"/>
                <w:szCs w:val="28"/>
              </w:rPr>
            </m:ctrlPr>
          </m:num>
          <m:den>
            <m:r>
              <m:rPr>
                <m:sty m:val="p"/>
              </m:rPr>
              <w:rPr>
                <w:rFonts w:hint="eastAsia" w:ascii="Cambria Math" w:hAnsi="Cambria Math"/>
                <w:sz w:val="28"/>
                <w:szCs w:val="28"/>
              </w:rPr>
              <m:t>社区公共建筑总建筑面积（</m:t>
            </m:r>
            <m:sSup>
              <m:sSupPr>
                <m:ctrlPr>
                  <w:rPr>
                    <w:rFonts w:ascii="Cambria Math" w:hAnsi="Cambria Math"/>
                    <w:sz w:val="28"/>
                    <w:szCs w:val="28"/>
                  </w:rPr>
                </m:ctrlPr>
              </m:sSupPr>
              <m:e>
                <m:r>
                  <m:rPr>
                    <m:sty m:val="p"/>
                  </m:rPr>
                  <w:rPr>
                    <w:rFonts w:ascii="Cambria Math" w:hAnsi="Cambria Math"/>
                    <w:sz w:val="28"/>
                    <w:szCs w:val="28"/>
                  </w:rPr>
                  <m:t>m</m:t>
                </m:r>
                <m:ctrlPr>
                  <w:rPr>
                    <w:rFonts w:ascii="Cambria Math" w:hAnsi="Cambria Math"/>
                    <w:sz w:val="28"/>
                    <w:szCs w:val="28"/>
                  </w:rPr>
                </m:ctrlPr>
              </m:e>
              <m:sup>
                <m:r>
                  <m:rPr>
                    <m:sty m:val="p"/>
                  </m:rPr>
                  <w:rPr>
                    <w:rFonts w:ascii="Cambria Math" w:hAnsi="Cambria Math"/>
                    <w:sz w:val="28"/>
                    <w:szCs w:val="28"/>
                  </w:rPr>
                  <m:t>2</m:t>
                </m:r>
                <m:ctrlPr>
                  <w:rPr>
                    <w:rFonts w:ascii="Cambria Math" w:hAnsi="Cambria Math"/>
                    <w:sz w:val="28"/>
                    <w:szCs w:val="28"/>
                  </w:rPr>
                </m:ctrlPr>
              </m:sup>
            </m:sSup>
            <m:r>
              <m:rPr>
                <m:sty m:val="p"/>
              </m:rPr>
              <w:rPr>
                <w:rFonts w:hint="eastAsia" w:ascii="Cambria Math" w:hAnsi="Cambria Math"/>
                <w:sz w:val="28"/>
                <w:szCs w:val="28"/>
              </w:rPr>
              <m:t>）</m:t>
            </m:r>
            <m:ctrlPr>
              <w:rPr>
                <w:rFonts w:hint="eastAsia" w:ascii="Cambria Math" w:hAnsi="Cambria Math"/>
                <w:sz w:val="28"/>
                <w:szCs w:val="28"/>
              </w:rPr>
            </m:ctrlPr>
          </m:den>
        </m:f>
      </m:oMath>
      <w:r>
        <w:rPr>
          <w:rFonts w:hint="eastAsia"/>
        </w:rPr>
        <w:t>×100</w:t>
      </w:r>
      <w:r>
        <w:rPr>
          <w:rFonts w:ascii="Times New Roman" w:hAnsi="Times New Roman" w:eastAsiaTheme="minorEastAsia"/>
        </w:rPr>
        <w:t>%</w:t>
      </w:r>
      <w:r>
        <w:rPr>
          <w:rFonts w:hint="eastAsia"/>
          <w:spacing w:val="-8"/>
        </w:rPr>
        <w:t>………………………………………</w:t>
      </w:r>
      <w:r>
        <w:rPr>
          <w:rFonts w:hint="eastAsia"/>
          <w:color w:val="FF0000"/>
          <w:spacing w:val="-8"/>
        </w:rPr>
        <w:t>（</w:t>
      </w:r>
      <w:r>
        <w:rPr>
          <w:color w:val="FF0000"/>
          <w:spacing w:val="-8"/>
        </w:rPr>
        <w:t>5</w:t>
      </w:r>
      <w:r>
        <w:rPr>
          <w:rFonts w:hint="eastAsia"/>
          <w:color w:val="FF0000"/>
          <w:spacing w:val="-8"/>
        </w:rPr>
        <w:t>）</w:t>
      </w:r>
    </w:p>
    <w:p>
      <w:pPr>
        <w:pStyle w:val="56"/>
        <w:ind w:firstLine="420"/>
      </w:pPr>
      <w:r>
        <w:rPr>
          <w:rFonts w:hint="eastAsia"/>
        </w:rPr>
        <w:t>绿化面积指乔木、灌木、草坪等所有植被的垂直投影面积，包括公共绿地、单位附属绿地、防护绿地、生产绿地、道路绿地、风景林地的绿化种植覆盖面积、屋顶和立体绿化覆盖面积以及零散树木的覆盖面积。乔木树冠下重叠的灌木和草本植物不能重复计算。</w:t>
      </w:r>
    </w:p>
    <w:p>
      <w:pPr>
        <w:pStyle w:val="105"/>
        <w:spacing w:before="156" w:after="156"/>
      </w:pPr>
      <w:bookmarkStart w:id="63" w:name="_Toc146541078"/>
      <w:r>
        <w:rPr>
          <w:rFonts w:hint="eastAsia"/>
        </w:rPr>
        <w:t>节电节水器具使用率</w:t>
      </w:r>
      <w:bookmarkEnd w:id="63"/>
    </w:p>
    <w:p>
      <w:pPr>
        <w:pStyle w:val="56"/>
        <w:ind w:firstLine="420"/>
      </w:pPr>
      <w:r>
        <w:rPr>
          <w:rFonts w:hint="eastAsia"/>
        </w:rPr>
        <w:t>节电节水器具使用率计算方法见公式</w:t>
      </w:r>
      <w:r>
        <w:rPr>
          <w:rFonts w:hint="eastAsia"/>
          <w:color w:val="FF0000"/>
        </w:rPr>
        <w:t>（</w:t>
      </w:r>
      <w:r>
        <w:rPr>
          <w:color w:val="FF0000"/>
        </w:rPr>
        <w:t>6</w:t>
      </w:r>
      <w:r>
        <w:rPr>
          <w:rFonts w:hint="eastAsia"/>
          <w:color w:val="FF0000"/>
        </w:rPr>
        <w:t>）：</w:t>
      </w:r>
    </w:p>
    <w:p>
      <w:pPr>
        <w:pStyle w:val="13"/>
        <w:ind w:firstLine="420"/>
        <w:rPr>
          <w:spacing w:val="-8"/>
        </w:rPr>
      </w:pPr>
      <w:r>
        <w:rPr>
          <w:rFonts w:hint="eastAsia"/>
        </w:rPr>
        <w:t>节电节水器具使用</w:t>
      </w:r>
      <w:r>
        <w:rPr>
          <w:rFonts w:ascii="Times New Roman" w:hAnsi="Times New Roman"/>
        </w:rPr>
        <w:t>率（</w:t>
      </w:r>
      <w:r>
        <w:rPr>
          <w:rFonts w:ascii="Times New Roman" w:hAnsi="Times New Roman" w:eastAsiaTheme="minorEastAsia"/>
        </w:rPr>
        <w:t>%）</w:t>
      </w:r>
      <w:r>
        <w:rPr>
          <w:rFonts w:hint="eastAsia" w:asciiTheme="minorEastAsia" w:hAnsiTheme="minorEastAsia" w:eastAsiaTheme="minorEastAsia" w:cstheme="minorEastAsia"/>
        </w:rPr>
        <w:t xml:space="preserve"> </w:t>
      </w:r>
      <w:r>
        <w:rPr>
          <w:rFonts w:hint="eastAsia"/>
        </w:rPr>
        <w:t>=</w:t>
      </w:r>
      <w:r>
        <w:t xml:space="preserve"> </w:t>
      </w:r>
      <m:oMath>
        <m:f>
          <m:fPr>
            <m:ctrlPr>
              <w:rPr>
                <w:rFonts w:hint="eastAsia" w:ascii="Cambria Math" w:hAnsi="Cambria Math"/>
                <w:sz w:val="28"/>
                <w:szCs w:val="28"/>
              </w:rPr>
            </m:ctrlPr>
          </m:fPr>
          <m:num>
            <m:r>
              <m:rPr>
                <m:sty m:val="p"/>
              </m:rPr>
              <w:rPr>
                <w:rFonts w:hint="eastAsia" w:ascii="Cambria Math" w:hAnsi="Cambria Math"/>
                <w:sz w:val="28"/>
                <w:szCs w:val="28"/>
              </w:rPr>
              <m:t>社区公共建筑节电节水器具使用数量</m:t>
            </m:r>
            <m:r>
              <m:rPr>
                <m:sty m:val="p"/>
              </m:rPr>
              <w:rPr>
                <w:rFonts w:ascii="Cambria Math" w:hAnsi="Cambria Math"/>
                <w:sz w:val="28"/>
                <w:szCs w:val="28"/>
              </w:rPr>
              <m:t>(</m:t>
            </m:r>
            <m:r>
              <m:rPr>
                <m:sty m:val="p"/>
              </m:rPr>
              <w:rPr>
                <w:rFonts w:hint="eastAsia" w:ascii="Cambria Math" w:hAnsi="Cambria Math"/>
                <w:sz w:val="28"/>
                <w:szCs w:val="28"/>
              </w:rPr>
              <m:t>个数</m:t>
            </m:r>
            <m:r>
              <m:rPr>
                <m:sty m:val="p"/>
              </m:rPr>
              <w:rPr>
                <w:rFonts w:ascii="Cambria Math" w:hAnsi="Cambria Math"/>
                <w:sz w:val="28"/>
                <w:szCs w:val="28"/>
              </w:rPr>
              <m:t>)</m:t>
            </m:r>
            <m:ctrlPr>
              <w:rPr>
                <w:rFonts w:hint="eastAsia" w:ascii="Cambria Math" w:hAnsi="Cambria Math"/>
                <w:sz w:val="28"/>
                <w:szCs w:val="28"/>
              </w:rPr>
            </m:ctrlPr>
          </m:num>
          <m:den>
            <m:r>
              <m:rPr>
                <m:sty m:val="p"/>
              </m:rPr>
              <w:rPr>
                <w:rFonts w:hint="eastAsia" w:ascii="Cambria Math" w:hAnsi="Cambria Math"/>
                <w:sz w:val="28"/>
                <w:szCs w:val="28"/>
              </w:rPr>
              <m:t>社区公共建筑总用电用水器具使用数量（个数）</m:t>
            </m:r>
            <m:ctrlPr>
              <w:rPr>
                <w:rFonts w:hint="eastAsia" w:ascii="Cambria Math" w:hAnsi="Cambria Math"/>
                <w:sz w:val="28"/>
                <w:szCs w:val="28"/>
              </w:rPr>
            </m:ctrlPr>
          </m:den>
        </m:f>
        <m:r>
          <m:rPr>
            <m:sty m:val="p"/>
          </m:rPr>
          <w:rPr>
            <w:rFonts w:hint="eastAsia" w:ascii="Cambria Math" w:hAnsi="Cambria Math"/>
          </w:rPr>
          <m:t>×100</m:t>
        </m:r>
        <m:r>
          <m:rPr>
            <m:sty m:val="p"/>
          </m:rPr>
          <w:rPr>
            <w:rFonts w:ascii="Times New Roman" w:hAnsi="Times New Roman" w:eastAsiaTheme="minorEastAsia"/>
          </w:rPr>
          <m:t>%</m:t>
        </m:r>
      </m:oMath>
      <w:r>
        <w:rPr>
          <w:rFonts w:hint="eastAsia"/>
          <w:spacing w:val="-8"/>
        </w:rPr>
        <w:t>…………</w:t>
      </w:r>
      <w:r>
        <w:rPr>
          <w:rFonts w:hint="eastAsia"/>
          <w:color w:val="FF0000"/>
          <w:spacing w:val="-8"/>
        </w:rPr>
        <w:t>（</w:t>
      </w:r>
      <w:r>
        <w:rPr>
          <w:color w:val="FF0000"/>
          <w:spacing w:val="-8"/>
        </w:rPr>
        <w:t>6</w:t>
      </w:r>
      <w:r>
        <w:rPr>
          <w:rFonts w:hint="eastAsia"/>
          <w:color w:val="FF0000"/>
          <w:spacing w:val="-8"/>
        </w:rPr>
        <w:t>）</w:t>
      </w:r>
    </w:p>
    <w:p>
      <w:pPr>
        <w:pStyle w:val="56"/>
        <w:ind w:firstLine="420"/>
      </w:pPr>
      <w:r>
        <w:rPr>
          <w:rFonts w:hint="eastAsia"/>
        </w:rPr>
        <w:t>当不满足条件（</w:t>
      </w:r>
      <w:r>
        <w:rPr>
          <w:rFonts w:hint="eastAsia" w:ascii="Times New Roman"/>
          <w:szCs w:val="21"/>
          <w:lang w:bidi="en-US"/>
        </w:rPr>
        <w:t>a</w:t>
      </w:r>
      <w:r>
        <w:rPr>
          <w:rFonts w:hint="eastAsia"/>
        </w:rPr>
        <w:t>）时，可参用条件（</w:t>
      </w:r>
      <w:r>
        <w:rPr>
          <w:rFonts w:hint="eastAsia" w:ascii="Times New Roman"/>
          <w:szCs w:val="21"/>
          <w:lang w:bidi="en-US"/>
        </w:rPr>
        <w:t>b</w:t>
      </w:r>
      <w:r>
        <w:rPr>
          <w:rFonts w:hint="eastAsia"/>
        </w:rPr>
        <w:t>）配置节能设备设施（空调、电梯、数据中心用电设备、照明、供电等设备）。</w:t>
      </w:r>
    </w:p>
    <w:p>
      <w:pPr>
        <w:pStyle w:val="104"/>
        <w:spacing w:before="312" w:after="312"/>
      </w:pPr>
      <w:bookmarkStart w:id="64" w:name="_Toc146541079"/>
      <w:bookmarkStart w:id="65" w:name="_Toc146541116"/>
      <w:r>
        <w:rPr>
          <w:rFonts w:hint="eastAsia"/>
        </w:rPr>
        <w:t>评价等级</w:t>
      </w:r>
      <w:bookmarkEnd w:id="64"/>
      <w:bookmarkEnd w:id="65"/>
      <w:r>
        <w:rPr>
          <w:rFonts w:hint="eastAsia"/>
        </w:rPr>
        <w:t xml:space="preserve"> </w:t>
      </w:r>
    </w:p>
    <w:p>
      <w:pPr>
        <w:pStyle w:val="56"/>
        <w:ind w:firstLine="420"/>
      </w:pPr>
      <w:r>
        <w:rPr>
          <w:rFonts w:hint="eastAsia"/>
        </w:rPr>
        <w:t>本标准将评价结果划分为3个等级，如表2所示。</w:t>
      </w:r>
    </w:p>
    <w:p>
      <w:pPr>
        <w:pStyle w:val="112"/>
        <w:spacing w:before="156" w:after="156"/>
      </w:pPr>
      <w:r>
        <w:rPr>
          <w:rFonts w:hint="eastAsia"/>
        </w:rPr>
        <w:t>社区公共建筑低碳等级划分</w:t>
      </w:r>
    </w:p>
    <w:tbl>
      <w:tblPr>
        <w:tblStyle w:val="26"/>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2191"/>
        <w:gridCol w:w="2191"/>
        <w:gridCol w:w="2193"/>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5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spacing w:before="52" w:line="240" w:lineRule="auto"/>
              <w:ind w:left="356" w:right="256"/>
              <w:jc w:val="center"/>
              <w:rPr>
                <w:rFonts w:ascii="宋体" w:hAnsi="宋体" w:cs="宋体"/>
                <w:kern w:val="0"/>
                <w:sz w:val="18"/>
                <w:szCs w:val="18"/>
                <w:lang w:eastAsia="en-US" w:bidi="en-US"/>
              </w:rPr>
            </w:pPr>
            <w:r>
              <w:rPr>
                <w:rFonts w:hint="eastAsia" w:ascii="宋体" w:hAnsi="宋体" w:cs="宋体"/>
                <w:kern w:val="0"/>
                <w:sz w:val="18"/>
                <w:szCs w:val="18"/>
                <w:lang w:bidi="en-US"/>
              </w:rPr>
              <w:t>评定等级</w:t>
            </w:r>
          </w:p>
        </w:tc>
        <w:tc>
          <w:tcPr>
            <w:tcW w:w="21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spacing w:before="52" w:line="240" w:lineRule="auto"/>
              <w:ind w:left="242" w:right="145"/>
              <w:jc w:val="center"/>
              <w:rPr>
                <w:rFonts w:ascii="Times New Roman" w:hAnsi="Times New Roman"/>
                <w:kern w:val="0"/>
                <w:sz w:val="18"/>
                <w:szCs w:val="18"/>
                <w:lang w:eastAsia="en-US" w:bidi="en-US"/>
              </w:rPr>
            </w:pPr>
            <w:r>
              <w:rPr>
                <w:rFonts w:ascii="Times New Roman" w:hAnsi="Times New Roman"/>
                <w:kern w:val="0"/>
                <w:sz w:val="18"/>
                <w:szCs w:val="18"/>
                <w:lang w:eastAsia="en-US" w:bidi="en-US"/>
              </w:rPr>
              <w:t>Ⅰ级</w:t>
            </w:r>
          </w:p>
        </w:tc>
        <w:tc>
          <w:tcPr>
            <w:tcW w:w="21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spacing w:before="52" w:line="240" w:lineRule="auto"/>
              <w:ind w:left="242" w:right="145"/>
              <w:jc w:val="center"/>
              <w:rPr>
                <w:rFonts w:ascii="Times New Roman" w:hAnsi="Times New Roman"/>
                <w:kern w:val="0"/>
                <w:sz w:val="18"/>
                <w:szCs w:val="18"/>
                <w:lang w:eastAsia="en-US" w:bidi="en-US"/>
              </w:rPr>
            </w:pPr>
            <w:r>
              <w:rPr>
                <w:rFonts w:ascii="Times New Roman" w:hAnsi="Times New Roman"/>
                <w:kern w:val="0"/>
                <w:sz w:val="18"/>
                <w:szCs w:val="18"/>
                <w:lang w:eastAsia="en-US" w:bidi="en-US"/>
              </w:rPr>
              <w:t>Ⅱ级</w:t>
            </w:r>
          </w:p>
        </w:tc>
        <w:tc>
          <w:tcPr>
            <w:tcW w:w="21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spacing w:before="52" w:line="240" w:lineRule="auto"/>
              <w:ind w:left="242" w:right="145"/>
              <w:jc w:val="center"/>
              <w:rPr>
                <w:rFonts w:ascii="Times New Roman" w:hAnsi="Times New Roman"/>
                <w:kern w:val="0"/>
                <w:sz w:val="18"/>
                <w:szCs w:val="18"/>
                <w:lang w:bidi="en-US"/>
              </w:rPr>
            </w:pPr>
            <w:r>
              <w:rPr>
                <w:rFonts w:ascii="Times New Roman" w:hAnsi="Times New Roman"/>
                <w:kern w:val="0"/>
                <w:sz w:val="18"/>
                <w:szCs w:val="18"/>
                <w:lang w:eastAsia="en-US" w:bidi="en-US"/>
              </w:rPr>
              <w:t>Ⅲ级</w:t>
            </w:r>
          </w:p>
        </w:tc>
        <w:tc>
          <w:tcPr>
            <w:tcW w:w="148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spacing w:before="52" w:line="240" w:lineRule="auto"/>
              <w:ind w:left="242" w:right="145"/>
              <w:jc w:val="center"/>
              <w:rPr>
                <w:rFonts w:ascii="宋体" w:hAnsi="宋体" w:cs="宋体"/>
                <w:kern w:val="0"/>
                <w:sz w:val="18"/>
                <w:szCs w:val="18"/>
                <w:lang w:bidi="en-US"/>
              </w:rPr>
            </w:pPr>
            <w:r>
              <w:rPr>
                <w:rFonts w:hint="eastAsia" w:ascii="宋体" w:hAnsi="宋体" w:cs="宋体"/>
                <w:kern w:val="0"/>
                <w:sz w:val="18"/>
                <w:szCs w:val="18"/>
                <w:lang w:bidi="en-US"/>
              </w:rPr>
              <w:t>非低碳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5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spacing w:before="52" w:line="240" w:lineRule="auto"/>
              <w:ind w:left="356" w:right="256"/>
              <w:jc w:val="center"/>
              <w:rPr>
                <w:rFonts w:ascii="宋体" w:hAnsi="宋体" w:cs="宋体"/>
                <w:kern w:val="0"/>
                <w:sz w:val="18"/>
                <w:szCs w:val="18"/>
                <w:lang w:bidi="en-US"/>
              </w:rPr>
            </w:pPr>
            <w:r>
              <w:rPr>
                <w:rFonts w:hint="eastAsia" w:ascii="宋体" w:hAnsi="宋体" w:cs="宋体"/>
                <w:kern w:val="0"/>
                <w:sz w:val="18"/>
                <w:szCs w:val="18"/>
                <w:lang w:bidi="en-US"/>
              </w:rPr>
              <w:t>评定得分</w:t>
            </w:r>
          </w:p>
        </w:tc>
        <w:tc>
          <w:tcPr>
            <w:tcW w:w="21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spacing w:before="52" w:line="240" w:lineRule="auto"/>
              <w:ind w:left="242" w:right="145"/>
              <w:jc w:val="center"/>
              <w:rPr>
                <w:rFonts w:ascii="宋体" w:hAnsi="宋体" w:cs="宋体"/>
                <w:kern w:val="0"/>
                <w:sz w:val="18"/>
                <w:szCs w:val="18"/>
                <w:lang w:eastAsia="en-US" w:bidi="en-US"/>
              </w:rPr>
            </w:pPr>
            <w:r>
              <w:rPr>
                <w:rFonts w:hint="eastAsia" w:ascii="宋体" w:hAnsi="宋体" w:cs="宋体"/>
                <w:kern w:val="0"/>
                <w:sz w:val="18"/>
                <w:szCs w:val="18"/>
                <w:lang w:bidi="en-US"/>
              </w:rPr>
              <w:t>≥85分</w:t>
            </w:r>
          </w:p>
        </w:tc>
        <w:tc>
          <w:tcPr>
            <w:tcW w:w="21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spacing w:before="52" w:line="240" w:lineRule="auto"/>
              <w:ind w:left="242" w:right="145"/>
              <w:jc w:val="center"/>
              <w:rPr>
                <w:rFonts w:ascii="宋体" w:hAnsi="宋体" w:cs="宋体"/>
                <w:kern w:val="0"/>
                <w:sz w:val="18"/>
                <w:szCs w:val="18"/>
                <w:lang w:eastAsia="en-US" w:bidi="en-US"/>
              </w:rPr>
            </w:pPr>
            <w:r>
              <w:rPr>
                <w:rFonts w:hint="eastAsia" w:ascii="宋体" w:hAnsi="宋体" w:cs="宋体"/>
                <w:kern w:val="0"/>
                <w:sz w:val="18"/>
                <w:szCs w:val="18"/>
                <w:lang w:bidi="en-US"/>
              </w:rPr>
              <w:t>≥70分</w:t>
            </w:r>
          </w:p>
        </w:tc>
        <w:tc>
          <w:tcPr>
            <w:tcW w:w="21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spacing w:before="52" w:line="240" w:lineRule="auto"/>
              <w:ind w:left="242" w:right="145"/>
              <w:jc w:val="center"/>
              <w:rPr>
                <w:rFonts w:ascii="宋体" w:hAnsi="宋体" w:cs="宋体"/>
                <w:kern w:val="0"/>
                <w:sz w:val="18"/>
                <w:szCs w:val="18"/>
                <w:lang w:bidi="en-US"/>
              </w:rPr>
            </w:pPr>
            <w:r>
              <w:rPr>
                <w:rFonts w:hint="eastAsia" w:ascii="宋体" w:hAnsi="宋体" w:cs="宋体"/>
                <w:kern w:val="0"/>
                <w:sz w:val="18"/>
                <w:szCs w:val="18"/>
                <w:lang w:bidi="en-US"/>
              </w:rPr>
              <w:t>≥60分</w:t>
            </w:r>
          </w:p>
        </w:tc>
        <w:tc>
          <w:tcPr>
            <w:tcW w:w="148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spacing w:before="52" w:line="240" w:lineRule="auto"/>
              <w:ind w:left="242" w:right="145"/>
              <w:jc w:val="center"/>
              <w:rPr>
                <w:rFonts w:ascii="宋体" w:hAnsi="宋体" w:cs="宋体"/>
                <w:kern w:val="0"/>
                <w:sz w:val="18"/>
                <w:szCs w:val="18"/>
                <w:lang w:bidi="en-US"/>
              </w:rPr>
            </w:pPr>
            <w:r>
              <w:rPr>
                <w:rFonts w:hint="eastAsia" w:ascii="宋体" w:hAnsi="宋体" w:cs="宋体"/>
                <w:kern w:val="0"/>
                <w:sz w:val="18"/>
                <w:szCs w:val="18"/>
                <w:lang w:bidi="en-US"/>
              </w:rPr>
              <w:t>＜60分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507"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spacing w:before="52" w:line="240" w:lineRule="auto"/>
              <w:ind w:left="356" w:right="256"/>
              <w:jc w:val="center"/>
              <w:rPr>
                <w:rFonts w:ascii="宋体" w:hAnsi="宋体" w:cs="宋体"/>
                <w:kern w:val="0"/>
                <w:sz w:val="18"/>
                <w:szCs w:val="18"/>
                <w:lang w:eastAsia="en-US" w:bidi="en-US"/>
              </w:rPr>
            </w:pPr>
            <w:r>
              <w:rPr>
                <w:rFonts w:hint="eastAsia" w:ascii="宋体" w:hAnsi="宋体" w:cs="宋体"/>
                <w:kern w:val="0"/>
                <w:sz w:val="18"/>
                <w:szCs w:val="18"/>
                <w:lang w:bidi="en-US"/>
              </w:rPr>
              <w:t>状态</w:t>
            </w:r>
          </w:p>
        </w:tc>
        <w:tc>
          <w:tcPr>
            <w:tcW w:w="21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spacing w:before="1" w:line="240" w:lineRule="auto"/>
              <w:ind w:left="242" w:right="145"/>
              <w:jc w:val="center"/>
              <w:rPr>
                <w:rFonts w:ascii="宋体" w:hAnsi="宋体" w:cs="宋体"/>
                <w:kern w:val="0"/>
                <w:sz w:val="18"/>
                <w:szCs w:val="18"/>
                <w:lang w:bidi="en-US"/>
              </w:rPr>
            </w:pPr>
            <w:r>
              <w:rPr>
                <w:rFonts w:hint="eastAsia" w:ascii="宋体" w:hAnsi="宋体" w:cs="宋体"/>
                <w:kern w:val="0"/>
                <w:sz w:val="18"/>
                <w:szCs w:val="18"/>
                <w:lang w:bidi="en-US"/>
              </w:rPr>
              <w:t>优秀</w:t>
            </w:r>
          </w:p>
        </w:tc>
        <w:tc>
          <w:tcPr>
            <w:tcW w:w="2191"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spacing w:before="1" w:line="240" w:lineRule="auto"/>
              <w:ind w:left="242" w:right="145"/>
              <w:jc w:val="center"/>
              <w:rPr>
                <w:rFonts w:ascii="宋体" w:hAnsi="宋体" w:cs="宋体"/>
                <w:kern w:val="0"/>
                <w:sz w:val="18"/>
                <w:szCs w:val="18"/>
                <w:lang w:bidi="en-US"/>
              </w:rPr>
            </w:pPr>
            <w:r>
              <w:rPr>
                <w:rFonts w:hint="eastAsia" w:ascii="宋体" w:hAnsi="宋体" w:cs="宋体"/>
                <w:kern w:val="0"/>
                <w:sz w:val="18"/>
                <w:szCs w:val="18"/>
                <w:lang w:bidi="en-US"/>
              </w:rPr>
              <w:t>良好</w:t>
            </w:r>
          </w:p>
        </w:tc>
        <w:tc>
          <w:tcPr>
            <w:tcW w:w="2193"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spacing w:before="1" w:line="240" w:lineRule="auto"/>
              <w:ind w:left="242" w:right="145"/>
              <w:jc w:val="center"/>
              <w:rPr>
                <w:rFonts w:ascii="宋体" w:hAnsi="宋体" w:cs="宋体"/>
                <w:kern w:val="0"/>
                <w:sz w:val="18"/>
                <w:szCs w:val="18"/>
                <w:lang w:bidi="en-US"/>
              </w:rPr>
            </w:pPr>
            <w:r>
              <w:rPr>
                <w:rFonts w:hint="eastAsia" w:ascii="宋体" w:hAnsi="宋体" w:cs="宋体"/>
                <w:kern w:val="0"/>
                <w:sz w:val="18"/>
                <w:szCs w:val="18"/>
                <w:lang w:bidi="en-US"/>
              </w:rPr>
              <w:t>一般</w:t>
            </w:r>
          </w:p>
        </w:tc>
        <w:tc>
          <w:tcPr>
            <w:tcW w:w="1488"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spacing w:before="1" w:line="240" w:lineRule="auto"/>
              <w:ind w:left="242" w:right="145"/>
              <w:jc w:val="center"/>
              <w:rPr>
                <w:rFonts w:ascii="宋体" w:hAnsi="宋体" w:cs="宋体"/>
                <w:kern w:val="0"/>
                <w:sz w:val="18"/>
                <w:szCs w:val="18"/>
                <w:lang w:bidi="en-US"/>
              </w:rPr>
            </w:pPr>
            <w:r>
              <w:rPr>
                <w:rFonts w:hint="eastAsia" w:ascii="宋体" w:hAnsi="宋体" w:cs="宋体"/>
                <w:kern w:val="0"/>
                <w:sz w:val="18"/>
                <w:szCs w:val="18"/>
                <w:lang w:bidi="en-US"/>
              </w:rPr>
              <w:t>不符合</w:t>
            </w:r>
          </w:p>
        </w:tc>
      </w:tr>
    </w:tbl>
    <w:p>
      <w:pPr>
        <w:pStyle w:val="104"/>
        <w:spacing w:before="312" w:after="312"/>
      </w:pPr>
      <w:bookmarkStart w:id="66" w:name="_Toc146541080"/>
      <w:bookmarkStart w:id="67" w:name="_Toc146541117"/>
      <w:r>
        <w:rPr>
          <w:rFonts w:hint="eastAsia"/>
        </w:rPr>
        <w:t>评价程序</w:t>
      </w:r>
      <w:bookmarkEnd w:id="66"/>
      <w:bookmarkEnd w:id="67"/>
    </w:p>
    <w:p>
      <w:pPr>
        <w:pStyle w:val="105"/>
        <w:spacing w:before="156" w:after="156"/>
      </w:pPr>
      <w:bookmarkStart w:id="68" w:name="_Toc146541081"/>
      <w:r>
        <w:rPr>
          <w:rFonts w:hint="eastAsia"/>
        </w:rPr>
        <w:t>评价启动</w:t>
      </w:r>
      <w:bookmarkEnd w:id="68"/>
    </w:p>
    <w:p>
      <w:pPr>
        <w:pStyle w:val="174"/>
      </w:pPr>
      <w:r>
        <w:rPr>
          <w:rFonts w:hint="eastAsia"/>
        </w:rPr>
        <w:t>成立评价组，评价组由至少三名人员构成，其中一名担任评价组长，评价组负责具体评价工作.</w:t>
      </w:r>
    </w:p>
    <w:p>
      <w:pPr>
        <w:pStyle w:val="174"/>
      </w:pPr>
      <w:r>
        <w:rPr>
          <w:rFonts w:hint="eastAsia"/>
        </w:rPr>
        <w:t>评价组成员应为来自低碳领域的专家（低碳计量专业要求委员会成员等）。</w:t>
      </w:r>
    </w:p>
    <w:p>
      <w:pPr>
        <w:pStyle w:val="174"/>
      </w:pPr>
      <w:r>
        <w:rPr>
          <w:rFonts w:hint="eastAsia"/>
        </w:rPr>
        <w:t>评价组编制评价工作计划，评价计划应包括但不限于评价目的、评价准则、评价范围。</w:t>
      </w:r>
    </w:p>
    <w:p>
      <w:pPr>
        <w:pStyle w:val="174"/>
      </w:pPr>
      <w:r>
        <w:rPr>
          <w:rFonts w:hint="eastAsia"/>
        </w:rPr>
        <w:t>评价组对提供的资料文件进行初步审核，并编制评价计划及评价所需文件清单。</w:t>
      </w:r>
    </w:p>
    <w:p>
      <w:pPr>
        <w:pStyle w:val="105"/>
        <w:spacing w:before="156" w:after="156"/>
      </w:pPr>
      <w:bookmarkStart w:id="69" w:name="_Toc146541082"/>
      <w:r>
        <w:rPr>
          <w:rFonts w:hint="eastAsia"/>
        </w:rPr>
        <w:t>评价实施</w:t>
      </w:r>
      <w:bookmarkEnd w:id="69"/>
    </w:p>
    <w:p>
      <w:pPr>
        <w:pStyle w:val="65"/>
        <w:spacing w:before="156" w:after="156"/>
      </w:pPr>
      <w:r>
        <w:rPr>
          <w:rFonts w:hint="eastAsia"/>
        </w:rPr>
        <w:t>文件评审</w:t>
      </w:r>
    </w:p>
    <w:p>
      <w:pPr>
        <w:pStyle w:val="56"/>
        <w:ind w:firstLine="420"/>
      </w:pPr>
      <w:r>
        <w:rPr>
          <w:rFonts w:hint="eastAsia"/>
        </w:rPr>
        <w:t>评价组应对申报资料及自我评价结果进行评审，确定其是否达到本文件第四章所规定的基本要求，并识别出现场评审需要重点关注的方面。</w:t>
      </w:r>
    </w:p>
    <w:p>
      <w:pPr>
        <w:pStyle w:val="65"/>
        <w:spacing w:before="156" w:after="156"/>
      </w:pPr>
      <w:r>
        <w:rPr>
          <w:rFonts w:hint="eastAsia"/>
        </w:rPr>
        <w:t>现场评价</w:t>
      </w:r>
    </w:p>
    <w:p>
      <w:pPr>
        <w:pStyle w:val="56"/>
        <w:ind w:firstLine="420"/>
      </w:pPr>
      <w:r>
        <w:rPr>
          <w:rFonts w:hint="eastAsia"/>
        </w:rPr>
        <w:t>现场评价包括如下内容：</w:t>
      </w:r>
    </w:p>
    <w:p>
      <w:pPr>
        <w:pStyle w:val="174"/>
        <w:numPr>
          <w:ilvl w:val="0"/>
          <w:numId w:val="32"/>
        </w:numPr>
      </w:pPr>
      <w:r>
        <w:rPr>
          <w:rFonts w:hint="eastAsia"/>
        </w:rPr>
        <w:t>召开评价启动会：双方人员介绍，确定评价计划等事宜；社区公共建筑介绍基本情况及相关低碳化建设或改造成果；</w:t>
      </w:r>
    </w:p>
    <w:p>
      <w:pPr>
        <w:pStyle w:val="174"/>
      </w:pPr>
      <w:r>
        <w:rPr>
          <w:rFonts w:hint="eastAsia"/>
        </w:rPr>
        <w:t>查阅申报材料：申报材料应包括社区公共建筑的基本情况、建筑平面图、低碳化建设实施方案、实施成果、与能耗相关的数据统计信息及相关证明材料；</w:t>
      </w:r>
    </w:p>
    <w:p>
      <w:pPr>
        <w:pStyle w:val="174"/>
      </w:pPr>
      <w:r>
        <w:rPr>
          <w:rFonts w:hint="eastAsia"/>
        </w:rPr>
        <w:t>访谈相关人员；</w:t>
      </w:r>
    </w:p>
    <w:p>
      <w:pPr>
        <w:pStyle w:val="174"/>
      </w:pPr>
      <w:r>
        <w:rPr>
          <w:rFonts w:hint="eastAsia"/>
        </w:rPr>
        <w:t>现场考察相关设施；</w:t>
      </w:r>
    </w:p>
    <w:p>
      <w:pPr>
        <w:pStyle w:val="174"/>
      </w:pPr>
      <w:r>
        <w:rPr>
          <w:rFonts w:hint="eastAsia"/>
        </w:rPr>
        <w:t>与申报单位负责人沟通评审情况、确认评价结论；</w:t>
      </w:r>
    </w:p>
    <w:p>
      <w:pPr>
        <w:pStyle w:val="174"/>
      </w:pPr>
      <w:r>
        <w:rPr>
          <w:rFonts w:hint="eastAsia"/>
        </w:rPr>
        <w:t>召开评价总结会，由评价组组长陈述评价结果。</w:t>
      </w:r>
    </w:p>
    <w:p>
      <w:pPr>
        <w:pStyle w:val="105"/>
        <w:spacing w:before="156" w:after="156"/>
      </w:pPr>
      <w:bookmarkStart w:id="70" w:name="_Toc146541083"/>
      <w:r>
        <w:rPr>
          <w:rFonts w:hint="eastAsia"/>
        </w:rPr>
        <w:t>评价报告</w:t>
      </w:r>
      <w:bookmarkEnd w:id="70"/>
    </w:p>
    <w:p>
      <w:pPr>
        <w:pStyle w:val="56"/>
        <w:ind w:firstLine="420"/>
      </w:pPr>
      <w:r>
        <w:rPr>
          <w:rFonts w:hint="eastAsia"/>
        </w:rPr>
        <w:t>评价组编制评价报告。评价报告编写提纲及格式要求参见附录</w:t>
      </w:r>
      <w:r>
        <w:rPr>
          <w:rFonts w:hint="eastAsia" w:ascii="Times New Roman"/>
          <w:szCs w:val="21"/>
          <w:lang w:bidi="en-US"/>
        </w:rPr>
        <w:t>A</w:t>
      </w:r>
      <w:r>
        <w:rPr>
          <w:rFonts w:hint="eastAsia"/>
        </w:rPr>
        <w:t>。</w:t>
      </w:r>
    </w:p>
    <w:p>
      <w:pPr>
        <w:pStyle w:val="104"/>
        <w:spacing w:before="312" w:after="312"/>
      </w:pPr>
      <w:bookmarkStart w:id="71" w:name="_Toc146541084"/>
      <w:bookmarkStart w:id="72" w:name="_Toc146541118"/>
      <w:r>
        <w:rPr>
          <w:rFonts w:hint="eastAsia"/>
        </w:rPr>
        <w:t>评价结果应用</w:t>
      </w:r>
      <w:bookmarkEnd w:id="71"/>
      <w:bookmarkEnd w:id="72"/>
    </w:p>
    <w:p>
      <w:pPr>
        <w:pStyle w:val="56"/>
        <w:ind w:firstLine="420"/>
      </w:pPr>
      <w:r>
        <w:rPr>
          <w:rFonts w:hint="eastAsia"/>
        </w:rPr>
        <w:t>社区公共建筑低碳评价结果可作为申报低碳社区的支撑材料、推进低碳社区考核、评优等的条件、制定社区低碳改造方案的分析依据等。</w:t>
      </w: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11"/>
    <w:p>
      <w:pPr>
        <w:pStyle w:val="198"/>
        <w:rPr>
          <w:vanish w:val="0"/>
        </w:rPr>
      </w:pPr>
      <w:bookmarkStart w:id="73" w:name="BookMark5"/>
    </w:p>
    <w:p>
      <w:pPr>
        <w:pStyle w:val="199"/>
        <w:rPr>
          <w:vanish w:val="0"/>
        </w:rPr>
      </w:pPr>
    </w:p>
    <w:p>
      <w:pPr>
        <w:pStyle w:val="76"/>
        <w:spacing w:after="156"/>
      </w:pPr>
      <w:r>
        <w:br w:type="textWrapping"/>
      </w:r>
      <w:bookmarkStart w:id="74" w:name="_Toc146541085"/>
      <w:bookmarkStart w:id="75" w:name="_Toc146541119"/>
      <w:r>
        <w:rPr>
          <w:rFonts w:hint="eastAsia"/>
        </w:rPr>
        <w:t>（资料性）</w:t>
      </w:r>
      <w:r>
        <w:br w:type="textWrapping"/>
      </w:r>
      <w:r>
        <w:rPr>
          <w:rFonts w:hint="eastAsia"/>
        </w:rPr>
        <w:t>社区公共建筑低碳评价报告编写提纲及格式要求</w:t>
      </w:r>
      <w:bookmarkEnd w:id="74"/>
      <w:bookmarkEnd w:id="75"/>
    </w:p>
    <w:p>
      <w:pPr>
        <w:pStyle w:val="13"/>
        <w:spacing w:before="43"/>
        <w:ind w:right="585"/>
      </w:pPr>
      <w:r>
        <w:rPr>
          <w:rFonts w:hint="eastAsia"/>
        </w:rPr>
        <w:t>封页：</w:t>
      </w:r>
    </w:p>
    <w:p>
      <w:pPr>
        <w:pStyle w:val="13"/>
        <w:spacing w:before="43"/>
        <w:ind w:right="585"/>
        <w:jc w:val="center"/>
      </w:pPr>
      <w:r>
        <w:rPr>
          <w:rFonts w:hint="eastAsia"/>
        </w:rPr>
        <w:t>XXXX社区公共建筑低碳评价报告（小标宋，二号）</w:t>
      </w:r>
    </w:p>
    <w:p>
      <w:pPr>
        <w:pStyle w:val="13"/>
        <w:spacing w:before="43"/>
        <w:ind w:right="585"/>
        <w:jc w:val="center"/>
      </w:pPr>
      <w:r>
        <w:rPr>
          <w:rFonts w:hint="eastAsia"/>
        </w:rPr>
        <w:t>评价机构名称（加盖公章）（</w:t>
      </w:r>
      <w:r>
        <w:rPr>
          <w:rFonts w:ascii="Times New Roman" w:hAnsi="Times New Roman"/>
        </w:rPr>
        <w:t>仿宋_GB2312，</w:t>
      </w:r>
      <w:r>
        <w:rPr>
          <w:rFonts w:hint="eastAsia" w:ascii="Times New Roman" w:hAnsi="Times New Roman"/>
        </w:rPr>
        <w:t>三号</w:t>
      </w:r>
      <w:r>
        <w:rPr>
          <w:rFonts w:hint="eastAsia"/>
        </w:rPr>
        <w:t>）</w:t>
      </w:r>
    </w:p>
    <w:p>
      <w:pPr>
        <w:pStyle w:val="13"/>
        <w:spacing w:before="43"/>
        <w:ind w:right="585"/>
        <w:jc w:val="center"/>
      </w:pPr>
      <w:r>
        <w:rPr>
          <w:rFonts w:hint="eastAsia"/>
        </w:rPr>
        <w:t>年   月   日</w:t>
      </w:r>
    </w:p>
    <w:p>
      <w:pPr>
        <w:pStyle w:val="13"/>
        <w:spacing w:before="43"/>
        <w:ind w:right="585"/>
      </w:pPr>
      <w:r>
        <w:rPr>
          <w:rFonts w:hint="eastAsia"/>
        </w:rPr>
        <w:t>封一：</w:t>
      </w:r>
    </w:p>
    <w:p>
      <w:pPr>
        <w:pStyle w:val="13"/>
        <w:spacing w:before="43"/>
        <w:ind w:right="584" w:firstLine="420"/>
      </w:pPr>
      <w:r>
        <w:rPr>
          <w:rFonts w:hint="eastAsia"/>
        </w:rPr>
        <w:t>报告名称：XXXX社区公共建筑低碳评价报告</w:t>
      </w:r>
    </w:p>
    <w:p>
      <w:pPr>
        <w:pStyle w:val="13"/>
        <w:spacing w:before="43"/>
        <w:ind w:right="584" w:firstLine="420"/>
      </w:pPr>
      <w:r>
        <w:rPr>
          <w:rFonts w:hint="eastAsia"/>
        </w:rPr>
        <w:t>评价组组长：姓名、技术职务、签名</w:t>
      </w:r>
    </w:p>
    <w:p>
      <w:pPr>
        <w:pStyle w:val="13"/>
        <w:spacing w:before="43"/>
        <w:ind w:right="584" w:firstLine="420"/>
      </w:pPr>
      <w:r>
        <w:rPr>
          <w:rFonts w:hint="eastAsia"/>
        </w:rPr>
        <w:t>评价组成员：姓名、技术职务、签名</w:t>
      </w:r>
    </w:p>
    <w:p>
      <w:pPr>
        <w:pStyle w:val="13"/>
        <w:spacing w:before="43"/>
        <w:ind w:right="584" w:firstLine="420"/>
      </w:pPr>
      <w:r>
        <w:rPr>
          <w:rFonts w:hint="eastAsia"/>
        </w:rPr>
        <w:t>报告审核人：姓名、技术职务、签名</w:t>
      </w:r>
    </w:p>
    <w:p>
      <w:pPr>
        <w:pStyle w:val="13"/>
        <w:spacing w:before="43"/>
        <w:ind w:right="585"/>
      </w:pPr>
      <w:r>
        <w:rPr>
          <w:rFonts w:hint="eastAsia"/>
        </w:rPr>
        <w:t>封二：  目录</w:t>
      </w:r>
    </w:p>
    <w:p>
      <w:pPr>
        <w:pStyle w:val="13"/>
        <w:spacing w:before="43"/>
        <w:ind w:right="585"/>
        <w:rPr>
          <w:rFonts w:ascii="Times New Roman" w:hAnsi="Times New Roman"/>
        </w:rPr>
      </w:pPr>
      <w:r>
        <w:rPr>
          <w:rFonts w:hint="eastAsia" w:ascii="Times New Roman" w:hAnsi="Times New Roman"/>
        </w:rPr>
        <w:t>正文：</w:t>
      </w:r>
    </w:p>
    <w:p>
      <w:pPr>
        <w:pStyle w:val="13"/>
        <w:spacing w:before="43"/>
        <w:ind w:right="584" w:firstLine="420"/>
        <w:rPr>
          <w:rFonts w:ascii="Times New Roman" w:hAnsi="Times New Roman"/>
        </w:rPr>
      </w:pPr>
      <w:r>
        <w:rPr>
          <w:rFonts w:hint="eastAsia" w:ascii="Times New Roman" w:hAnsi="Times New Roman"/>
        </w:rPr>
        <w:t>对应</w:t>
      </w:r>
      <w:r>
        <w:rPr>
          <w:rFonts w:ascii="Times New Roman" w:hAnsi="Times New Roman"/>
        </w:rPr>
        <w:t>目录内容</w:t>
      </w:r>
      <w:r>
        <w:rPr>
          <w:rFonts w:hint="eastAsia" w:ascii="Times New Roman" w:hAnsi="Times New Roman"/>
        </w:rPr>
        <w:t>编写</w:t>
      </w:r>
      <w:r>
        <w:rPr>
          <w:rFonts w:ascii="Times New Roman" w:hAnsi="Times New Roman"/>
        </w:rPr>
        <w:t>，纸质规格A4纸，</w:t>
      </w:r>
      <w:r>
        <w:rPr>
          <w:rFonts w:hint="eastAsia" w:ascii="Times New Roman" w:hAnsi="Times New Roman"/>
        </w:rPr>
        <w:t>文字</w:t>
      </w:r>
      <w:r>
        <w:rPr>
          <w:rFonts w:ascii="Times New Roman" w:hAnsi="Times New Roman"/>
        </w:rPr>
        <w:t>字体为仿宋_GB2312，数字字体</w:t>
      </w:r>
      <w:r>
        <w:rPr>
          <w:rFonts w:hint="eastAsia" w:ascii="Times New Roman" w:hAnsi="Times New Roman"/>
        </w:rPr>
        <w:t>为</w:t>
      </w:r>
      <w:r>
        <w:rPr>
          <w:rFonts w:ascii="Times New Roman" w:hAnsi="Times New Roman"/>
        </w:rPr>
        <w:t>Times New Roman</w:t>
      </w:r>
      <w:r>
        <w:rPr>
          <w:rFonts w:hint="eastAsia" w:ascii="Times New Roman" w:hAnsi="Times New Roman"/>
        </w:rPr>
        <w:t>，字号</w:t>
      </w:r>
      <w:r>
        <w:rPr>
          <w:rFonts w:ascii="Times New Roman" w:hAnsi="Times New Roman"/>
        </w:rPr>
        <w:t>三号</w:t>
      </w:r>
      <w:r>
        <w:rPr>
          <w:rFonts w:hint="eastAsia" w:ascii="Times New Roman" w:hAnsi="Times New Roman"/>
        </w:rPr>
        <w:t>，全文行距为固定值30磅。</w:t>
      </w:r>
    </w:p>
    <w:p>
      <w:pPr>
        <w:pStyle w:val="13"/>
        <w:spacing w:before="43"/>
        <w:ind w:right="585"/>
        <w:rPr>
          <w:rFonts w:ascii="Times New Roman" w:hAnsi="Times New Roman"/>
        </w:rPr>
      </w:pPr>
      <w:r>
        <w:rPr>
          <w:rFonts w:ascii="Times New Roman" w:hAnsi="Times New Roman"/>
        </w:rPr>
        <w:t>页眉：</w:t>
      </w:r>
    </w:p>
    <w:p>
      <w:pPr>
        <w:pStyle w:val="13"/>
        <w:spacing w:before="43"/>
        <w:ind w:right="584" w:firstLine="420"/>
        <w:rPr>
          <w:rFonts w:ascii="Times New Roman" w:hAnsi="Times New Roman"/>
        </w:rPr>
      </w:pPr>
      <w:r>
        <w:rPr>
          <w:rFonts w:hint="eastAsia"/>
        </w:rPr>
        <w:t>XXXX社区公</w:t>
      </w:r>
      <w:r>
        <w:rPr>
          <w:rFonts w:hint="eastAsia" w:ascii="Times New Roman" w:hAnsi="Times New Roman"/>
        </w:rPr>
        <w:t>共建筑</w:t>
      </w:r>
      <w:r>
        <w:rPr>
          <w:rFonts w:ascii="Times New Roman" w:hAnsi="Times New Roman"/>
        </w:rPr>
        <w:t>低碳评价报告、字体为仿宋_GB2312，</w:t>
      </w:r>
      <w:r>
        <w:rPr>
          <w:rFonts w:hint="eastAsia" w:ascii="Times New Roman" w:hAnsi="Times New Roman"/>
        </w:rPr>
        <w:t>字号</w:t>
      </w:r>
      <w:r>
        <w:rPr>
          <w:rFonts w:ascii="Times New Roman" w:hAnsi="Times New Roman"/>
        </w:rPr>
        <w:t>五号。</w:t>
      </w:r>
    </w:p>
    <w:p>
      <w:pPr>
        <w:pStyle w:val="13"/>
        <w:spacing w:before="43"/>
        <w:ind w:right="585"/>
        <w:rPr>
          <w:rFonts w:ascii="Times New Roman" w:hAnsi="Times New Roman"/>
        </w:rPr>
      </w:pPr>
      <w:r>
        <w:rPr>
          <w:rFonts w:ascii="Times New Roman" w:hAnsi="Times New Roman"/>
        </w:rPr>
        <w:t>页脚：</w:t>
      </w:r>
    </w:p>
    <w:p>
      <w:pPr>
        <w:pStyle w:val="13"/>
        <w:spacing w:before="43"/>
        <w:ind w:right="584" w:firstLine="420"/>
        <w:rPr>
          <w:rFonts w:ascii="Times New Roman" w:hAnsi="Times New Roman"/>
        </w:rPr>
      </w:pPr>
      <w:r>
        <w:rPr>
          <w:rFonts w:ascii="Times New Roman" w:hAnsi="Times New Roman"/>
        </w:rPr>
        <w:t>页码</w:t>
      </w:r>
      <w:r>
        <w:rPr>
          <w:rFonts w:hint="eastAsia"/>
        </w:rPr>
        <w:t>（第X页 共XX页），</w:t>
      </w:r>
      <w:r>
        <w:rPr>
          <w:rFonts w:ascii="Times New Roman" w:hAnsi="Times New Roman"/>
        </w:rPr>
        <w:t>字体为国标宋体，标准小五号。</w:t>
      </w:r>
    </w:p>
    <w:p>
      <w:pPr>
        <w:pStyle w:val="13"/>
        <w:spacing w:before="43"/>
        <w:ind w:right="584" w:firstLine="420"/>
        <w:rPr>
          <w:rFonts w:ascii="Times New Roman" w:hAnsi="Times New Roman"/>
        </w:rPr>
      </w:pPr>
    </w:p>
    <w:p>
      <w:pPr>
        <w:pStyle w:val="13"/>
        <w:spacing w:before="43"/>
        <w:ind w:right="585"/>
        <w:rPr>
          <w:rFonts w:ascii="Times New Roman" w:hAnsi="Times New Roman"/>
        </w:rPr>
      </w:pPr>
      <w:r>
        <w:rPr>
          <w:rFonts w:hint="eastAsia" w:ascii="Times New Roman" w:hAnsi="Times New Roman"/>
        </w:rPr>
        <w:t>正文内容：</w:t>
      </w:r>
    </w:p>
    <w:p>
      <w:pPr>
        <w:numPr>
          <w:ilvl w:val="0"/>
          <w:numId w:val="33"/>
        </w:numPr>
        <w:autoSpaceDE w:val="0"/>
        <w:autoSpaceDN w:val="0"/>
        <w:adjustRightInd/>
        <w:spacing w:line="240" w:lineRule="auto"/>
        <w:jc w:val="left"/>
        <w:rPr>
          <w:rFonts w:ascii="Times New Roman" w:hAnsi="Times New Roman"/>
        </w:rPr>
      </w:pPr>
      <w:bookmarkStart w:id="76" w:name="_Toc20260"/>
      <w:r>
        <w:rPr>
          <w:rFonts w:ascii="Times New Roman" w:hAnsi="Times New Roman"/>
        </w:rPr>
        <w:t>概述</w:t>
      </w:r>
      <w:bookmarkEnd w:id="76"/>
      <w:r>
        <w:rPr>
          <w:rFonts w:ascii="Times New Roman" w:hAnsi="Times New Roman"/>
        </w:rPr>
        <w:t>（黑体，三号）</w:t>
      </w:r>
    </w:p>
    <w:p>
      <w:pPr>
        <w:ind w:firstLine="420" w:firstLineChars="200"/>
        <w:rPr>
          <w:rFonts w:ascii="Times New Roman" w:hAnsi="Times New Roman"/>
        </w:rPr>
      </w:pPr>
      <w:r>
        <w:rPr>
          <w:rFonts w:ascii="Times New Roman" w:hAnsi="Times New Roman"/>
        </w:rPr>
        <w:t>1.1 评价目的（楷体_GB2312，三号）</w:t>
      </w:r>
    </w:p>
    <w:p>
      <w:pPr>
        <w:ind w:firstLine="420" w:firstLineChars="200"/>
        <w:rPr>
          <w:rFonts w:ascii="Times New Roman" w:hAnsi="Times New Roman"/>
        </w:rPr>
      </w:pPr>
      <w:r>
        <w:rPr>
          <w:rFonts w:ascii="Times New Roman" w:hAnsi="Times New Roman"/>
        </w:rPr>
        <w:t>1.2 评价范围（楷体_GB2312，三号）</w:t>
      </w:r>
    </w:p>
    <w:p>
      <w:pPr>
        <w:ind w:firstLine="420" w:firstLineChars="200"/>
        <w:rPr>
          <w:rFonts w:ascii="Times New Roman" w:hAnsi="Times New Roman"/>
        </w:rPr>
      </w:pPr>
      <w:r>
        <w:rPr>
          <w:rFonts w:ascii="Times New Roman" w:hAnsi="Times New Roman"/>
        </w:rPr>
        <w:t>1.3 评价准则（楷体_GB2312，三号）</w:t>
      </w:r>
    </w:p>
    <w:p>
      <w:pPr>
        <w:numPr>
          <w:ilvl w:val="0"/>
          <w:numId w:val="33"/>
        </w:numPr>
        <w:autoSpaceDE w:val="0"/>
        <w:autoSpaceDN w:val="0"/>
        <w:adjustRightInd/>
        <w:spacing w:line="240" w:lineRule="auto"/>
        <w:jc w:val="left"/>
        <w:rPr>
          <w:rFonts w:ascii="Times New Roman" w:hAnsi="Times New Roman"/>
        </w:rPr>
      </w:pPr>
      <w:bookmarkStart w:id="77" w:name="_Toc19101"/>
      <w:r>
        <w:rPr>
          <w:rFonts w:ascii="Times New Roman" w:hAnsi="Times New Roman"/>
        </w:rPr>
        <w:t>评价过程和方法</w:t>
      </w:r>
      <w:bookmarkEnd w:id="77"/>
      <w:r>
        <w:rPr>
          <w:rFonts w:ascii="Times New Roman" w:hAnsi="Times New Roman"/>
        </w:rPr>
        <w:t>（黑体，三号）</w:t>
      </w:r>
    </w:p>
    <w:p>
      <w:pPr>
        <w:ind w:firstLine="420" w:firstLineChars="200"/>
        <w:rPr>
          <w:rFonts w:ascii="Times New Roman" w:hAnsi="Times New Roman"/>
        </w:rPr>
      </w:pPr>
      <w:r>
        <w:rPr>
          <w:rFonts w:ascii="Times New Roman" w:hAnsi="Times New Roman"/>
        </w:rPr>
        <w:t>2.1 评价组安排（楷体_GB2312，三号）</w:t>
      </w:r>
    </w:p>
    <w:p>
      <w:pPr>
        <w:ind w:firstLine="420" w:firstLineChars="200"/>
        <w:rPr>
          <w:rFonts w:ascii="Times New Roman" w:hAnsi="Times New Roman"/>
        </w:rPr>
      </w:pPr>
      <w:r>
        <w:rPr>
          <w:rFonts w:ascii="Times New Roman" w:hAnsi="Times New Roman"/>
        </w:rPr>
        <w:t>2.2 文件评审（楷体_GB2312，三号）</w:t>
      </w:r>
    </w:p>
    <w:p>
      <w:pPr>
        <w:ind w:firstLine="420" w:firstLineChars="200"/>
        <w:rPr>
          <w:rFonts w:ascii="Times New Roman" w:hAnsi="Times New Roman"/>
        </w:rPr>
      </w:pPr>
      <w:r>
        <w:rPr>
          <w:rFonts w:ascii="Times New Roman" w:hAnsi="Times New Roman"/>
        </w:rPr>
        <w:t>2.3 现场评价（楷体_GB2312，三号）</w:t>
      </w:r>
    </w:p>
    <w:p>
      <w:pPr>
        <w:numPr>
          <w:ilvl w:val="0"/>
          <w:numId w:val="33"/>
        </w:numPr>
        <w:autoSpaceDE w:val="0"/>
        <w:autoSpaceDN w:val="0"/>
        <w:adjustRightInd/>
        <w:spacing w:line="240" w:lineRule="auto"/>
        <w:jc w:val="left"/>
        <w:rPr>
          <w:rFonts w:ascii="Times New Roman" w:hAnsi="Times New Roman"/>
        </w:rPr>
      </w:pPr>
      <w:r>
        <w:rPr>
          <w:rFonts w:ascii="Times New Roman" w:hAnsi="Times New Roman"/>
        </w:rPr>
        <w:t>评价内容（黑体，三号）</w:t>
      </w:r>
    </w:p>
    <w:p>
      <w:pPr>
        <w:numPr>
          <w:ilvl w:val="1"/>
          <w:numId w:val="33"/>
        </w:numPr>
        <w:autoSpaceDE w:val="0"/>
        <w:autoSpaceDN w:val="0"/>
        <w:adjustRightInd/>
        <w:spacing w:line="240" w:lineRule="auto"/>
        <w:ind w:firstLine="420" w:firstLineChars="200"/>
        <w:jc w:val="left"/>
        <w:rPr>
          <w:rFonts w:ascii="Times New Roman" w:hAnsi="Times New Roman"/>
        </w:rPr>
      </w:pPr>
      <w:r>
        <w:rPr>
          <w:rFonts w:ascii="Times New Roman" w:hAnsi="Times New Roman"/>
        </w:rPr>
        <w:t>申报主体的基本信息（楷体_GB2312，三号）</w:t>
      </w:r>
    </w:p>
    <w:p>
      <w:pPr>
        <w:ind w:firstLine="420" w:firstLineChars="200"/>
        <w:rPr>
          <w:rFonts w:ascii="Times New Roman" w:hAnsi="Times New Roman"/>
        </w:rPr>
      </w:pPr>
      <w:r>
        <w:rPr>
          <w:rFonts w:ascii="Times New Roman" w:hAnsi="Times New Roman"/>
        </w:rPr>
        <w:t>概述主体的基本信息，包括占地面积、绿化面积、组织架构以及在低碳化发展方面开展的重点工作及取得的成绩等。</w:t>
      </w:r>
    </w:p>
    <w:p>
      <w:pPr>
        <w:numPr>
          <w:ilvl w:val="1"/>
          <w:numId w:val="33"/>
        </w:numPr>
        <w:autoSpaceDE w:val="0"/>
        <w:autoSpaceDN w:val="0"/>
        <w:adjustRightInd/>
        <w:spacing w:line="240" w:lineRule="auto"/>
        <w:ind w:firstLine="420" w:firstLineChars="200"/>
        <w:jc w:val="left"/>
        <w:rPr>
          <w:rFonts w:ascii="Times New Roman" w:hAnsi="Times New Roman"/>
        </w:rPr>
      </w:pPr>
      <w:r>
        <w:rPr>
          <w:rFonts w:ascii="Times New Roman" w:hAnsi="Times New Roman"/>
        </w:rPr>
        <w:t>申报主体与评价指标符合性（楷体_GB2312，三号）</w:t>
      </w:r>
    </w:p>
    <w:p>
      <w:pPr>
        <w:ind w:firstLine="420" w:firstLineChars="200"/>
        <w:rPr>
          <w:rFonts w:ascii="Times New Roman" w:hAnsi="Times New Roman"/>
        </w:rPr>
      </w:pPr>
      <w:r>
        <w:rPr>
          <w:rFonts w:ascii="Times New Roman" w:hAnsi="Times New Roman"/>
        </w:rPr>
        <w:t>与本文件第六章的表1 社区公共建筑低碳评价标准体系中条项逐一对应打分，并阐明得分的具体明细。</w:t>
      </w:r>
    </w:p>
    <w:p>
      <w:pPr>
        <w:ind w:firstLine="420" w:firstLineChars="200"/>
        <w:rPr>
          <w:rFonts w:ascii="Times New Roman" w:hAnsi="Times New Roman"/>
        </w:rPr>
      </w:pPr>
      <w:r>
        <w:rPr>
          <w:rFonts w:ascii="Times New Roman" w:hAnsi="Times New Roman"/>
        </w:rPr>
        <w:t>3.3 评价结果（楷体_GB2312，三号）</w:t>
      </w:r>
    </w:p>
    <w:p>
      <w:pPr>
        <w:numPr>
          <w:ilvl w:val="0"/>
          <w:numId w:val="33"/>
        </w:numPr>
        <w:autoSpaceDE w:val="0"/>
        <w:autoSpaceDN w:val="0"/>
        <w:adjustRightInd/>
        <w:spacing w:line="240" w:lineRule="auto"/>
        <w:jc w:val="left"/>
        <w:rPr>
          <w:rFonts w:ascii="Times New Roman" w:hAnsi="Times New Roman"/>
        </w:rPr>
      </w:pPr>
      <w:r>
        <w:rPr>
          <w:rFonts w:ascii="Times New Roman" w:hAnsi="Times New Roman"/>
        </w:rPr>
        <w:t>总结与建议（黑体，三号）</w:t>
      </w:r>
    </w:p>
    <w:p>
      <w:pPr>
        <w:numPr>
          <w:ilvl w:val="0"/>
          <w:numId w:val="33"/>
        </w:numPr>
        <w:autoSpaceDE w:val="0"/>
        <w:autoSpaceDN w:val="0"/>
        <w:adjustRightInd/>
        <w:spacing w:line="240" w:lineRule="auto"/>
        <w:jc w:val="left"/>
        <w:rPr>
          <w:rFonts w:ascii="Times New Roman" w:hAnsi="Times New Roman"/>
        </w:rPr>
      </w:pPr>
      <w:r>
        <w:rPr>
          <w:rFonts w:ascii="Times New Roman" w:hAnsi="Times New Roman"/>
        </w:rPr>
        <w:t>附件（黑体，三号）</w:t>
      </w:r>
    </w:p>
    <w:p>
      <w:pPr>
        <w:pStyle w:val="56"/>
        <w:ind w:firstLine="420"/>
        <w:rPr>
          <w:rFonts w:ascii="Times New Roman"/>
        </w:rPr>
      </w:pPr>
      <w:r>
        <w:rPr>
          <w:rFonts w:ascii="Times New Roman"/>
        </w:rPr>
        <w:t>社区公共建筑平面图、得分证明文件、荣誉证书等扫描件。</w:t>
      </w:r>
    </w:p>
    <w:bookmarkEnd w:id="73"/>
    <w:p>
      <w:pPr>
        <w:pStyle w:val="56"/>
        <w:ind w:firstLine="0" w:firstLineChars="0"/>
        <w:jc w:val="center"/>
      </w:pPr>
      <w:bookmarkStart w:id="78" w:name="BookMark8"/>
      <w:r>
        <w:drawing>
          <wp:inline distT="0" distB="0" distL="0" distR="0">
            <wp:extent cx="1485900" cy="317500"/>
            <wp:effectExtent l="0" t="0" r="0" b="6350"/>
            <wp:docPr id="1775688967" name="图片 1"/>
            <wp:cNvGraphicFramePr/>
            <a:graphic xmlns:a="http://schemas.openxmlformats.org/drawingml/2006/main">
              <a:graphicData uri="http://schemas.openxmlformats.org/drawingml/2006/picture">
                <pic:pic xmlns:pic="http://schemas.openxmlformats.org/drawingml/2006/picture">
                  <pic:nvPicPr>
                    <pic:cNvPr id="1775688967"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8"/>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XX/T XXXX—2023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0D351635"/>
    <w:multiLevelType w:val="multilevel"/>
    <w:tmpl w:val="0D351635"/>
    <w:lvl w:ilvl="0" w:tentative="0">
      <w:start w:val="1"/>
      <w:numFmt w:val="decimal"/>
      <w:suff w:val="space"/>
      <w:lvlText w:val="%1."/>
      <w:lvlJc w:val="left"/>
      <w:rPr>
        <w:rFonts w:hint="default"/>
        <w:sz w:val="21"/>
        <w:szCs w:val="21"/>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9"/>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yMGFjNmIxMzU0NDI5N2E5NTg1NDVkZWJmYWI0NTAifQ=="/>
  </w:docVars>
  <w:rsids>
    <w:rsidRoot w:val="00D807F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4EAA"/>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296"/>
    <w:rsid w:val="002359CB"/>
    <w:rsid w:val="00243540"/>
    <w:rsid w:val="0024497B"/>
    <w:rsid w:val="0024515B"/>
    <w:rsid w:val="00246021"/>
    <w:rsid w:val="0024666E"/>
    <w:rsid w:val="00247F52"/>
    <w:rsid w:val="00250B25"/>
    <w:rsid w:val="00250BBE"/>
    <w:rsid w:val="002515C2"/>
    <w:rsid w:val="0025194F"/>
    <w:rsid w:val="00254D51"/>
    <w:rsid w:val="0026148A"/>
    <w:rsid w:val="00262696"/>
    <w:rsid w:val="00263D25"/>
    <w:rsid w:val="002643C3"/>
    <w:rsid w:val="00264A0C"/>
    <w:rsid w:val="00266EEB"/>
    <w:rsid w:val="00267EF4"/>
    <w:rsid w:val="00270CB8"/>
    <w:rsid w:val="00272B08"/>
    <w:rsid w:val="00274EF0"/>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956"/>
    <w:rsid w:val="002B4508"/>
    <w:rsid w:val="002B5779"/>
    <w:rsid w:val="002B7332"/>
    <w:rsid w:val="002B7F51"/>
    <w:rsid w:val="002C09E7"/>
    <w:rsid w:val="002C1E06"/>
    <w:rsid w:val="002C1E1C"/>
    <w:rsid w:val="002C2FFF"/>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66C"/>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7EB5"/>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489"/>
    <w:rsid w:val="0064533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5D6F"/>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5C90"/>
    <w:rsid w:val="006A5E3E"/>
    <w:rsid w:val="006B2672"/>
    <w:rsid w:val="006B54BF"/>
    <w:rsid w:val="006B5F44"/>
    <w:rsid w:val="006B5F90"/>
    <w:rsid w:val="006B62E4"/>
    <w:rsid w:val="006B6A9C"/>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1606C"/>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41E"/>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0359"/>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545C"/>
    <w:rsid w:val="008373D3"/>
    <w:rsid w:val="00840617"/>
    <w:rsid w:val="00840F84"/>
    <w:rsid w:val="00842A47"/>
    <w:rsid w:val="00843C13"/>
    <w:rsid w:val="008454F8"/>
    <w:rsid w:val="0085173A"/>
    <w:rsid w:val="00856316"/>
    <w:rsid w:val="00857E30"/>
    <w:rsid w:val="008603CE"/>
    <w:rsid w:val="008620FC"/>
    <w:rsid w:val="008627A5"/>
    <w:rsid w:val="00863E05"/>
    <w:rsid w:val="00865ACA"/>
    <w:rsid w:val="00865BA5"/>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1250"/>
    <w:rsid w:val="00953604"/>
    <w:rsid w:val="0095496B"/>
    <w:rsid w:val="009610DC"/>
    <w:rsid w:val="00961490"/>
    <w:rsid w:val="0096381A"/>
    <w:rsid w:val="00965E04"/>
    <w:rsid w:val="009674AD"/>
    <w:rsid w:val="00970CDC"/>
    <w:rsid w:val="00977010"/>
    <w:rsid w:val="00977D02"/>
    <w:rsid w:val="009809BB"/>
    <w:rsid w:val="0098364B"/>
    <w:rsid w:val="00984449"/>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3A05"/>
    <w:rsid w:val="009D47FA"/>
    <w:rsid w:val="009D4C5B"/>
    <w:rsid w:val="009D50D2"/>
    <w:rsid w:val="009D6BCA"/>
    <w:rsid w:val="009E0F62"/>
    <w:rsid w:val="009E4A58"/>
    <w:rsid w:val="009E5A2D"/>
    <w:rsid w:val="009E5AB2"/>
    <w:rsid w:val="009E6219"/>
    <w:rsid w:val="009F03B3"/>
    <w:rsid w:val="00A0096C"/>
    <w:rsid w:val="00A01757"/>
    <w:rsid w:val="00A018FD"/>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2DA"/>
    <w:rsid w:val="00A3178D"/>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37F5"/>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6F2B"/>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1EE1"/>
    <w:rsid w:val="00B939B1"/>
    <w:rsid w:val="00B96D40"/>
    <w:rsid w:val="00B97386"/>
    <w:rsid w:val="00BA263B"/>
    <w:rsid w:val="00BA42B2"/>
    <w:rsid w:val="00BA58D4"/>
    <w:rsid w:val="00BA5B9E"/>
    <w:rsid w:val="00BA7C9A"/>
    <w:rsid w:val="00BB203B"/>
    <w:rsid w:val="00BB2334"/>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83F"/>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C1B"/>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07FC"/>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5A02"/>
    <w:rsid w:val="00DA64F8"/>
    <w:rsid w:val="00DA6C15"/>
    <w:rsid w:val="00DB0258"/>
    <w:rsid w:val="00DB38EE"/>
    <w:rsid w:val="00DB498B"/>
    <w:rsid w:val="00DB66CA"/>
    <w:rsid w:val="00DB6BCA"/>
    <w:rsid w:val="00DB6E6F"/>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36B64"/>
    <w:rsid w:val="00E44A83"/>
    <w:rsid w:val="00E502C1"/>
    <w:rsid w:val="00E502DD"/>
    <w:rsid w:val="00E50D3A"/>
    <w:rsid w:val="00E51387"/>
    <w:rsid w:val="00E51E68"/>
    <w:rsid w:val="00E52EFD"/>
    <w:rsid w:val="00E5408A"/>
    <w:rsid w:val="00E545B3"/>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0D5F"/>
    <w:rsid w:val="00ED2B50"/>
    <w:rsid w:val="00EE0350"/>
    <w:rsid w:val="00EE0719"/>
    <w:rsid w:val="00EE0E80"/>
    <w:rsid w:val="00EE45BC"/>
    <w:rsid w:val="00EE54A6"/>
    <w:rsid w:val="00EE613F"/>
    <w:rsid w:val="00EE7295"/>
    <w:rsid w:val="00EE7869"/>
    <w:rsid w:val="00EF054A"/>
    <w:rsid w:val="00EF3235"/>
    <w:rsid w:val="00EF720F"/>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6A84"/>
    <w:rsid w:val="00F474D0"/>
    <w:rsid w:val="00F47545"/>
    <w:rsid w:val="00F50179"/>
    <w:rsid w:val="00F515EE"/>
    <w:rsid w:val="00F56511"/>
    <w:rsid w:val="00F6194E"/>
    <w:rsid w:val="00F623AC"/>
    <w:rsid w:val="00F6412A"/>
    <w:rsid w:val="00F65893"/>
    <w:rsid w:val="00F66A4A"/>
    <w:rsid w:val="00F71E22"/>
    <w:rsid w:val="00F72142"/>
    <w:rsid w:val="00F72AE7"/>
    <w:rsid w:val="00F81141"/>
    <w:rsid w:val="00F833BA"/>
    <w:rsid w:val="00F836CD"/>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42D4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uiPriority w:val="0"/>
    <w:rPr>
      <w:rFonts w:ascii="宋体" w:hAnsi="宋体" w:eastAsia="宋体" w:cs="Times New Roman"/>
      <w:spacing w:val="0"/>
      <w:sz w:val="18"/>
      <w:vertAlign w:val="superscript"/>
    </w:rPr>
  </w:style>
  <w:style w:type="character" w:customStyle="1" w:styleId="34">
    <w:name w:val="标题 1 字符"/>
    <w:link w:val="2"/>
    <w:uiPriority w:val="0"/>
    <w:rPr>
      <w:b/>
      <w:bCs/>
      <w:kern w:val="44"/>
      <w:sz w:val="44"/>
      <w:szCs w:val="44"/>
    </w:rPr>
  </w:style>
  <w:style w:type="character" w:customStyle="1" w:styleId="35">
    <w:name w:val="标题 2 字符"/>
    <w:link w:val="3"/>
    <w:uiPriority w:val="0"/>
    <w:rPr>
      <w:rFonts w:ascii="Arial" w:hAnsi="Arial" w:eastAsia="黑体"/>
      <w:b/>
      <w:bCs/>
      <w:kern w:val="2"/>
      <w:sz w:val="32"/>
      <w:szCs w:val="32"/>
    </w:rPr>
  </w:style>
  <w:style w:type="character" w:customStyle="1" w:styleId="36">
    <w:name w:val="标题 3 字符"/>
    <w:link w:val="4"/>
    <w:uiPriority w:val="0"/>
    <w:rPr>
      <w:b/>
      <w:bCs/>
      <w:kern w:val="2"/>
      <w:sz w:val="32"/>
      <w:szCs w:val="32"/>
    </w:rPr>
  </w:style>
  <w:style w:type="character" w:customStyle="1" w:styleId="37">
    <w:name w:val="标题 4 字符"/>
    <w:link w:val="5"/>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uiPriority w:val="0"/>
    <w:rPr>
      <w:rFonts w:ascii="Arial" w:hAnsi="Arial" w:eastAsia="黑体"/>
      <w:b/>
      <w:bCs/>
      <w:kern w:val="2"/>
      <w:sz w:val="24"/>
      <w:szCs w:val="24"/>
    </w:rPr>
  </w:style>
  <w:style w:type="character" w:customStyle="1" w:styleId="40">
    <w:name w:val="标题 7 字符"/>
    <w:link w:val="8"/>
    <w:uiPriority w:val="0"/>
    <w:rPr>
      <w:b/>
      <w:bCs/>
      <w:kern w:val="2"/>
      <w:sz w:val="24"/>
      <w:szCs w:val="24"/>
    </w:rPr>
  </w:style>
  <w:style w:type="character" w:customStyle="1" w:styleId="41">
    <w:name w:val="标题 8 字符"/>
    <w:link w:val="9"/>
    <w:uiPriority w:val="0"/>
    <w:rPr>
      <w:rFonts w:ascii="Arial" w:hAnsi="Arial" w:eastAsia="黑体"/>
      <w:kern w:val="2"/>
      <w:sz w:val="24"/>
      <w:szCs w:val="24"/>
    </w:rPr>
  </w:style>
  <w:style w:type="character" w:customStyle="1" w:styleId="42">
    <w:name w:val="标题 9 字符"/>
    <w:link w:val="10"/>
    <w:uiPriority w:val="0"/>
    <w:rPr>
      <w:rFonts w:ascii="Arial" w:hAnsi="Arial" w:eastAsia="黑体"/>
      <w:kern w:val="2"/>
      <w:sz w:val="21"/>
      <w:szCs w:val="21"/>
    </w:rPr>
  </w:style>
  <w:style w:type="character" w:customStyle="1" w:styleId="43">
    <w:name w:val="页眉 字符"/>
    <w:link w:val="18"/>
    <w:uiPriority w:val="99"/>
    <w:rPr>
      <w:kern w:val="2"/>
      <w:sz w:val="18"/>
      <w:szCs w:val="18"/>
    </w:rPr>
  </w:style>
  <w:style w:type="character" w:customStyle="1" w:styleId="44">
    <w:name w:val="页脚 字符"/>
    <w:link w:val="17"/>
    <w:uiPriority w:val="99"/>
    <w:rPr>
      <w:rFonts w:ascii="宋体"/>
      <w:kern w:val="2"/>
      <w:sz w:val="18"/>
      <w:szCs w:val="18"/>
    </w:rPr>
  </w:style>
  <w:style w:type="character" w:customStyle="1" w:styleId="45">
    <w:name w:val="批注框文本 字符"/>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uiPriority w:val="29"/>
    <w:rPr>
      <w:i/>
      <w:iCs/>
      <w:color w:val="000000"/>
      <w:kern w:val="2"/>
      <w:sz w:val="21"/>
      <w:szCs w:val="21"/>
    </w:rPr>
  </w:style>
  <w:style w:type="character" w:customStyle="1" w:styleId="48">
    <w:name w:val="标题 字符"/>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 w:type="table" w:customStyle="1" w:styleId="230">
    <w:name w:val="网格型1"/>
    <w:basedOn w:val="2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AEAAE0676F34AEDA923473CBC390296"/>
        <w:style w:val=""/>
        <w:category>
          <w:name w:val="常规"/>
          <w:gallery w:val="placeholder"/>
        </w:category>
        <w:types>
          <w:type w:val="bbPlcHdr"/>
        </w:types>
        <w:behaviors>
          <w:behavior w:val="content"/>
        </w:behaviors>
        <w:description w:val=""/>
        <w:guid w:val="{013D8393-7F10-47FD-A0AB-7DE2D7CA14CC}"/>
      </w:docPartPr>
      <w:docPartBody>
        <w:p>
          <w:pPr>
            <w:pStyle w:val="5"/>
          </w:pPr>
          <w:r>
            <w:rPr>
              <w:rStyle w:val="4"/>
              <w:rFonts w:hint="eastAsia"/>
            </w:rPr>
            <w:t>单击或点击此处输入文字。</w:t>
          </w:r>
        </w:p>
      </w:docPartBody>
    </w:docPart>
    <w:docPart>
      <w:docPartPr>
        <w:name w:val="BCA62C8CB99E418FAB27BAD5911D91BA"/>
        <w:style w:val=""/>
        <w:category>
          <w:name w:val="常规"/>
          <w:gallery w:val="placeholder"/>
        </w:category>
        <w:types>
          <w:type w:val="bbPlcHdr"/>
        </w:types>
        <w:behaviors>
          <w:behavior w:val="content"/>
        </w:behaviors>
        <w:description w:val=""/>
        <w:guid w:val="{DA21C141-03BF-4B5B-8CDF-303B419197AD}"/>
      </w:docPartPr>
      <w:docPartBody>
        <w:p>
          <w:pPr>
            <w:pStyle w:val="6"/>
          </w:pPr>
          <w:r>
            <w:rPr>
              <w:rStyle w:val="4"/>
              <w:rFonts w:hint="eastAsia"/>
            </w:rPr>
            <w:t>选择一项。</w:t>
          </w:r>
        </w:p>
      </w:docPartBody>
    </w:docPart>
    <w:docPart>
      <w:docPartPr>
        <w:name w:val="1700685737B34A0D8C56CD4A3384303B"/>
        <w:style w:val=""/>
        <w:category>
          <w:name w:val="常规"/>
          <w:gallery w:val="placeholder"/>
        </w:category>
        <w:types>
          <w:type w:val="bbPlcHdr"/>
        </w:types>
        <w:behaviors>
          <w:behavior w:val="content"/>
        </w:behaviors>
        <w:description w:val=""/>
        <w:guid w:val="{39450035-3F56-4473-982D-BBE9268C21D0}"/>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13"/>
    <w:rsid w:val="00021A38"/>
    <w:rsid w:val="00294449"/>
    <w:rsid w:val="006A4FBB"/>
    <w:rsid w:val="00841F49"/>
    <w:rsid w:val="008E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AEAAE0676F34AEDA923473CBC3902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CA62C8CB99E418FAB27BAD5911D91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700685737B34A0D8C56CD4A3384303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250BB8-487F-464D-ACC9-BB999234096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11</Pages>
  <Words>936</Words>
  <Characters>5336</Characters>
  <Lines>44</Lines>
  <Paragraphs>12</Paragraphs>
  <TotalTime>93</TotalTime>
  <ScaleCrop>false</ScaleCrop>
  <LinksUpToDate>false</LinksUpToDate>
  <CharactersWithSpaces>6260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2023-09-25T02:26:00Z</dcterms:created>
  <dc:creator>镇江市标准化协会</dc:creator>
  <dc:description>&lt;config cover="true" show_menu="true" version="1.0.0" doctype="SDKXY"&gt;_x000d_
&lt;/config&gt;</dc:description>
  <cp:lastModifiedBy>勤儿</cp:lastModifiedBy>
  <cp:lastPrinted>2020-08-30T10:00:00Z</cp:lastPrinted>
  <dcterms:modified xsi:type="dcterms:W3CDTF">2023-09-27T07:35:49Z</dcterms:modified>
  <dc:title>地方标准</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040D3F7EE9A2418192A08465C65F996E_12</vt:lpwstr>
  </property>
</Properties>
</file>