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1264"/>
        <w:rPr>
          <w:rFonts w:ascii="新宋体" w:hAnsi="新宋体" w:eastAsia="新宋体" w:cs="新宋体"/>
          <w:sz w:val="24"/>
        </w:rPr>
      </w:pPr>
      <w:r>
        <w:rPr>
          <w:rFonts w:ascii="新宋体" w:hAnsi="新宋体" w:eastAsia="新宋体" w:cs="新宋体"/>
          <w:sz w:val="24"/>
        </w:rPr>
        <mc:AlternateContent>
          <mc:Choice Requires="wps">
            <w:drawing>
              <wp:anchor distT="0" distB="0" distL="114300" distR="114300" simplePos="0" relativeHeight="251660288" behindDoc="0" locked="0" layoutInCell="1" allowOverlap="1">
                <wp:simplePos x="0" y="0"/>
                <wp:positionH relativeFrom="column">
                  <wp:posOffset>-168910</wp:posOffset>
                </wp:positionH>
                <wp:positionV relativeFrom="paragraph">
                  <wp:posOffset>82550</wp:posOffset>
                </wp:positionV>
                <wp:extent cx="5618480" cy="0"/>
                <wp:effectExtent l="0" t="28575" r="1270" b="28575"/>
                <wp:wrapNone/>
                <wp:docPr id="3" name="Line 2"/>
                <wp:cNvGraphicFramePr/>
                <a:graphic xmlns:a="http://schemas.openxmlformats.org/drawingml/2006/main">
                  <a:graphicData uri="http://schemas.microsoft.com/office/word/2010/wordprocessingShape">
                    <wps:wsp>
                      <wps:cNvCnPr>
                        <a:cxnSpLocks noChangeShapeType="1"/>
                      </wps:cNvCnPr>
                      <wps:spPr bwMode="auto">
                        <a:xfrm>
                          <a:off x="0" y="0"/>
                          <a:ext cx="5618480" cy="0"/>
                        </a:xfrm>
                        <a:prstGeom prst="line">
                          <a:avLst/>
                        </a:prstGeom>
                        <a:noFill/>
                        <a:ln w="57150" cmpd="thinThick">
                          <a:solidFill>
                            <a:srgbClr val="FFFFFF"/>
                          </a:solidFill>
                          <a:round/>
                        </a:ln>
                        <a:effectLst/>
                      </wps:spPr>
                      <wps:bodyPr/>
                    </wps:wsp>
                  </a:graphicData>
                </a:graphic>
              </wp:anchor>
            </w:drawing>
          </mc:Choice>
          <mc:Fallback>
            <w:pict>
              <v:line id="Line 2" o:spid="_x0000_s1026" o:spt="20" style="position:absolute;left:0pt;margin-left:-13.3pt;margin-top:6.5pt;height:0pt;width:442.4pt;z-index:251660288;mso-width-relative:page;mso-height-relative:page;" filled="f" stroked="t" coordsize="21600,21600" o:gfxdata="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C0Mul9gAAAAJAQAADwAAAAAA&#10;AAABACAAAAAiAAAAZHJzL2Rvd25yZXYueG1sUEsBAhQAFAAAAAgAh07iQIJQ51naAQAAvwMAAA4A&#10;AAAAAAAAAQAgAAAAJwEAAGRycy9lMm9Eb2MueG1sUEsFBgAAAAAGAAYAWQEAAHMFAAAAAA==&#10;">
                <v:fill on="f" focussize="0,0"/>
                <v:stroke weight="4.5pt" color="#FFFFFF" linestyle="thinThick" joinstyle="round"/>
                <v:imagedata o:title=""/>
                <o:lock v:ext="edit" aspectratio="f"/>
              </v:line>
            </w:pict>
          </mc:Fallback>
        </mc:AlternateContent>
      </w:r>
    </w:p>
    <w:p>
      <w:pPr>
        <w:adjustRightInd w:val="0"/>
        <w:snapToGrid w:val="0"/>
        <w:jc w:val="center"/>
        <w:rPr>
          <w:rFonts w:ascii="新宋体" w:hAnsi="新宋体" w:eastAsia="新宋体" w:cs="新宋体"/>
          <w:sz w:val="24"/>
        </w:rPr>
      </w:pPr>
    </w:p>
    <w:p>
      <w:pPr>
        <w:adjustRightInd w:val="0"/>
        <w:snapToGrid w:val="0"/>
        <w:jc w:val="center"/>
        <w:rPr>
          <w:rFonts w:ascii="新宋体" w:hAnsi="新宋体" w:eastAsia="新宋体" w:cs="新宋体"/>
          <w:sz w:val="40"/>
          <w:szCs w:val="40"/>
        </w:rPr>
      </w:pPr>
    </w:p>
    <w:p>
      <w:pPr>
        <w:adjustRightInd w:val="0"/>
        <w:snapToGrid w:val="0"/>
        <w:jc w:val="center"/>
        <w:rPr>
          <w:rFonts w:ascii="新宋体" w:hAnsi="新宋体" w:eastAsia="新宋体" w:cs="新宋体"/>
          <w:sz w:val="40"/>
          <w:szCs w:val="40"/>
        </w:rPr>
      </w:pPr>
    </w:p>
    <w:p>
      <w:pPr>
        <w:adjustRightInd w:val="0"/>
        <w:snapToGrid w:val="0"/>
        <w:jc w:val="center"/>
        <w:rPr>
          <w:rFonts w:ascii="新宋体" w:hAnsi="新宋体" w:eastAsia="新宋体" w:cs="新宋体"/>
          <w:sz w:val="40"/>
          <w:szCs w:val="40"/>
        </w:rPr>
      </w:pPr>
    </w:p>
    <w:p>
      <w:pPr>
        <w:widowControl/>
        <w:adjustRightInd w:val="0"/>
        <w:snapToGrid w:val="0"/>
        <w:jc w:val="center"/>
        <w:rPr>
          <w:rFonts w:hint="default" w:ascii="方正小标宋简体" w:hAnsi="方正小标宋简体" w:eastAsia="方正小标宋简体" w:cs="方正小标宋简体"/>
          <w:bCs/>
          <w:kern w:val="0"/>
          <w:sz w:val="36"/>
          <w:szCs w:val="36"/>
          <w:lang w:val="en-US" w:eastAsia="zh-CN"/>
        </w:rPr>
      </w:pPr>
      <w:r>
        <w:rPr>
          <w:rFonts w:hint="eastAsia" w:ascii="方正小标宋简体" w:hAnsi="方正小标宋简体" w:eastAsia="方正小标宋简体" w:cs="方正小标宋简体"/>
          <w:bCs/>
          <w:kern w:val="0"/>
          <w:sz w:val="36"/>
          <w:szCs w:val="36"/>
          <w:lang w:val="en-US" w:eastAsia="zh-CN"/>
        </w:rPr>
        <w:t>徐州市彭城工匠职业技能竞赛</w:t>
      </w:r>
    </w:p>
    <w:p>
      <w:pPr>
        <w:widowControl/>
        <w:adjustRightInd w:val="0"/>
        <w:snapToGrid w:val="0"/>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202</w:t>
      </w:r>
      <w:r>
        <w:rPr>
          <w:rFonts w:ascii="方正小标宋简体" w:hAnsi="方正小标宋简体" w:eastAsia="方正小标宋简体" w:cs="方正小标宋简体"/>
          <w:bCs/>
          <w:kern w:val="0"/>
          <w:sz w:val="44"/>
          <w:szCs w:val="44"/>
        </w:rPr>
        <w:t>3</w:t>
      </w:r>
      <w:r>
        <w:rPr>
          <w:rFonts w:hint="eastAsia" w:ascii="方正小标宋简体" w:hAnsi="方正小标宋简体" w:eastAsia="方正小标宋简体" w:cs="方正小标宋简体"/>
          <w:bCs/>
          <w:kern w:val="0"/>
          <w:sz w:val="44"/>
          <w:szCs w:val="44"/>
        </w:rPr>
        <w:t>年</w:t>
      </w:r>
      <w:r>
        <w:rPr>
          <w:rFonts w:hint="eastAsia" w:ascii="方正小标宋简体" w:hAnsi="方正小标宋简体" w:eastAsia="方正小标宋简体" w:cs="方正小标宋简体"/>
          <w:bCs/>
          <w:kern w:val="0"/>
          <w:sz w:val="44"/>
          <w:szCs w:val="44"/>
          <w:lang w:val="en-US" w:eastAsia="zh-CN"/>
        </w:rPr>
        <w:t>徐州市</w:t>
      </w:r>
      <w:r>
        <w:rPr>
          <w:rFonts w:hint="eastAsia" w:ascii="方正小标宋简体" w:hAnsi="方正小标宋简体" w:eastAsia="方正小标宋简体" w:cs="方正小标宋简体"/>
          <w:bCs/>
          <w:kern w:val="0"/>
          <w:sz w:val="44"/>
          <w:szCs w:val="44"/>
        </w:rPr>
        <w:t>电子商务职业技能竞赛</w:t>
      </w:r>
    </w:p>
    <w:p>
      <w:pPr>
        <w:widowControl/>
        <w:adjustRightInd w:val="0"/>
        <w:snapToGrid w:val="0"/>
        <w:jc w:val="center"/>
        <w:rPr>
          <w:rFonts w:ascii="方正小标宋简体" w:hAnsi="方正小标宋简体" w:eastAsia="方正小标宋简体" w:cs="方正小标宋简体"/>
          <w:bCs/>
          <w:kern w:val="0"/>
          <w:sz w:val="52"/>
          <w:szCs w:val="52"/>
        </w:rPr>
      </w:pPr>
    </w:p>
    <w:p>
      <w:pPr>
        <w:pStyle w:val="2"/>
        <w:rPr>
          <w:rFonts w:ascii="方正小标宋简体" w:hAnsi="方正小标宋简体" w:eastAsia="方正小标宋简体" w:cs="方正小标宋简体"/>
          <w:bCs/>
          <w:kern w:val="0"/>
          <w:sz w:val="52"/>
          <w:szCs w:val="52"/>
        </w:rPr>
      </w:pPr>
    </w:p>
    <w:p/>
    <w:p>
      <w:pPr>
        <w:widowControl/>
        <w:adjustRightInd w:val="0"/>
        <w:snapToGrid w:val="0"/>
        <w:jc w:val="center"/>
        <w:rPr>
          <w:rFonts w:ascii="方正小标宋简体" w:hAnsi="方正小标宋简体" w:eastAsia="方正小标宋简体" w:cs="方正小标宋简体"/>
          <w:bCs/>
          <w:kern w:val="0"/>
          <w:sz w:val="52"/>
          <w:szCs w:val="52"/>
        </w:rPr>
      </w:pPr>
      <w:r>
        <w:rPr>
          <w:rFonts w:hint="eastAsia" w:ascii="方正小标宋简体" w:hAnsi="方正小标宋简体" w:eastAsia="方正小标宋简体" w:cs="方正小标宋简体"/>
          <w:bCs/>
          <w:kern w:val="0"/>
          <w:sz w:val="52"/>
          <w:szCs w:val="52"/>
        </w:rPr>
        <w:t>赛项技术文件</w:t>
      </w:r>
    </w:p>
    <w:p>
      <w:pPr>
        <w:widowControl/>
        <w:adjustRightInd w:val="0"/>
        <w:snapToGrid w:val="0"/>
        <w:jc w:val="center"/>
        <w:rPr>
          <w:rFonts w:ascii="方正小标宋简体" w:hAnsi="方正小标宋简体" w:eastAsia="方正小标宋简体" w:cs="方正小标宋简体"/>
          <w:bCs/>
          <w:kern w:val="0"/>
          <w:sz w:val="36"/>
          <w:szCs w:val="36"/>
        </w:rPr>
      </w:pPr>
      <w:r>
        <w:rPr>
          <w:rFonts w:hint="eastAsia" w:ascii="方正小标宋简体" w:hAnsi="方正小标宋简体" w:eastAsia="方正小标宋简体" w:cs="方正小标宋简体"/>
          <w:bCs/>
          <w:kern w:val="0"/>
          <w:sz w:val="36"/>
          <w:szCs w:val="36"/>
        </w:rPr>
        <w:t>（职工组/学生组）</w:t>
      </w:r>
    </w:p>
    <w:p>
      <w:pPr>
        <w:widowControl/>
        <w:adjustRightInd w:val="0"/>
        <w:snapToGrid w:val="0"/>
        <w:jc w:val="center"/>
        <w:rPr>
          <w:rFonts w:ascii="方正小标宋简体" w:hAnsi="方正小标宋简体" w:eastAsia="方正小标宋简体" w:cs="方正小标宋简体"/>
          <w:bCs/>
          <w:kern w:val="0"/>
          <w:sz w:val="48"/>
          <w:szCs w:val="48"/>
        </w:rPr>
      </w:pPr>
    </w:p>
    <w:p>
      <w:pPr>
        <w:widowControl/>
        <w:adjustRightInd w:val="0"/>
        <w:snapToGrid w:val="0"/>
        <w:jc w:val="center"/>
        <w:rPr>
          <w:rFonts w:ascii="方正小标宋简体" w:hAnsi="方正小标宋简体" w:eastAsia="方正小标宋简体" w:cs="方正小标宋简体"/>
          <w:bCs/>
          <w:kern w:val="0"/>
          <w:sz w:val="48"/>
          <w:szCs w:val="48"/>
        </w:rPr>
      </w:pPr>
    </w:p>
    <w:p>
      <w:pPr>
        <w:adjustRightInd w:val="0"/>
        <w:snapToGrid w:val="0"/>
        <w:jc w:val="center"/>
        <w:rPr>
          <w:rFonts w:ascii="方正小标宋简体" w:hAnsi="方正小标宋简体" w:eastAsia="方正小标宋简体" w:cs="方正小标宋简体"/>
          <w:b/>
          <w:bCs/>
          <w:sz w:val="24"/>
        </w:rPr>
      </w:pPr>
    </w:p>
    <w:p>
      <w:pPr>
        <w:widowControl/>
        <w:adjustRightInd w:val="0"/>
        <w:snapToGrid w:val="0"/>
        <w:jc w:val="center"/>
        <w:rPr>
          <w:rFonts w:ascii="方正小标宋简体" w:hAnsi="方正小标宋简体" w:eastAsia="方正小标宋简体" w:cs="方正小标宋简体"/>
          <w:bCs/>
          <w:kern w:val="0"/>
          <w:sz w:val="48"/>
          <w:szCs w:val="48"/>
        </w:rPr>
      </w:pPr>
    </w:p>
    <w:p>
      <w:pPr>
        <w:widowControl/>
        <w:adjustRightInd w:val="0"/>
        <w:snapToGrid w:val="0"/>
        <w:jc w:val="center"/>
        <w:rPr>
          <w:rFonts w:ascii="方正小标宋简体" w:hAnsi="方正小标宋简体" w:eastAsia="方正小标宋简体" w:cs="方正小标宋简体"/>
          <w:bCs/>
          <w:kern w:val="0"/>
          <w:sz w:val="48"/>
          <w:szCs w:val="48"/>
        </w:rPr>
      </w:pPr>
    </w:p>
    <w:p>
      <w:pPr>
        <w:widowControl/>
        <w:adjustRightInd w:val="0"/>
        <w:snapToGrid w:val="0"/>
        <w:jc w:val="center"/>
        <w:rPr>
          <w:rFonts w:ascii="方正小标宋简体" w:hAnsi="方正小标宋简体" w:eastAsia="方正小标宋简体" w:cs="方正小标宋简体"/>
          <w:bCs/>
          <w:kern w:val="0"/>
          <w:sz w:val="52"/>
          <w:szCs w:val="52"/>
        </w:rPr>
      </w:pPr>
    </w:p>
    <w:p>
      <w:pPr>
        <w:jc w:val="center"/>
        <w:rPr>
          <w:rFonts w:hint="eastAsia" w:ascii="黑体" w:hAnsi="黑体" w:eastAsia="黑体" w:cstheme="minorBidi"/>
          <w:b/>
          <w:sz w:val="32"/>
          <w:szCs w:val="32"/>
          <w:lang w:val="en-US" w:eastAsia="zh-CN"/>
        </w:rPr>
      </w:pPr>
    </w:p>
    <w:p>
      <w:pPr>
        <w:jc w:val="center"/>
        <w:rPr>
          <w:rFonts w:hint="eastAsia" w:ascii="黑体" w:hAnsi="黑体" w:eastAsia="黑体" w:cstheme="minorBidi"/>
          <w:b/>
          <w:sz w:val="32"/>
          <w:szCs w:val="32"/>
          <w:lang w:val="en-US" w:eastAsia="zh-CN"/>
        </w:rPr>
      </w:pPr>
    </w:p>
    <w:p>
      <w:pPr>
        <w:jc w:val="center"/>
        <w:rPr>
          <w:rFonts w:hint="default" w:ascii="黑体" w:hAnsi="黑体" w:eastAsia="黑体" w:cstheme="minorBidi"/>
          <w:b/>
          <w:sz w:val="32"/>
          <w:szCs w:val="32"/>
          <w:lang w:val="en-US" w:eastAsia="zh-CN"/>
        </w:rPr>
      </w:pPr>
      <w:r>
        <w:rPr>
          <w:rFonts w:hint="eastAsia" w:ascii="黑体" w:hAnsi="黑体" w:eastAsia="黑体" w:cstheme="minorBidi"/>
          <w:b/>
          <w:sz w:val="32"/>
          <w:szCs w:val="32"/>
          <w:lang w:val="en-US" w:eastAsia="zh-CN"/>
        </w:rPr>
        <w:t>2023年“彭城工匠”职业技能大赛组委会</w:t>
      </w:r>
    </w:p>
    <w:p>
      <w:pPr>
        <w:jc w:val="center"/>
        <w:rPr>
          <w:rFonts w:hint="default" w:ascii="黑体" w:hAnsi="黑体" w:eastAsia="黑体" w:cstheme="minorBidi"/>
          <w:b/>
          <w:sz w:val="32"/>
          <w:szCs w:val="32"/>
        </w:rPr>
      </w:pPr>
      <w:r>
        <w:rPr>
          <w:rFonts w:hint="eastAsia" w:ascii="黑体" w:hAnsi="黑体" w:eastAsia="黑体" w:cstheme="minorBidi"/>
          <w:b/>
          <w:sz w:val="32"/>
          <w:szCs w:val="32"/>
        </w:rPr>
        <w:t>2023年</w:t>
      </w:r>
      <w:r>
        <w:rPr>
          <w:rFonts w:hint="eastAsia" w:ascii="黑体" w:hAnsi="黑体" w:eastAsia="黑体" w:cstheme="minorBidi"/>
          <w:b/>
          <w:sz w:val="32"/>
          <w:szCs w:val="32"/>
          <w:lang w:val="en-US" w:eastAsia="zh-CN"/>
        </w:rPr>
        <w:t>8</w:t>
      </w:r>
      <w:r>
        <w:rPr>
          <w:rFonts w:hint="eastAsia" w:ascii="黑体" w:hAnsi="黑体" w:eastAsia="黑体" w:cstheme="minorBidi"/>
          <w:b/>
          <w:sz w:val="32"/>
          <w:szCs w:val="32"/>
        </w:rPr>
        <w:t>月</w:t>
      </w:r>
    </w:p>
    <w:p>
      <w:pPr>
        <w:widowControl/>
        <w:adjustRightInd w:val="0"/>
        <w:snapToGrid w:val="0"/>
        <w:rPr>
          <w:rFonts w:ascii="方正小标宋简体" w:hAnsi="方正小标宋简体" w:eastAsia="方正小标宋简体" w:cs="方正小标宋简体"/>
          <w:b/>
          <w:bCs/>
          <w:kern w:val="0"/>
          <w:sz w:val="44"/>
          <w:szCs w:val="44"/>
        </w:rPr>
        <w:sectPr>
          <w:headerReference r:id="rId3" w:type="default"/>
          <w:footerReference r:id="rId4" w:type="default"/>
          <w:footerReference r:id="rId5" w:type="even"/>
          <w:pgSz w:w="11906" w:h="16838"/>
          <w:pgMar w:top="1440" w:right="1274" w:bottom="1440" w:left="1800" w:header="851" w:footer="992" w:gutter="0"/>
          <w:pgNumType w:start="0"/>
          <w:cols w:space="720" w:num="1"/>
          <w:titlePg/>
          <w:docGrid w:type="lines" w:linePitch="312" w:charSpace="0"/>
        </w:sectPr>
      </w:pPr>
    </w:p>
    <w:p>
      <w:pPr>
        <w:widowControl/>
        <w:jc w:val="left"/>
        <w:rPr>
          <w:sz w:val="36"/>
          <w:szCs w:val="36"/>
        </w:rPr>
        <w:sectPr>
          <w:footerReference r:id="rId6" w:type="default"/>
          <w:type w:val="continuous"/>
          <w:pgSz w:w="11906" w:h="16838"/>
          <w:pgMar w:top="1701" w:right="1416" w:bottom="1701" w:left="1525" w:header="851" w:footer="992" w:gutter="0"/>
          <w:pgNumType w:fmt="upperRoman" w:start="1"/>
          <w:cols w:space="720" w:num="1"/>
          <w:docGrid w:type="linesAndChars" w:linePitch="312" w:charSpace="0"/>
        </w:sectPr>
      </w:pPr>
    </w:p>
    <w:p>
      <w:pPr>
        <w:spacing w:line="360" w:lineRule="auto"/>
        <w:rPr>
          <w:rFonts w:ascii="宋体" w:hAnsi="宋体" w:cs="宋体"/>
          <w:sz w:val="32"/>
          <w:szCs w:val="32"/>
        </w:rPr>
      </w:pPr>
      <w:bookmarkStart w:id="0" w:name="_Toc23951_WPSOffice_Level1"/>
    </w:p>
    <w:sdt>
      <w:sdtPr>
        <w:rPr>
          <w:rFonts w:ascii="宋体" w:hAnsi="宋体"/>
        </w:rPr>
        <w:id w:val="147455937"/>
        <w15:color w:val="DBDBDB"/>
        <w:docPartObj>
          <w:docPartGallery w:val="Table of Contents"/>
          <w:docPartUnique/>
        </w:docPartObj>
      </w:sdtPr>
      <w:sdtEndPr>
        <w:rPr>
          <w:rFonts w:ascii="Times New Roman" w:hAnsi="Times New Roman"/>
        </w:rPr>
      </w:sdtEndPr>
      <w:sdtContent>
        <w:p>
          <w:pPr>
            <w:jc w:val="center"/>
            <w:rPr>
              <w:b/>
              <w:bCs/>
              <w:sz w:val="32"/>
              <w:szCs w:val="40"/>
            </w:rPr>
          </w:pPr>
          <w:r>
            <w:rPr>
              <w:rFonts w:ascii="宋体" w:hAnsi="宋体"/>
              <w:b/>
              <w:bCs/>
              <w:sz w:val="32"/>
              <w:szCs w:val="40"/>
            </w:rPr>
            <w:t>目</w:t>
          </w:r>
          <w:r>
            <w:rPr>
              <w:rFonts w:hint="eastAsia" w:ascii="宋体" w:hAnsi="宋体"/>
              <w:b/>
              <w:bCs/>
              <w:sz w:val="32"/>
              <w:szCs w:val="40"/>
            </w:rPr>
            <w:t xml:space="preserve"> </w:t>
          </w:r>
          <w:r>
            <w:rPr>
              <w:rFonts w:ascii="宋体" w:hAnsi="宋体"/>
              <w:b/>
              <w:bCs/>
              <w:sz w:val="32"/>
              <w:szCs w:val="40"/>
            </w:rPr>
            <w:t>录</w:t>
          </w:r>
        </w:p>
        <w:p>
          <w:pPr>
            <w:pStyle w:val="14"/>
            <w:tabs>
              <w:tab w:val="right" w:leader="dot" w:pos="8290"/>
            </w:tabs>
            <w:spacing w:line="360" w:lineRule="auto"/>
            <w:rPr>
              <w:rFonts w:ascii="宋体" w:hAnsi="宋体" w:eastAsia="宋体" w:cstheme="minorBidi"/>
              <w:b w:val="0"/>
              <w:bCs w:val="0"/>
              <w:sz w:val="32"/>
              <w:szCs w:val="32"/>
            </w:rPr>
          </w:pPr>
          <w:r>
            <w:rPr>
              <w:rFonts w:ascii="宋体" w:hAnsi="宋体" w:eastAsia="宋体"/>
              <w:b w:val="0"/>
              <w:bCs w:val="0"/>
              <w:kern w:val="0"/>
              <w:sz w:val="32"/>
              <w:szCs w:val="32"/>
            </w:rPr>
            <w:fldChar w:fldCharType="begin"/>
          </w:r>
          <w:r>
            <w:rPr>
              <w:rFonts w:ascii="宋体" w:hAnsi="宋体" w:eastAsia="宋体"/>
              <w:b w:val="0"/>
              <w:bCs w:val="0"/>
              <w:sz w:val="32"/>
              <w:szCs w:val="32"/>
            </w:rPr>
            <w:instrText xml:space="preserve">TOC \o "1-1" \h \u </w:instrText>
          </w:r>
          <w:r>
            <w:rPr>
              <w:rFonts w:ascii="宋体" w:hAnsi="宋体" w:eastAsia="宋体"/>
              <w:b w:val="0"/>
              <w:bCs w:val="0"/>
              <w:kern w:val="0"/>
              <w:sz w:val="32"/>
              <w:szCs w:val="32"/>
            </w:rPr>
            <w:fldChar w:fldCharType="separate"/>
          </w:r>
          <w:r>
            <w:fldChar w:fldCharType="begin"/>
          </w:r>
          <w:r>
            <w:instrText xml:space="preserve"> HYPERLINK \l "_Toc133163775" </w:instrText>
          </w:r>
          <w:r>
            <w:fldChar w:fldCharType="separate"/>
          </w:r>
          <w:r>
            <w:rPr>
              <w:rStyle w:val="25"/>
              <w:rFonts w:ascii="宋体" w:hAnsi="宋体" w:eastAsia="宋体"/>
              <w:b w:val="0"/>
              <w:bCs w:val="0"/>
              <w:sz w:val="32"/>
              <w:szCs w:val="32"/>
            </w:rPr>
            <w:t>一、本赛项基本描述</w:t>
          </w:r>
          <w:r>
            <w:rPr>
              <w:rFonts w:ascii="宋体" w:hAnsi="宋体" w:eastAsia="宋体"/>
              <w:b w:val="0"/>
              <w:bCs w:val="0"/>
              <w:sz w:val="32"/>
              <w:szCs w:val="32"/>
            </w:rPr>
            <w:tab/>
          </w:r>
          <w:r>
            <w:rPr>
              <w:rFonts w:ascii="宋体" w:hAnsi="宋体" w:eastAsia="宋体"/>
              <w:b w:val="0"/>
              <w:bCs w:val="0"/>
              <w:sz w:val="32"/>
              <w:szCs w:val="32"/>
            </w:rPr>
            <w:fldChar w:fldCharType="begin"/>
          </w:r>
          <w:r>
            <w:rPr>
              <w:rFonts w:ascii="宋体" w:hAnsi="宋体" w:eastAsia="宋体"/>
              <w:b w:val="0"/>
              <w:bCs w:val="0"/>
              <w:sz w:val="32"/>
              <w:szCs w:val="32"/>
            </w:rPr>
            <w:instrText xml:space="preserve"> PAGEREF _Toc133163775 \h </w:instrText>
          </w:r>
          <w:r>
            <w:rPr>
              <w:rFonts w:ascii="宋体" w:hAnsi="宋体" w:eastAsia="宋体"/>
              <w:b w:val="0"/>
              <w:bCs w:val="0"/>
              <w:sz w:val="32"/>
              <w:szCs w:val="32"/>
            </w:rPr>
            <w:fldChar w:fldCharType="separate"/>
          </w:r>
          <w:r>
            <w:rPr>
              <w:rFonts w:ascii="宋体" w:hAnsi="宋体" w:eastAsia="宋体"/>
              <w:b w:val="0"/>
              <w:bCs w:val="0"/>
              <w:sz w:val="32"/>
              <w:szCs w:val="32"/>
            </w:rPr>
            <w:t>1</w:t>
          </w:r>
          <w:r>
            <w:rPr>
              <w:rFonts w:ascii="宋体" w:hAnsi="宋体" w:eastAsia="宋体"/>
              <w:b w:val="0"/>
              <w:bCs w:val="0"/>
              <w:sz w:val="32"/>
              <w:szCs w:val="32"/>
            </w:rPr>
            <w:fldChar w:fldCharType="end"/>
          </w:r>
          <w:r>
            <w:rPr>
              <w:rFonts w:ascii="宋体" w:hAnsi="宋体" w:eastAsia="宋体"/>
              <w:b w:val="0"/>
              <w:bCs w:val="0"/>
              <w:sz w:val="32"/>
              <w:szCs w:val="32"/>
            </w:rPr>
            <w:fldChar w:fldCharType="end"/>
          </w:r>
        </w:p>
        <w:p>
          <w:pPr>
            <w:pStyle w:val="14"/>
            <w:tabs>
              <w:tab w:val="right" w:leader="dot" w:pos="8290"/>
            </w:tabs>
            <w:spacing w:line="360" w:lineRule="auto"/>
            <w:rPr>
              <w:rFonts w:ascii="宋体" w:hAnsi="宋体" w:eastAsia="宋体" w:cstheme="minorBidi"/>
              <w:b w:val="0"/>
              <w:bCs w:val="0"/>
              <w:sz w:val="32"/>
              <w:szCs w:val="32"/>
            </w:rPr>
          </w:pPr>
          <w:r>
            <w:fldChar w:fldCharType="begin"/>
          </w:r>
          <w:r>
            <w:instrText xml:space="preserve"> HYPERLINK \l "_Toc133163776" </w:instrText>
          </w:r>
          <w:r>
            <w:fldChar w:fldCharType="separate"/>
          </w:r>
          <w:r>
            <w:rPr>
              <w:rStyle w:val="25"/>
              <w:rFonts w:ascii="宋体" w:hAnsi="宋体" w:eastAsia="宋体"/>
              <w:b w:val="0"/>
              <w:bCs w:val="0"/>
              <w:sz w:val="32"/>
              <w:szCs w:val="32"/>
            </w:rPr>
            <w:t>二、选手应具备的能力</w:t>
          </w:r>
          <w:r>
            <w:rPr>
              <w:rFonts w:ascii="宋体" w:hAnsi="宋体" w:eastAsia="宋体"/>
              <w:b w:val="0"/>
              <w:bCs w:val="0"/>
              <w:sz w:val="32"/>
              <w:szCs w:val="32"/>
            </w:rPr>
            <w:tab/>
          </w:r>
          <w:r>
            <w:rPr>
              <w:rFonts w:ascii="宋体" w:hAnsi="宋体" w:eastAsia="宋体"/>
              <w:b w:val="0"/>
              <w:bCs w:val="0"/>
              <w:sz w:val="32"/>
              <w:szCs w:val="32"/>
            </w:rPr>
            <w:fldChar w:fldCharType="begin"/>
          </w:r>
          <w:r>
            <w:rPr>
              <w:rFonts w:ascii="宋体" w:hAnsi="宋体" w:eastAsia="宋体"/>
              <w:b w:val="0"/>
              <w:bCs w:val="0"/>
              <w:sz w:val="32"/>
              <w:szCs w:val="32"/>
            </w:rPr>
            <w:instrText xml:space="preserve"> PAGEREF _Toc133163776 \h </w:instrText>
          </w:r>
          <w:r>
            <w:rPr>
              <w:rFonts w:ascii="宋体" w:hAnsi="宋体" w:eastAsia="宋体"/>
              <w:b w:val="0"/>
              <w:bCs w:val="0"/>
              <w:sz w:val="32"/>
              <w:szCs w:val="32"/>
            </w:rPr>
            <w:fldChar w:fldCharType="separate"/>
          </w:r>
          <w:r>
            <w:rPr>
              <w:rFonts w:ascii="宋体" w:hAnsi="宋体" w:eastAsia="宋体"/>
              <w:b w:val="0"/>
              <w:bCs w:val="0"/>
              <w:sz w:val="32"/>
              <w:szCs w:val="32"/>
            </w:rPr>
            <w:t>4</w:t>
          </w:r>
          <w:r>
            <w:rPr>
              <w:rFonts w:ascii="宋体" w:hAnsi="宋体" w:eastAsia="宋体"/>
              <w:b w:val="0"/>
              <w:bCs w:val="0"/>
              <w:sz w:val="32"/>
              <w:szCs w:val="32"/>
            </w:rPr>
            <w:fldChar w:fldCharType="end"/>
          </w:r>
          <w:r>
            <w:rPr>
              <w:rFonts w:ascii="宋体" w:hAnsi="宋体" w:eastAsia="宋体"/>
              <w:b w:val="0"/>
              <w:bCs w:val="0"/>
              <w:sz w:val="32"/>
              <w:szCs w:val="32"/>
            </w:rPr>
            <w:fldChar w:fldCharType="end"/>
          </w:r>
        </w:p>
        <w:p>
          <w:pPr>
            <w:pStyle w:val="14"/>
            <w:tabs>
              <w:tab w:val="right" w:leader="dot" w:pos="8290"/>
            </w:tabs>
            <w:spacing w:line="360" w:lineRule="auto"/>
            <w:rPr>
              <w:rFonts w:ascii="宋体" w:hAnsi="宋体" w:eastAsia="宋体" w:cstheme="minorBidi"/>
              <w:b w:val="0"/>
              <w:bCs w:val="0"/>
              <w:sz w:val="32"/>
              <w:szCs w:val="32"/>
            </w:rPr>
          </w:pPr>
          <w:r>
            <w:fldChar w:fldCharType="begin"/>
          </w:r>
          <w:r>
            <w:instrText xml:space="preserve"> HYPERLINK \l "_Toc133163777" </w:instrText>
          </w:r>
          <w:r>
            <w:fldChar w:fldCharType="separate"/>
          </w:r>
          <w:r>
            <w:rPr>
              <w:rStyle w:val="25"/>
              <w:rFonts w:ascii="宋体" w:hAnsi="宋体" w:eastAsia="宋体"/>
              <w:b w:val="0"/>
              <w:bCs w:val="0"/>
              <w:sz w:val="32"/>
              <w:szCs w:val="32"/>
            </w:rPr>
            <w:t>三、竞赛内容</w:t>
          </w:r>
          <w:r>
            <w:rPr>
              <w:rFonts w:ascii="宋体" w:hAnsi="宋体" w:eastAsia="宋体"/>
              <w:b w:val="0"/>
              <w:bCs w:val="0"/>
              <w:sz w:val="32"/>
              <w:szCs w:val="32"/>
            </w:rPr>
            <w:tab/>
          </w:r>
          <w:r>
            <w:rPr>
              <w:rFonts w:ascii="宋体" w:hAnsi="宋体" w:eastAsia="宋体"/>
              <w:b w:val="0"/>
              <w:bCs w:val="0"/>
              <w:sz w:val="32"/>
              <w:szCs w:val="32"/>
            </w:rPr>
            <w:fldChar w:fldCharType="begin"/>
          </w:r>
          <w:r>
            <w:rPr>
              <w:rFonts w:ascii="宋体" w:hAnsi="宋体" w:eastAsia="宋体"/>
              <w:b w:val="0"/>
              <w:bCs w:val="0"/>
              <w:sz w:val="32"/>
              <w:szCs w:val="32"/>
            </w:rPr>
            <w:instrText xml:space="preserve"> PAGEREF _Toc133163777 \h </w:instrText>
          </w:r>
          <w:r>
            <w:rPr>
              <w:rFonts w:ascii="宋体" w:hAnsi="宋体" w:eastAsia="宋体"/>
              <w:b w:val="0"/>
              <w:bCs w:val="0"/>
              <w:sz w:val="32"/>
              <w:szCs w:val="32"/>
            </w:rPr>
            <w:fldChar w:fldCharType="separate"/>
          </w:r>
          <w:r>
            <w:rPr>
              <w:rFonts w:ascii="宋体" w:hAnsi="宋体" w:eastAsia="宋体"/>
              <w:b w:val="0"/>
              <w:bCs w:val="0"/>
              <w:sz w:val="32"/>
              <w:szCs w:val="32"/>
            </w:rPr>
            <w:t>7</w:t>
          </w:r>
          <w:r>
            <w:rPr>
              <w:rFonts w:ascii="宋体" w:hAnsi="宋体" w:eastAsia="宋体"/>
              <w:b w:val="0"/>
              <w:bCs w:val="0"/>
              <w:sz w:val="32"/>
              <w:szCs w:val="32"/>
            </w:rPr>
            <w:fldChar w:fldCharType="end"/>
          </w:r>
          <w:r>
            <w:rPr>
              <w:rFonts w:ascii="宋体" w:hAnsi="宋体" w:eastAsia="宋体"/>
              <w:b w:val="0"/>
              <w:bCs w:val="0"/>
              <w:sz w:val="32"/>
              <w:szCs w:val="32"/>
            </w:rPr>
            <w:fldChar w:fldCharType="end"/>
          </w:r>
        </w:p>
        <w:p>
          <w:pPr>
            <w:pStyle w:val="14"/>
            <w:tabs>
              <w:tab w:val="right" w:leader="dot" w:pos="8290"/>
            </w:tabs>
            <w:spacing w:line="360" w:lineRule="auto"/>
            <w:rPr>
              <w:rFonts w:ascii="宋体" w:hAnsi="宋体" w:eastAsia="宋体" w:cstheme="minorBidi"/>
              <w:b w:val="0"/>
              <w:bCs w:val="0"/>
              <w:sz w:val="32"/>
              <w:szCs w:val="32"/>
            </w:rPr>
          </w:pPr>
          <w:r>
            <w:fldChar w:fldCharType="begin"/>
          </w:r>
          <w:r>
            <w:instrText xml:space="preserve"> HYPERLINK \l "_Toc133163778" </w:instrText>
          </w:r>
          <w:r>
            <w:fldChar w:fldCharType="separate"/>
          </w:r>
          <w:r>
            <w:rPr>
              <w:rStyle w:val="25"/>
              <w:rFonts w:ascii="宋体" w:hAnsi="宋体" w:eastAsia="宋体"/>
              <w:b w:val="0"/>
              <w:bCs w:val="0"/>
              <w:sz w:val="32"/>
              <w:szCs w:val="32"/>
            </w:rPr>
            <w:t>四、评分方法与赛场管理</w:t>
          </w:r>
          <w:r>
            <w:rPr>
              <w:rFonts w:ascii="宋体" w:hAnsi="宋体" w:eastAsia="宋体"/>
              <w:b w:val="0"/>
              <w:bCs w:val="0"/>
              <w:sz w:val="32"/>
              <w:szCs w:val="32"/>
            </w:rPr>
            <w:tab/>
          </w:r>
          <w:r>
            <w:rPr>
              <w:rFonts w:ascii="宋体" w:hAnsi="宋体" w:eastAsia="宋体"/>
              <w:b w:val="0"/>
              <w:bCs w:val="0"/>
              <w:sz w:val="32"/>
              <w:szCs w:val="32"/>
            </w:rPr>
            <w:fldChar w:fldCharType="begin"/>
          </w:r>
          <w:r>
            <w:rPr>
              <w:rFonts w:ascii="宋体" w:hAnsi="宋体" w:eastAsia="宋体"/>
              <w:b w:val="0"/>
              <w:bCs w:val="0"/>
              <w:sz w:val="32"/>
              <w:szCs w:val="32"/>
            </w:rPr>
            <w:instrText xml:space="preserve"> PAGEREF _Toc133163778 \h </w:instrText>
          </w:r>
          <w:r>
            <w:rPr>
              <w:rFonts w:ascii="宋体" w:hAnsi="宋体" w:eastAsia="宋体"/>
              <w:b w:val="0"/>
              <w:bCs w:val="0"/>
              <w:sz w:val="32"/>
              <w:szCs w:val="32"/>
            </w:rPr>
            <w:fldChar w:fldCharType="separate"/>
          </w:r>
          <w:r>
            <w:rPr>
              <w:rFonts w:ascii="宋体" w:hAnsi="宋体" w:eastAsia="宋体"/>
              <w:b w:val="0"/>
              <w:bCs w:val="0"/>
              <w:sz w:val="32"/>
              <w:szCs w:val="32"/>
            </w:rPr>
            <w:t>8</w:t>
          </w:r>
          <w:r>
            <w:rPr>
              <w:rFonts w:ascii="宋体" w:hAnsi="宋体" w:eastAsia="宋体"/>
              <w:b w:val="0"/>
              <w:bCs w:val="0"/>
              <w:sz w:val="32"/>
              <w:szCs w:val="32"/>
            </w:rPr>
            <w:fldChar w:fldCharType="end"/>
          </w:r>
          <w:r>
            <w:rPr>
              <w:rFonts w:ascii="宋体" w:hAnsi="宋体" w:eastAsia="宋体"/>
              <w:b w:val="0"/>
              <w:bCs w:val="0"/>
              <w:sz w:val="32"/>
              <w:szCs w:val="32"/>
            </w:rPr>
            <w:fldChar w:fldCharType="end"/>
          </w:r>
        </w:p>
        <w:p>
          <w:pPr>
            <w:pStyle w:val="14"/>
            <w:tabs>
              <w:tab w:val="right" w:leader="dot" w:pos="8290"/>
            </w:tabs>
            <w:spacing w:line="360" w:lineRule="auto"/>
            <w:rPr>
              <w:rFonts w:ascii="宋体" w:hAnsi="宋体" w:eastAsia="宋体" w:cstheme="minorBidi"/>
              <w:b w:val="0"/>
              <w:bCs w:val="0"/>
              <w:sz w:val="32"/>
              <w:szCs w:val="32"/>
            </w:rPr>
          </w:pPr>
          <w:r>
            <w:fldChar w:fldCharType="begin"/>
          </w:r>
          <w:r>
            <w:instrText xml:space="preserve"> HYPERLINK \l "_Toc133163779" </w:instrText>
          </w:r>
          <w:r>
            <w:fldChar w:fldCharType="separate"/>
          </w:r>
          <w:r>
            <w:rPr>
              <w:rStyle w:val="25"/>
              <w:rFonts w:ascii="宋体" w:hAnsi="宋体" w:eastAsia="宋体"/>
              <w:b w:val="0"/>
              <w:bCs w:val="0"/>
              <w:sz w:val="32"/>
              <w:szCs w:val="32"/>
            </w:rPr>
            <w:t>五、场地设施</w:t>
          </w:r>
          <w:r>
            <w:rPr>
              <w:rFonts w:ascii="宋体" w:hAnsi="宋体" w:eastAsia="宋体"/>
              <w:b w:val="0"/>
              <w:bCs w:val="0"/>
              <w:sz w:val="32"/>
              <w:szCs w:val="32"/>
            </w:rPr>
            <w:tab/>
          </w:r>
          <w:r>
            <w:rPr>
              <w:rFonts w:ascii="宋体" w:hAnsi="宋体" w:eastAsia="宋体"/>
              <w:b w:val="0"/>
              <w:bCs w:val="0"/>
              <w:sz w:val="32"/>
              <w:szCs w:val="32"/>
            </w:rPr>
            <w:fldChar w:fldCharType="begin"/>
          </w:r>
          <w:r>
            <w:rPr>
              <w:rFonts w:ascii="宋体" w:hAnsi="宋体" w:eastAsia="宋体"/>
              <w:b w:val="0"/>
              <w:bCs w:val="0"/>
              <w:sz w:val="32"/>
              <w:szCs w:val="32"/>
            </w:rPr>
            <w:instrText xml:space="preserve"> PAGEREF _Toc133163779 \h </w:instrText>
          </w:r>
          <w:r>
            <w:rPr>
              <w:rFonts w:ascii="宋体" w:hAnsi="宋体" w:eastAsia="宋体"/>
              <w:b w:val="0"/>
              <w:bCs w:val="0"/>
              <w:sz w:val="32"/>
              <w:szCs w:val="32"/>
            </w:rPr>
            <w:fldChar w:fldCharType="separate"/>
          </w:r>
          <w:r>
            <w:rPr>
              <w:rFonts w:ascii="宋体" w:hAnsi="宋体" w:eastAsia="宋体"/>
              <w:b w:val="0"/>
              <w:bCs w:val="0"/>
              <w:sz w:val="32"/>
              <w:szCs w:val="32"/>
            </w:rPr>
            <w:t>8</w:t>
          </w:r>
          <w:r>
            <w:rPr>
              <w:rFonts w:ascii="宋体" w:hAnsi="宋体" w:eastAsia="宋体"/>
              <w:b w:val="0"/>
              <w:bCs w:val="0"/>
              <w:sz w:val="32"/>
              <w:szCs w:val="32"/>
            </w:rPr>
            <w:fldChar w:fldCharType="end"/>
          </w:r>
          <w:r>
            <w:rPr>
              <w:rFonts w:ascii="宋体" w:hAnsi="宋体" w:eastAsia="宋体"/>
              <w:b w:val="0"/>
              <w:bCs w:val="0"/>
              <w:sz w:val="32"/>
              <w:szCs w:val="32"/>
            </w:rPr>
            <w:fldChar w:fldCharType="end"/>
          </w:r>
        </w:p>
        <w:p>
          <w:pPr>
            <w:pStyle w:val="14"/>
            <w:tabs>
              <w:tab w:val="right" w:leader="dot" w:pos="8290"/>
            </w:tabs>
            <w:spacing w:line="360" w:lineRule="auto"/>
            <w:rPr>
              <w:rFonts w:ascii="宋体" w:hAnsi="宋体" w:eastAsia="宋体" w:cstheme="minorBidi"/>
              <w:b w:val="0"/>
              <w:bCs w:val="0"/>
              <w:sz w:val="32"/>
              <w:szCs w:val="32"/>
            </w:rPr>
          </w:pPr>
          <w:r>
            <w:fldChar w:fldCharType="begin"/>
          </w:r>
          <w:r>
            <w:instrText xml:space="preserve"> HYPERLINK \l "_Toc133163780" </w:instrText>
          </w:r>
          <w:r>
            <w:fldChar w:fldCharType="separate"/>
          </w:r>
          <w:r>
            <w:rPr>
              <w:rStyle w:val="25"/>
              <w:rFonts w:ascii="宋体" w:hAnsi="宋体" w:eastAsia="宋体"/>
              <w:b w:val="0"/>
              <w:bCs w:val="0"/>
              <w:sz w:val="32"/>
              <w:szCs w:val="32"/>
            </w:rPr>
            <w:t>六、赛事纪律</w:t>
          </w:r>
          <w:r>
            <w:rPr>
              <w:rFonts w:ascii="宋体" w:hAnsi="宋体" w:eastAsia="宋体"/>
              <w:b w:val="0"/>
              <w:bCs w:val="0"/>
              <w:sz w:val="32"/>
              <w:szCs w:val="32"/>
            </w:rPr>
            <w:tab/>
          </w:r>
          <w:r>
            <w:rPr>
              <w:rFonts w:ascii="宋体" w:hAnsi="宋体" w:eastAsia="宋体"/>
              <w:b w:val="0"/>
              <w:bCs w:val="0"/>
              <w:sz w:val="32"/>
              <w:szCs w:val="32"/>
            </w:rPr>
            <w:fldChar w:fldCharType="begin"/>
          </w:r>
          <w:r>
            <w:rPr>
              <w:rFonts w:ascii="宋体" w:hAnsi="宋体" w:eastAsia="宋体"/>
              <w:b w:val="0"/>
              <w:bCs w:val="0"/>
              <w:sz w:val="32"/>
              <w:szCs w:val="32"/>
            </w:rPr>
            <w:instrText xml:space="preserve"> PAGEREF _Toc133163780 \h </w:instrText>
          </w:r>
          <w:r>
            <w:rPr>
              <w:rFonts w:ascii="宋体" w:hAnsi="宋体" w:eastAsia="宋体"/>
              <w:b w:val="0"/>
              <w:bCs w:val="0"/>
              <w:sz w:val="32"/>
              <w:szCs w:val="32"/>
            </w:rPr>
            <w:fldChar w:fldCharType="separate"/>
          </w:r>
          <w:r>
            <w:rPr>
              <w:rFonts w:ascii="宋体" w:hAnsi="宋体" w:eastAsia="宋体"/>
              <w:b w:val="0"/>
              <w:bCs w:val="0"/>
              <w:sz w:val="32"/>
              <w:szCs w:val="32"/>
            </w:rPr>
            <w:t>9</w:t>
          </w:r>
          <w:r>
            <w:rPr>
              <w:rFonts w:ascii="宋体" w:hAnsi="宋体" w:eastAsia="宋体"/>
              <w:b w:val="0"/>
              <w:bCs w:val="0"/>
              <w:sz w:val="32"/>
              <w:szCs w:val="32"/>
            </w:rPr>
            <w:fldChar w:fldCharType="end"/>
          </w:r>
          <w:r>
            <w:rPr>
              <w:rFonts w:ascii="宋体" w:hAnsi="宋体" w:eastAsia="宋体"/>
              <w:b w:val="0"/>
              <w:bCs w:val="0"/>
              <w:sz w:val="32"/>
              <w:szCs w:val="32"/>
            </w:rPr>
            <w:fldChar w:fldCharType="end"/>
          </w:r>
        </w:p>
        <w:p>
          <w:pPr>
            <w:pStyle w:val="14"/>
            <w:tabs>
              <w:tab w:val="right" w:leader="dot" w:pos="8290"/>
            </w:tabs>
            <w:spacing w:line="360" w:lineRule="auto"/>
            <w:rPr>
              <w:rFonts w:ascii="宋体" w:hAnsi="宋体" w:eastAsia="宋体" w:cstheme="minorBidi"/>
              <w:b w:val="0"/>
              <w:bCs w:val="0"/>
              <w:sz w:val="32"/>
              <w:szCs w:val="32"/>
            </w:rPr>
          </w:pPr>
          <w:r>
            <w:fldChar w:fldCharType="begin"/>
          </w:r>
          <w:r>
            <w:instrText xml:space="preserve"> HYPERLINK \l "_Toc133163781" </w:instrText>
          </w:r>
          <w:r>
            <w:fldChar w:fldCharType="separate"/>
          </w:r>
          <w:r>
            <w:rPr>
              <w:rStyle w:val="25"/>
              <w:rFonts w:ascii="宋体" w:hAnsi="宋体" w:eastAsia="宋体"/>
              <w:b w:val="0"/>
              <w:bCs w:val="0"/>
              <w:sz w:val="32"/>
              <w:szCs w:val="32"/>
            </w:rPr>
            <w:t>七、竞赛样题</w:t>
          </w:r>
          <w:r>
            <w:rPr>
              <w:rFonts w:ascii="宋体" w:hAnsi="宋体" w:eastAsia="宋体"/>
              <w:b w:val="0"/>
              <w:bCs w:val="0"/>
              <w:sz w:val="32"/>
              <w:szCs w:val="32"/>
            </w:rPr>
            <w:tab/>
          </w:r>
          <w:r>
            <w:rPr>
              <w:rFonts w:ascii="宋体" w:hAnsi="宋体" w:eastAsia="宋体"/>
              <w:b w:val="0"/>
              <w:bCs w:val="0"/>
              <w:sz w:val="32"/>
              <w:szCs w:val="32"/>
            </w:rPr>
            <w:fldChar w:fldCharType="begin"/>
          </w:r>
          <w:r>
            <w:rPr>
              <w:rFonts w:ascii="宋体" w:hAnsi="宋体" w:eastAsia="宋体"/>
              <w:b w:val="0"/>
              <w:bCs w:val="0"/>
              <w:sz w:val="32"/>
              <w:szCs w:val="32"/>
            </w:rPr>
            <w:instrText xml:space="preserve"> PAGEREF _Toc133163781 \h </w:instrText>
          </w:r>
          <w:r>
            <w:rPr>
              <w:rFonts w:ascii="宋体" w:hAnsi="宋体" w:eastAsia="宋体"/>
              <w:b w:val="0"/>
              <w:bCs w:val="0"/>
              <w:sz w:val="32"/>
              <w:szCs w:val="32"/>
            </w:rPr>
            <w:fldChar w:fldCharType="separate"/>
          </w:r>
          <w:r>
            <w:rPr>
              <w:rFonts w:ascii="宋体" w:hAnsi="宋体" w:eastAsia="宋体"/>
              <w:b w:val="0"/>
              <w:bCs w:val="0"/>
              <w:sz w:val="32"/>
              <w:szCs w:val="32"/>
            </w:rPr>
            <w:t>12</w:t>
          </w:r>
          <w:r>
            <w:rPr>
              <w:rFonts w:ascii="宋体" w:hAnsi="宋体" w:eastAsia="宋体"/>
              <w:b w:val="0"/>
              <w:bCs w:val="0"/>
              <w:sz w:val="32"/>
              <w:szCs w:val="32"/>
            </w:rPr>
            <w:fldChar w:fldCharType="end"/>
          </w:r>
          <w:r>
            <w:rPr>
              <w:rFonts w:ascii="宋体" w:hAnsi="宋体" w:eastAsia="宋体"/>
              <w:b w:val="0"/>
              <w:bCs w:val="0"/>
              <w:sz w:val="32"/>
              <w:szCs w:val="32"/>
            </w:rPr>
            <w:fldChar w:fldCharType="end"/>
          </w:r>
        </w:p>
        <w:p>
          <w:pPr>
            <w:spacing w:line="360" w:lineRule="auto"/>
          </w:pPr>
          <w:r>
            <w:rPr>
              <w:rFonts w:ascii="宋体" w:hAnsi="宋体"/>
              <w:sz w:val="32"/>
              <w:szCs w:val="32"/>
            </w:rPr>
            <w:fldChar w:fldCharType="end"/>
          </w:r>
        </w:p>
      </w:sdtContent>
    </w:sdt>
    <w:p>
      <w:pPr>
        <w:sectPr>
          <w:footerReference r:id="rId7" w:type="default"/>
          <w:pgSz w:w="11900" w:h="16840"/>
          <w:pgMar w:top="1440" w:right="1800" w:bottom="1440" w:left="1800" w:header="851" w:footer="992" w:gutter="0"/>
          <w:pgNumType w:start="1"/>
          <w:cols w:space="425" w:num="1"/>
          <w:docGrid w:type="lines" w:linePitch="423" w:charSpace="0"/>
        </w:sectPr>
      </w:pPr>
    </w:p>
    <w:bookmarkEnd w:id="0"/>
    <w:p>
      <w:pPr>
        <w:pStyle w:val="4"/>
        <w:numPr>
          <w:ilvl w:val="0"/>
          <w:numId w:val="0"/>
        </w:numPr>
        <w:spacing w:before="0" w:after="0" w:line="360" w:lineRule="auto"/>
        <w:rPr>
          <w:rFonts w:ascii="黑体" w:hAnsi="黑体" w:eastAsia="黑体"/>
          <w:b w:val="0"/>
          <w:sz w:val="28"/>
          <w:szCs w:val="28"/>
        </w:rPr>
      </w:pPr>
      <w:bookmarkStart w:id="1" w:name="_Toc39778149"/>
      <w:bookmarkStart w:id="2" w:name="_Toc486438817"/>
      <w:bookmarkStart w:id="3" w:name="_Toc486438875"/>
      <w:bookmarkStart w:id="4" w:name="_Toc486438701"/>
      <w:bookmarkStart w:id="5" w:name="_Toc133163775"/>
      <w:bookmarkStart w:id="6" w:name="_Toc47976669"/>
      <w:bookmarkStart w:id="7" w:name="_Toc11658_WPSOffice_Level1"/>
      <w:r>
        <w:rPr>
          <w:rFonts w:hint="eastAsia" w:ascii="黑体" w:hAnsi="黑体" w:eastAsia="黑体"/>
          <w:b w:val="0"/>
          <w:sz w:val="28"/>
          <w:szCs w:val="28"/>
        </w:rPr>
        <w:t>一、本赛项基本描述</w:t>
      </w:r>
      <w:bookmarkEnd w:id="1"/>
      <w:bookmarkEnd w:id="2"/>
      <w:bookmarkEnd w:id="3"/>
      <w:bookmarkEnd w:id="4"/>
      <w:bookmarkEnd w:id="5"/>
      <w:bookmarkEnd w:id="6"/>
      <w:bookmarkEnd w:id="7"/>
    </w:p>
    <w:p>
      <w:pPr>
        <w:widowControl/>
        <w:ind w:firstLine="560" w:firstLineChars="200"/>
        <w:jc w:val="left"/>
        <w:rPr>
          <w:rFonts w:ascii="仿宋_GB2312" w:eastAsia="仿宋_GB2312"/>
          <w:sz w:val="28"/>
          <w:szCs w:val="28"/>
        </w:rPr>
      </w:pPr>
      <w:r>
        <w:rPr>
          <w:rFonts w:hint="eastAsia" w:ascii="仿宋_GB2312" w:eastAsia="仿宋_GB2312"/>
          <w:sz w:val="28"/>
          <w:szCs w:val="28"/>
        </w:rPr>
        <w:t>本</w:t>
      </w:r>
      <w:r>
        <w:rPr>
          <w:rFonts w:hint="eastAsia" w:ascii="仿宋_GB2312" w:hAnsi="Times New Roman" w:eastAsia="仿宋_GB2312" w:cs="Times New Roman"/>
          <w:sz w:val="28"/>
          <w:szCs w:val="28"/>
        </w:rPr>
        <w:t>赛项竞赛由</w:t>
      </w:r>
      <w:r>
        <w:rPr>
          <w:rFonts w:hint="eastAsia" w:ascii="仿宋_GB2312" w:hAnsi="Times New Roman" w:eastAsia="仿宋_GB2312" w:cs="Times New Roman"/>
          <w:sz w:val="28"/>
          <w:szCs w:val="28"/>
          <w:lang w:val="en-US" w:eastAsia="zh-CN"/>
        </w:rPr>
        <w:t>徐州工业职业技术学院、鼓楼区人力资源和社会保障局</w:t>
      </w:r>
      <w:r>
        <w:rPr>
          <w:rFonts w:hint="eastAsia" w:ascii="仿宋_GB2312" w:hAnsi="Times New Roman" w:eastAsia="仿宋_GB2312" w:cs="Times New Roman"/>
          <w:sz w:val="28"/>
          <w:szCs w:val="28"/>
        </w:rPr>
        <w:t>单位</w:t>
      </w:r>
      <w:r>
        <w:rPr>
          <w:rFonts w:hint="eastAsia" w:ascii="仿宋_GB2312" w:eastAsia="仿宋_GB2312"/>
          <w:sz w:val="28"/>
          <w:szCs w:val="28"/>
          <w:lang w:val="en-US" w:eastAsia="zh-CN"/>
        </w:rPr>
        <w:t>承</w:t>
      </w:r>
      <w:r>
        <w:rPr>
          <w:rFonts w:hint="eastAsia" w:ascii="仿宋_GB2312" w:eastAsia="仿宋_GB2312"/>
          <w:sz w:val="28"/>
          <w:szCs w:val="28"/>
        </w:rPr>
        <w:t>办，参赛对象为企事业单位一线职工和各类技工（职业）院校、高等院校有学籍的在校学生，竞赛以习近平总书记新时代中国特色社会主义思想为背景，围绕客户服务、店铺数据分析与运营推广、电子商务专业理论知识，本赛项职工组依据</w:t>
      </w:r>
      <w:r>
        <w:rPr>
          <w:rFonts w:ascii="仿宋_GB2312" w:eastAsia="仿宋_GB2312"/>
          <w:sz w:val="28"/>
          <w:szCs w:val="28"/>
        </w:rPr>
        <w:t>电子商务师</w:t>
      </w:r>
      <w:r>
        <w:rPr>
          <w:rFonts w:hint="eastAsia" w:ascii="仿宋_GB2312" w:eastAsia="仿宋_GB2312"/>
          <w:sz w:val="28"/>
          <w:szCs w:val="28"/>
        </w:rPr>
        <w:t>（三级）考核标准，学生组参照电子商务师（四级）考核标准来展开比赛。</w:t>
      </w:r>
    </w:p>
    <w:p>
      <w:pPr>
        <w:widowControl/>
        <w:jc w:val="left"/>
        <w:rPr>
          <w:rFonts w:ascii="黑体" w:hAnsi="黑体" w:eastAsia="黑体"/>
          <w:sz w:val="28"/>
          <w:szCs w:val="28"/>
        </w:rPr>
      </w:pPr>
      <w:r>
        <w:rPr>
          <w:rFonts w:hint="eastAsia" w:ascii="黑体" w:hAnsi="黑体" w:eastAsia="黑体"/>
          <w:sz w:val="28"/>
          <w:szCs w:val="28"/>
        </w:rPr>
        <w:t>1.1竞赛目的</w:t>
      </w:r>
    </w:p>
    <w:p>
      <w:pPr>
        <w:widowControl/>
        <w:ind w:firstLine="560" w:firstLineChars="200"/>
        <w:jc w:val="left"/>
        <w:rPr>
          <w:rFonts w:ascii="仿宋_GB2312" w:eastAsia="仿宋_GB2312"/>
          <w:sz w:val="28"/>
          <w:szCs w:val="28"/>
        </w:rPr>
      </w:pPr>
      <w:r>
        <w:rPr>
          <w:rFonts w:hint="eastAsia" w:ascii="仿宋_GB2312" w:eastAsia="仿宋_GB2312"/>
          <w:sz w:val="28"/>
          <w:szCs w:val="28"/>
        </w:rPr>
        <w:t>考核选手的电子商务师职业的理论知识和实际操作能力。应具备电子商务的基本理论的知识和技能，能够快速掌握电子商务师的核心能力，通过非技术干预手段完成电子商务运营，</w:t>
      </w:r>
      <w:r>
        <w:rPr>
          <w:rFonts w:hint="eastAsia" w:ascii="仿宋_GB2312" w:eastAsia="仿宋_GB2312"/>
          <w:sz w:val="28"/>
          <w:szCs w:val="28"/>
          <w:lang w:val="en-US" w:eastAsia="zh-CN"/>
        </w:rPr>
        <w:t>客户服务能力及</w:t>
      </w:r>
      <w:r>
        <w:rPr>
          <w:rFonts w:hint="eastAsia" w:ascii="仿宋_GB2312" w:eastAsia="仿宋_GB2312"/>
          <w:sz w:val="28"/>
          <w:szCs w:val="28"/>
        </w:rPr>
        <w:t>数据分析及推广应用能力,提高选手的就业竞争力。</w:t>
      </w:r>
    </w:p>
    <w:p>
      <w:pPr>
        <w:rPr>
          <w:rFonts w:ascii="黑体" w:hAnsi="黑体" w:eastAsia="黑体"/>
          <w:sz w:val="28"/>
          <w:szCs w:val="28"/>
        </w:rPr>
      </w:pPr>
    </w:p>
    <w:p>
      <w:pPr>
        <w:rPr>
          <w:rFonts w:ascii="黑体" w:hAnsi="黑体" w:eastAsia="黑体"/>
          <w:sz w:val="28"/>
          <w:szCs w:val="28"/>
        </w:rPr>
      </w:pPr>
      <w:r>
        <w:rPr>
          <w:rFonts w:hint="eastAsia" w:ascii="黑体" w:hAnsi="黑体" w:eastAsia="黑体"/>
          <w:sz w:val="28"/>
          <w:szCs w:val="28"/>
        </w:rPr>
        <w:t>1.2竞赛内容</w:t>
      </w:r>
    </w:p>
    <w:p>
      <w:pPr>
        <w:widowControl/>
        <w:ind w:firstLine="560" w:firstLineChars="200"/>
        <w:jc w:val="left"/>
        <w:rPr>
          <w:rFonts w:ascii="仿宋_GB2312" w:eastAsia="仿宋_GB2312"/>
          <w:sz w:val="28"/>
          <w:szCs w:val="28"/>
        </w:rPr>
      </w:pPr>
      <w:r>
        <w:rPr>
          <w:rFonts w:hint="eastAsia" w:ascii="仿宋_GB2312" w:eastAsia="仿宋_GB2312"/>
          <w:sz w:val="28"/>
          <w:szCs w:val="28"/>
        </w:rPr>
        <w:t>（一）竞赛命题模块数和要求</w:t>
      </w:r>
    </w:p>
    <w:p>
      <w:pPr>
        <w:widowControl/>
        <w:ind w:firstLine="560" w:firstLineChars="200"/>
        <w:jc w:val="left"/>
        <w:rPr>
          <w:rFonts w:ascii="仿宋_GB2312" w:eastAsia="仿宋_GB2312"/>
          <w:sz w:val="28"/>
          <w:szCs w:val="28"/>
        </w:rPr>
      </w:pPr>
      <w:r>
        <w:rPr>
          <w:rFonts w:hint="eastAsia" w:ascii="仿宋_GB2312" w:eastAsia="仿宋_GB2312"/>
          <w:sz w:val="28"/>
          <w:szCs w:val="28"/>
        </w:rPr>
        <w:t>电子商务项目竞赛（职工组/学生组）为个人赛，总时长</w:t>
      </w:r>
      <w:r>
        <w:rPr>
          <w:rFonts w:hint="eastAsia" w:ascii="仿宋_GB2312" w:eastAsia="仿宋_GB2312"/>
          <w:sz w:val="28"/>
          <w:szCs w:val="28"/>
          <w:lang w:val="en-US" w:eastAsia="zh-CN"/>
        </w:rPr>
        <w:t>3</w:t>
      </w:r>
      <w:r>
        <w:rPr>
          <w:rFonts w:hint="eastAsia" w:ascii="仿宋_GB2312" w:eastAsia="仿宋_GB2312"/>
          <w:sz w:val="28"/>
          <w:szCs w:val="28"/>
        </w:rPr>
        <w:t>小时，</w:t>
      </w:r>
      <w:r>
        <w:rPr>
          <w:rFonts w:hint="eastAsia" w:ascii="仿宋_GB2312" w:eastAsia="仿宋_GB2312"/>
          <w:sz w:val="28"/>
          <w:szCs w:val="28"/>
          <w:lang w:val="en-US" w:eastAsia="zh-CN"/>
        </w:rPr>
        <w:t>三</w:t>
      </w:r>
      <w:r>
        <w:rPr>
          <w:rFonts w:hint="eastAsia" w:ascii="仿宋_GB2312" w:eastAsia="仿宋_GB2312"/>
          <w:sz w:val="28"/>
          <w:szCs w:val="28"/>
        </w:rPr>
        <w:t>个模块竞赛时间安排见下表，参赛选手需在规定时间内完成竞赛内容，提前完成不加分，到达规定时间竞赛系统自动结束。</w:t>
      </w:r>
    </w:p>
    <w:tbl>
      <w:tblPr>
        <w:tblStyle w:val="20"/>
        <w:tblW w:w="8594"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4" w:type="dxa"/>
          <w:left w:w="108" w:type="dxa"/>
          <w:bottom w:w="0" w:type="dxa"/>
          <w:right w:w="150" w:type="dxa"/>
        </w:tblCellMar>
      </w:tblPr>
      <w:tblGrid>
        <w:gridCol w:w="1223"/>
        <w:gridCol w:w="2976"/>
        <w:gridCol w:w="1276"/>
        <w:gridCol w:w="1276"/>
        <w:gridCol w:w="850"/>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4" w:type="dxa"/>
            <w:left w:w="108" w:type="dxa"/>
            <w:bottom w:w="0" w:type="dxa"/>
            <w:right w:w="150" w:type="dxa"/>
          </w:tblCellMar>
        </w:tblPrEx>
        <w:trPr>
          <w:trHeight w:val="482" w:hRule="atLeast"/>
        </w:trPr>
        <w:tc>
          <w:tcPr>
            <w:tcW w:w="1223" w:type="dxa"/>
            <w:vMerge w:val="restart"/>
            <w:vAlign w:val="center"/>
          </w:tcPr>
          <w:p>
            <w:pPr>
              <w:spacing w:line="360" w:lineRule="auto"/>
              <w:jc w:val="center"/>
              <w:rPr>
                <w:rFonts w:ascii="仿宋" w:hAnsi="仿宋" w:eastAsia="仿宋"/>
                <w:sz w:val="28"/>
                <w:szCs w:val="28"/>
              </w:rPr>
            </w:pPr>
            <w:r>
              <w:rPr>
                <w:rFonts w:ascii="仿宋" w:hAnsi="仿宋" w:eastAsia="仿宋"/>
                <w:sz w:val="28"/>
                <w:szCs w:val="28"/>
              </w:rPr>
              <w:t>模块</w:t>
            </w:r>
          </w:p>
          <w:p>
            <w:pPr>
              <w:spacing w:line="360" w:lineRule="auto"/>
              <w:jc w:val="center"/>
              <w:rPr>
                <w:rFonts w:ascii="仿宋" w:hAnsi="仿宋" w:eastAsia="仿宋"/>
                <w:sz w:val="28"/>
                <w:szCs w:val="28"/>
              </w:rPr>
            </w:pPr>
            <w:r>
              <w:rPr>
                <w:rFonts w:ascii="仿宋" w:hAnsi="仿宋" w:eastAsia="仿宋"/>
                <w:sz w:val="28"/>
                <w:szCs w:val="28"/>
              </w:rPr>
              <w:t>编号</w:t>
            </w:r>
          </w:p>
        </w:tc>
        <w:tc>
          <w:tcPr>
            <w:tcW w:w="2976" w:type="dxa"/>
            <w:vMerge w:val="restart"/>
            <w:vAlign w:val="center"/>
          </w:tcPr>
          <w:p>
            <w:pPr>
              <w:spacing w:line="360" w:lineRule="auto"/>
              <w:jc w:val="center"/>
              <w:rPr>
                <w:rFonts w:ascii="仿宋" w:hAnsi="仿宋" w:eastAsia="仿宋"/>
                <w:sz w:val="28"/>
                <w:szCs w:val="28"/>
              </w:rPr>
            </w:pPr>
            <w:r>
              <w:rPr>
                <w:rFonts w:ascii="仿宋" w:hAnsi="仿宋" w:eastAsia="仿宋"/>
                <w:sz w:val="28"/>
                <w:szCs w:val="28"/>
              </w:rPr>
              <w:t>模块名称</w:t>
            </w:r>
          </w:p>
        </w:tc>
        <w:tc>
          <w:tcPr>
            <w:tcW w:w="1276" w:type="dxa"/>
            <w:vMerge w:val="restart"/>
            <w:vAlign w:val="center"/>
          </w:tcPr>
          <w:p>
            <w:pPr>
              <w:spacing w:line="360" w:lineRule="auto"/>
              <w:jc w:val="center"/>
              <w:rPr>
                <w:rFonts w:ascii="仿宋" w:hAnsi="仿宋" w:eastAsia="仿宋"/>
                <w:sz w:val="28"/>
                <w:szCs w:val="28"/>
              </w:rPr>
            </w:pPr>
            <w:r>
              <w:rPr>
                <w:rFonts w:hint="eastAsia" w:ascii="仿宋" w:hAnsi="仿宋" w:eastAsia="仿宋"/>
                <w:sz w:val="28"/>
                <w:szCs w:val="28"/>
              </w:rPr>
              <w:t>评分</w:t>
            </w:r>
          </w:p>
          <w:p>
            <w:pPr>
              <w:spacing w:line="360" w:lineRule="auto"/>
              <w:jc w:val="center"/>
              <w:rPr>
                <w:rFonts w:ascii="仿宋" w:hAnsi="仿宋" w:eastAsia="仿宋"/>
                <w:sz w:val="28"/>
                <w:szCs w:val="28"/>
              </w:rPr>
            </w:pPr>
            <w:r>
              <w:rPr>
                <w:rFonts w:hint="eastAsia" w:ascii="仿宋" w:hAnsi="仿宋" w:eastAsia="仿宋"/>
                <w:sz w:val="28"/>
                <w:szCs w:val="28"/>
              </w:rPr>
              <w:t>方式</w:t>
            </w:r>
          </w:p>
        </w:tc>
        <w:tc>
          <w:tcPr>
            <w:tcW w:w="1276" w:type="dxa"/>
            <w:vMerge w:val="restart"/>
            <w:vAlign w:val="center"/>
          </w:tcPr>
          <w:p>
            <w:pPr>
              <w:spacing w:line="360" w:lineRule="auto"/>
              <w:jc w:val="center"/>
              <w:rPr>
                <w:rFonts w:ascii="仿宋" w:hAnsi="仿宋" w:eastAsia="仿宋"/>
                <w:sz w:val="28"/>
                <w:szCs w:val="28"/>
              </w:rPr>
            </w:pPr>
            <w:r>
              <w:rPr>
                <w:rFonts w:ascii="仿宋" w:hAnsi="仿宋" w:eastAsia="仿宋"/>
                <w:sz w:val="28"/>
                <w:szCs w:val="28"/>
              </w:rPr>
              <w:t>竞赛</w:t>
            </w:r>
          </w:p>
          <w:p>
            <w:pPr>
              <w:spacing w:line="360" w:lineRule="auto"/>
              <w:jc w:val="center"/>
              <w:rPr>
                <w:rFonts w:ascii="仿宋" w:hAnsi="仿宋" w:eastAsia="仿宋"/>
                <w:sz w:val="28"/>
                <w:szCs w:val="28"/>
              </w:rPr>
            </w:pPr>
            <w:r>
              <w:rPr>
                <w:rFonts w:ascii="仿宋" w:hAnsi="仿宋" w:eastAsia="仿宋"/>
                <w:sz w:val="28"/>
                <w:szCs w:val="28"/>
              </w:rPr>
              <w:t>时间</w:t>
            </w:r>
          </w:p>
        </w:tc>
        <w:tc>
          <w:tcPr>
            <w:tcW w:w="1843" w:type="dxa"/>
            <w:gridSpan w:val="2"/>
            <w:vAlign w:val="center"/>
          </w:tcPr>
          <w:p>
            <w:pPr>
              <w:spacing w:line="360" w:lineRule="auto"/>
              <w:ind w:firstLine="560" w:firstLineChars="200"/>
              <w:jc w:val="center"/>
              <w:rPr>
                <w:rFonts w:ascii="仿宋" w:hAnsi="仿宋" w:eastAsia="仿宋"/>
                <w:sz w:val="28"/>
                <w:szCs w:val="28"/>
              </w:rPr>
            </w:pPr>
            <w:r>
              <w:rPr>
                <w:rFonts w:hint="eastAsia" w:ascii="仿宋" w:hAnsi="仿宋" w:eastAsia="仿宋"/>
                <w:sz w:val="28"/>
                <w:szCs w:val="28"/>
              </w:rPr>
              <w:t>总</w:t>
            </w:r>
            <w:r>
              <w:rPr>
                <w:rFonts w:ascii="仿宋" w:hAnsi="仿宋" w:eastAsia="仿宋"/>
                <w:sz w:val="28"/>
                <w:szCs w:val="2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4" w:type="dxa"/>
            <w:left w:w="108" w:type="dxa"/>
            <w:bottom w:w="0" w:type="dxa"/>
            <w:right w:w="150" w:type="dxa"/>
          </w:tblCellMar>
        </w:tblPrEx>
        <w:trPr>
          <w:trHeight w:val="475" w:hRule="atLeast"/>
        </w:trPr>
        <w:tc>
          <w:tcPr>
            <w:tcW w:w="1223" w:type="dxa"/>
            <w:vMerge w:val="continue"/>
          </w:tcPr>
          <w:p>
            <w:pPr>
              <w:spacing w:line="360" w:lineRule="auto"/>
              <w:ind w:firstLine="560" w:firstLineChars="200"/>
              <w:jc w:val="center"/>
              <w:rPr>
                <w:rFonts w:ascii="仿宋" w:hAnsi="仿宋" w:eastAsia="仿宋"/>
                <w:sz w:val="28"/>
                <w:szCs w:val="28"/>
              </w:rPr>
            </w:pPr>
          </w:p>
        </w:tc>
        <w:tc>
          <w:tcPr>
            <w:tcW w:w="2976" w:type="dxa"/>
            <w:vMerge w:val="continue"/>
          </w:tcPr>
          <w:p>
            <w:pPr>
              <w:spacing w:line="360" w:lineRule="auto"/>
              <w:ind w:firstLine="560" w:firstLineChars="200"/>
              <w:jc w:val="center"/>
              <w:rPr>
                <w:rFonts w:ascii="仿宋" w:hAnsi="仿宋" w:eastAsia="仿宋"/>
                <w:sz w:val="28"/>
                <w:szCs w:val="28"/>
              </w:rPr>
            </w:pPr>
          </w:p>
        </w:tc>
        <w:tc>
          <w:tcPr>
            <w:tcW w:w="1276" w:type="dxa"/>
            <w:vMerge w:val="continue"/>
            <w:vAlign w:val="center"/>
          </w:tcPr>
          <w:p>
            <w:pPr>
              <w:spacing w:line="360" w:lineRule="auto"/>
              <w:ind w:firstLine="560" w:firstLineChars="200"/>
              <w:jc w:val="center"/>
              <w:rPr>
                <w:rFonts w:ascii="仿宋" w:hAnsi="仿宋" w:eastAsia="仿宋"/>
                <w:sz w:val="28"/>
                <w:szCs w:val="28"/>
              </w:rPr>
            </w:pPr>
          </w:p>
        </w:tc>
        <w:tc>
          <w:tcPr>
            <w:tcW w:w="1276" w:type="dxa"/>
            <w:vMerge w:val="continue"/>
          </w:tcPr>
          <w:p>
            <w:pPr>
              <w:spacing w:line="360" w:lineRule="auto"/>
              <w:ind w:firstLine="560" w:firstLineChars="200"/>
              <w:jc w:val="center"/>
              <w:rPr>
                <w:rFonts w:ascii="仿宋" w:hAnsi="仿宋" w:eastAsia="仿宋"/>
                <w:sz w:val="28"/>
                <w:szCs w:val="28"/>
              </w:rPr>
            </w:pPr>
          </w:p>
        </w:tc>
        <w:tc>
          <w:tcPr>
            <w:tcW w:w="850" w:type="dxa"/>
            <w:vAlign w:val="center"/>
          </w:tcPr>
          <w:p>
            <w:pPr>
              <w:spacing w:line="360" w:lineRule="auto"/>
              <w:jc w:val="center"/>
              <w:rPr>
                <w:rFonts w:ascii="仿宋" w:hAnsi="仿宋" w:eastAsia="仿宋"/>
                <w:sz w:val="28"/>
                <w:szCs w:val="28"/>
              </w:rPr>
            </w:pPr>
            <w:r>
              <w:rPr>
                <w:rFonts w:ascii="仿宋" w:hAnsi="仿宋" w:eastAsia="仿宋"/>
                <w:sz w:val="28"/>
                <w:szCs w:val="28"/>
              </w:rPr>
              <w:t>分数</w:t>
            </w:r>
          </w:p>
        </w:tc>
        <w:tc>
          <w:tcPr>
            <w:tcW w:w="993" w:type="dxa"/>
            <w:vAlign w:val="center"/>
          </w:tcPr>
          <w:p>
            <w:pPr>
              <w:spacing w:line="360" w:lineRule="auto"/>
              <w:jc w:val="center"/>
              <w:rPr>
                <w:rFonts w:ascii="仿宋" w:hAnsi="仿宋" w:eastAsia="仿宋"/>
                <w:sz w:val="28"/>
                <w:szCs w:val="28"/>
              </w:rPr>
            </w:pPr>
            <w:r>
              <w:rPr>
                <w:rFonts w:hint="eastAsia" w:ascii="仿宋" w:hAnsi="仿宋" w:eastAsia="仿宋"/>
                <w:sz w:val="28"/>
                <w:szCs w:val="28"/>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4" w:type="dxa"/>
            <w:left w:w="108" w:type="dxa"/>
            <w:bottom w:w="0" w:type="dxa"/>
            <w:right w:w="150" w:type="dxa"/>
          </w:tblCellMar>
        </w:tblPrEx>
        <w:trPr>
          <w:trHeight w:val="475" w:hRule="atLeast"/>
        </w:trPr>
        <w:tc>
          <w:tcPr>
            <w:tcW w:w="1223" w:type="dxa"/>
            <w:vAlign w:val="center"/>
          </w:tcPr>
          <w:p>
            <w:pPr>
              <w:spacing w:line="360" w:lineRule="auto"/>
              <w:jc w:val="center"/>
              <w:rPr>
                <w:rFonts w:hint="eastAsia" w:ascii="仿宋" w:hAnsi="仿宋" w:eastAsia="仿宋"/>
                <w:sz w:val="28"/>
                <w:szCs w:val="28"/>
                <w:lang w:eastAsia="zh-CN"/>
              </w:rPr>
            </w:pPr>
            <w:r>
              <w:rPr>
                <w:rFonts w:ascii="仿宋" w:hAnsi="仿宋" w:eastAsia="仿宋"/>
                <w:sz w:val="28"/>
                <w:szCs w:val="28"/>
              </w:rPr>
              <w:t>M</w:t>
            </w:r>
            <w:r>
              <w:rPr>
                <w:rFonts w:hint="eastAsia" w:ascii="仿宋" w:hAnsi="仿宋" w:eastAsia="仿宋"/>
                <w:sz w:val="28"/>
                <w:szCs w:val="28"/>
                <w:lang w:val="en-US" w:eastAsia="zh-CN"/>
              </w:rPr>
              <w:t>1</w:t>
            </w:r>
          </w:p>
        </w:tc>
        <w:tc>
          <w:tcPr>
            <w:tcW w:w="2976" w:type="dxa"/>
            <w:vAlign w:val="center"/>
          </w:tcPr>
          <w:p>
            <w:pPr>
              <w:spacing w:line="360" w:lineRule="auto"/>
              <w:jc w:val="center"/>
              <w:rPr>
                <w:rFonts w:ascii="仿宋" w:hAnsi="仿宋" w:eastAsia="仿宋"/>
                <w:sz w:val="28"/>
                <w:szCs w:val="28"/>
              </w:rPr>
            </w:pPr>
            <w:r>
              <w:rPr>
                <w:rFonts w:hint="eastAsia" w:ascii="仿宋" w:hAnsi="仿宋" w:eastAsia="仿宋"/>
                <w:sz w:val="28"/>
                <w:szCs w:val="28"/>
              </w:rPr>
              <w:t>客户服务</w:t>
            </w:r>
          </w:p>
        </w:tc>
        <w:tc>
          <w:tcPr>
            <w:tcW w:w="1276" w:type="dxa"/>
            <w:vAlign w:val="center"/>
          </w:tcPr>
          <w:p>
            <w:pPr>
              <w:spacing w:line="360" w:lineRule="auto"/>
              <w:jc w:val="center"/>
              <w:rPr>
                <w:rFonts w:ascii="仿宋" w:hAnsi="仿宋" w:eastAsia="仿宋"/>
                <w:sz w:val="28"/>
                <w:szCs w:val="28"/>
              </w:rPr>
            </w:pPr>
            <w:r>
              <w:rPr>
                <w:rFonts w:hint="eastAsia" w:ascii="仿宋" w:hAnsi="仿宋" w:eastAsia="仿宋"/>
                <w:sz w:val="28"/>
                <w:szCs w:val="28"/>
              </w:rPr>
              <w:t>系统</w:t>
            </w:r>
          </w:p>
          <w:p>
            <w:pPr>
              <w:spacing w:line="360" w:lineRule="auto"/>
              <w:jc w:val="center"/>
              <w:rPr>
                <w:rFonts w:ascii="仿宋" w:hAnsi="仿宋" w:eastAsia="仿宋"/>
                <w:sz w:val="28"/>
                <w:szCs w:val="28"/>
              </w:rPr>
            </w:pPr>
            <w:r>
              <w:rPr>
                <w:rFonts w:hint="eastAsia" w:ascii="仿宋" w:hAnsi="仿宋" w:eastAsia="仿宋"/>
                <w:sz w:val="28"/>
                <w:szCs w:val="28"/>
              </w:rPr>
              <w:t>评分</w:t>
            </w:r>
          </w:p>
        </w:tc>
        <w:tc>
          <w:tcPr>
            <w:tcW w:w="1276" w:type="dxa"/>
            <w:vAlign w:val="center"/>
          </w:tcPr>
          <w:p>
            <w:pPr>
              <w:spacing w:line="360" w:lineRule="auto"/>
              <w:jc w:val="center"/>
              <w:rPr>
                <w:rFonts w:ascii="仿宋" w:hAnsi="仿宋" w:eastAsia="仿宋"/>
                <w:sz w:val="28"/>
                <w:szCs w:val="28"/>
              </w:rPr>
            </w:pPr>
            <w:r>
              <w:rPr>
                <w:rFonts w:hint="eastAsia" w:ascii="仿宋" w:hAnsi="仿宋" w:eastAsia="仿宋"/>
                <w:sz w:val="28"/>
                <w:szCs w:val="28"/>
              </w:rPr>
              <w:t>45分钟</w:t>
            </w:r>
          </w:p>
        </w:tc>
        <w:tc>
          <w:tcPr>
            <w:tcW w:w="850" w:type="dxa"/>
            <w:vAlign w:val="center"/>
          </w:tcPr>
          <w:p>
            <w:pPr>
              <w:spacing w:line="360" w:lineRule="auto"/>
              <w:jc w:val="center"/>
              <w:rPr>
                <w:rFonts w:ascii="仿宋" w:hAnsi="仿宋" w:eastAsia="仿宋"/>
                <w:sz w:val="28"/>
                <w:szCs w:val="28"/>
              </w:rPr>
            </w:pPr>
            <w:r>
              <w:rPr>
                <w:rFonts w:hint="eastAsia" w:ascii="仿宋" w:hAnsi="仿宋" w:eastAsia="仿宋"/>
                <w:sz w:val="28"/>
                <w:szCs w:val="28"/>
              </w:rPr>
              <w:t>100</w:t>
            </w:r>
          </w:p>
        </w:tc>
        <w:tc>
          <w:tcPr>
            <w:tcW w:w="993" w:type="dxa"/>
            <w:vAlign w:val="center"/>
          </w:tcPr>
          <w:p>
            <w:pPr>
              <w:spacing w:line="360" w:lineRule="auto"/>
              <w:jc w:val="center"/>
              <w:rPr>
                <w:rFonts w:ascii="仿宋" w:hAnsi="仿宋" w:eastAsia="仿宋"/>
                <w:sz w:val="28"/>
                <w:szCs w:val="28"/>
              </w:rPr>
            </w:pPr>
            <w:r>
              <w:rPr>
                <w:rFonts w:hint="eastAsia" w:ascii="仿宋" w:hAnsi="仿宋" w:eastAsia="仿宋"/>
                <w:sz w:val="28"/>
                <w:szCs w:val="28"/>
                <w:lang w:val="en-US" w:eastAsia="zh-CN"/>
              </w:rPr>
              <w:t>20</w:t>
            </w:r>
            <w:r>
              <w:rPr>
                <w:rFonts w:hint="eastAsia" w:ascii="仿宋" w:hAnsi="仿宋" w:eastAsia="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4" w:type="dxa"/>
            <w:left w:w="108" w:type="dxa"/>
            <w:bottom w:w="0" w:type="dxa"/>
            <w:right w:w="150" w:type="dxa"/>
          </w:tblCellMar>
        </w:tblPrEx>
        <w:trPr>
          <w:trHeight w:val="818" w:hRule="atLeast"/>
        </w:trPr>
        <w:tc>
          <w:tcPr>
            <w:tcW w:w="1223" w:type="dxa"/>
            <w:vAlign w:val="center"/>
          </w:tcPr>
          <w:p>
            <w:pPr>
              <w:spacing w:line="360" w:lineRule="auto"/>
              <w:jc w:val="center"/>
              <w:rPr>
                <w:rFonts w:ascii="仿宋" w:hAnsi="仿宋" w:eastAsia="仿宋" w:cs="Times New Roman"/>
                <w:kern w:val="2"/>
                <w:sz w:val="28"/>
                <w:szCs w:val="28"/>
                <w:lang w:val="en-US" w:eastAsia="zh-CN" w:bidi="ar-SA"/>
              </w:rPr>
            </w:pPr>
            <w:r>
              <w:rPr>
                <w:rFonts w:ascii="仿宋" w:hAnsi="仿宋" w:eastAsia="仿宋"/>
                <w:sz w:val="28"/>
                <w:szCs w:val="28"/>
              </w:rPr>
              <w:t>M2</w:t>
            </w:r>
          </w:p>
        </w:tc>
        <w:tc>
          <w:tcPr>
            <w:tcW w:w="2976" w:type="dxa"/>
            <w:vAlign w:val="center"/>
          </w:tcPr>
          <w:p>
            <w:pPr>
              <w:spacing w:line="360" w:lineRule="auto"/>
              <w:jc w:val="center"/>
              <w:rPr>
                <w:rFonts w:ascii="仿宋" w:hAnsi="仿宋" w:eastAsia="仿宋"/>
                <w:sz w:val="28"/>
                <w:szCs w:val="28"/>
              </w:rPr>
            </w:pPr>
            <w:bookmarkStart w:id="8" w:name="_Hlk47368014"/>
            <w:r>
              <w:rPr>
                <w:rFonts w:hint="eastAsia" w:ascii="仿宋" w:hAnsi="仿宋" w:eastAsia="仿宋"/>
                <w:sz w:val="28"/>
                <w:szCs w:val="28"/>
              </w:rPr>
              <w:t>店铺数据分析与运营推广</w:t>
            </w:r>
            <w:bookmarkEnd w:id="8"/>
          </w:p>
        </w:tc>
        <w:tc>
          <w:tcPr>
            <w:tcW w:w="1276" w:type="dxa"/>
            <w:vAlign w:val="center"/>
          </w:tcPr>
          <w:p>
            <w:pPr>
              <w:spacing w:line="360" w:lineRule="auto"/>
              <w:jc w:val="center"/>
              <w:rPr>
                <w:rFonts w:ascii="仿宋" w:hAnsi="仿宋" w:eastAsia="仿宋"/>
                <w:sz w:val="28"/>
                <w:szCs w:val="28"/>
              </w:rPr>
            </w:pPr>
            <w:r>
              <w:rPr>
                <w:rFonts w:hint="eastAsia" w:ascii="仿宋" w:hAnsi="仿宋" w:eastAsia="仿宋"/>
                <w:sz w:val="28"/>
                <w:szCs w:val="28"/>
              </w:rPr>
              <w:t>系统</w:t>
            </w:r>
          </w:p>
          <w:p>
            <w:pPr>
              <w:spacing w:line="360" w:lineRule="auto"/>
              <w:jc w:val="center"/>
              <w:rPr>
                <w:rFonts w:ascii="仿宋" w:hAnsi="仿宋" w:eastAsia="仿宋"/>
                <w:sz w:val="28"/>
                <w:szCs w:val="28"/>
              </w:rPr>
            </w:pPr>
            <w:r>
              <w:rPr>
                <w:rFonts w:hint="eastAsia" w:ascii="仿宋" w:hAnsi="仿宋" w:eastAsia="仿宋"/>
                <w:sz w:val="28"/>
                <w:szCs w:val="28"/>
              </w:rPr>
              <w:t>评分</w:t>
            </w:r>
          </w:p>
        </w:tc>
        <w:tc>
          <w:tcPr>
            <w:tcW w:w="1276" w:type="dxa"/>
            <w:vAlign w:val="center"/>
          </w:tcPr>
          <w:p>
            <w:pPr>
              <w:spacing w:line="360" w:lineRule="auto"/>
              <w:jc w:val="center"/>
              <w:rPr>
                <w:rFonts w:hint="default" w:ascii="仿宋" w:hAnsi="仿宋" w:eastAsia="仿宋"/>
                <w:sz w:val="28"/>
                <w:szCs w:val="28"/>
                <w:lang w:val="en-US" w:eastAsia="zh-CN"/>
              </w:rPr>
            </w:pPr>
            <w:r>
              <w:rPr>
                <w:rFonts w:hint="eastAsia" w:ascii="仿宋" w:hAnsi="仿宋" w:eastAsia="仿宋"/>
                <w:sz w:val="28"/>
                <w:szCs w:val="28"/>
                <w:lang w:val="en-US" w:eastAsia="zh-CN"/>
              </w:rPr>
              <w:t>90分钟</w:t>
            </w:r>
          </w:p>
        </w:tc>
        <w:tc>
          <w:tcPr>
            <w:tcW w:w="850" w:type="dxa"/>
            <w:vAlign w:val="center"/>
          </w:tcPr>
          <w:p>
            <w:pPr>
              <w:spacing w:line="360" w:lineRule="auto"/>
              <w:jc w:val="center"/>
              <w:rPr>
                <w:rFonts w:ascii="仿宋" w:hAnsi="仿宋" w:eastAsia="仿宋"/>
                <w:sz w:val="28"/>
                <w:szCs w:val="28"/>
              </w:rPr>
            </w:pPr>
            <w:r>
              <w:rPr>
                <w:rFonts w:ascii="仿宋" w:hAnsi="仿宋" w:eastAsia="仿宋"/>
                <w:sz w:val="28"/>
                <w:szCs w:val="28"/>
              </w:rPr>
              <w:t>100</w:t>
            </w:r>
          </w:p>
        </w:tc>
        <w:tc>
          <w:tcPr>
            <w:tcW w:w="993" w:type="dxa"/>
            <w:vAlign w:val="center"/>
          </w:tcPr>
          <w:p>
            <w:pPr>
              <w:spacing w:line="360" w:lineRule="auto"/>
              <w:jc w:val="center"/>
              <w:rPr>
                <w:rFonts w:ascii="仿宋" w:hAnsi="仿宋" w:eastAsia="仿宋"/>
                <w:sz w:val="28"/>
                <w:szCs w:val="28"/>
              </w:rPr>
            </w:pPr>
            <w:r>
              <w:rPr>
                <w:rFonts w:hint="eastAsia" w:ascii="仿宋" w:hAnsi="仿宋" w:eastAsia="仿宋"/>
                <w:sz w:val="28"/>
                <w:szCs w:val="28"/>
                <w:lang w:val="en-US" w:eastAsia="zh-CN"/>
              </w:rPr>
              <w:t>50</w:t>
            </w:r>
            <w:r>
              <w:rPr>
                <w:rFonts w:hint="eastAsia" w:ascii="仿宋" w:hAnsi="仿宋" w:eastAsia="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4" w:type="dxa"/>
            <w:left w:w="108" w:type="dxa"/>
            <w:bottom w:w="0" w:type="dxa"/>
            <w:right w:w="150" w:type="dxa"/>
          </w:tblCellMar>
        </w:tblPrEx>
        <w:trPr>
          <w:trHeight w:val="475" w:hRule="atLeast"/>
        </w:trPr>
        <w:tc>
          <w:tcPr>
            <w:tcW w:w="1223" w:type="dxa"/>
            <w:vAlign w:val="center"/>
          </w:tcPr>
          <w:p>
            <w:pPr>
              <w:spacing w:line="360" w:lineRule="auto"/>
              <w:jc w:val="center"/>
              <w:rPr>
                <w:rFonts w:ascii="仿宋" w:hAnsi="仿宋" w:eastAsia="仿宋" w:cs="Times New Roman"/>
                <w:kern w:val="2"/>
                <w:sz w:val="28"/>
                <w:szCs w:val="28"/>
                <w:lang w:val="en-US" w:eastAsia="zh-CN" w:bidi="ar-SA"/>
              </w:rPr>
            </w:pPr>
            <w:r>
              <w:rPr>
                <w:rFonts w:ascii="仿宋" w:hAnsi="仿宋" w:eastAsia="仿宋"/>
                <w:sz w:val="28"/>
                <w:szCs w:val="28"/>
              </w:rPr>
              <w:t>M3</w:t>
            </w:r>
          </w:p>
        </w:tc>
        <w:tc>
          <w:tcPr>
            <w:tcW w:w="2976" w:type="dxa"/>
            <w:vAlign w:val="center"/>
          </w:tcPr>
          <w:p>
            <w:pPr>
              <w:spacing w:line="360" w:lineRule="auto"/>
              <w:jc w:val="center"/>
              <w:rPr>
                <w:rFonts w:ascii="仿宋" w:hAnsi="仿宋" w:eastAsia="仿宋"/>
                <w:sz w:val="28"/>
                <w:szCs w:val="28"/>
              </w:rPr>
            </w:pPr>
            <w:r>
              <w:rPr>
                <w:rFonts w:hint="eastAsia" w:ascii="仿宋" w:hAnsi="仿宋" w:eastAsia="仿宋"/>
                <w:sz w:val="28"/>
                <w:szCs w:val="28"/>
              </w:rPr>
              <w:t>电子商务专业理论知识考试</w:t>
            </w:r>
          </w:p>
        </w:tc>
        <w:tc>
          <w:tcPr>
            <w:tcW w:w="1276" w:type="dxa"/>
            <w:vAlign w:val="center"/>
          </w:tcPr>
          <w:p>
            <w:pPr>
              <w:spacing w:line="360" w:lineRule="auto"/>
              <w:jc w:val="center"/>
              <w:rPr>
                <w:rFonts w:ascii="仿宋" w:hAnsi="仿宋" w:eastAsia="仿宋"/>
                <w:sz w:val="28"/>
                <w:szCs w:val="28"/>
              </w:rPr>
            </w:pPr>
            <w:r>
              <w:rPr>
                <w:rFonts w:hint="eastAsia" w:ascii="仿宋" w:hAnsi="仿宋" w:eastAsia="仿宋"/>
                <w:sz w:val="28"/>
                <w:szCs w:val="28"/>
              </w:rPr>
              <w:t>系统</w:t>
            </w:r>
          </w:p>
          <w:p>
            <w:pPr>
              <w:spacing w:line="360" w:lineRule="auto"/>
              <w:jc w:val="center"/>
              <w:rPr>
                <w:rFonts w:ascii="仿宋" w:hAnsi="仿宋" w:eastAsia="仿宋"/>
                <w:sz w:val="28"/>
                <w:szCs w:val="28"/>
              </w:rPr>
            </w:pPr>
            <w:r>
              <w:rPr>
                <w:rFonts w:hint="eastAsia" w:ascii="仿宋" w:hAnsi="仿宋" w:eastAsia="仿宋"/>
                <w:sz w:val="28"/>
                <w:szCs w:val="28"/>
              </w:rPr>
              <w:t>提交</w:t>
            </w:r>
          </w:p>
        </w:tc>
        <w:tc>
          <w:tcPr>
            <w:tcW w:w="1276" w:type="dxa"/>
            <w:vAlign w:val="center"/>
          </w:tcPr>
          <w:p>
            <w:pPr>
              <w:spacing w:line="360" w:lineRule="auto"/>
              <w:jc w:val="center"/>
              <w:rPr>
                <w:rFonts w:ascii="仿宋" w:hAnsi="仿宋" w:eastAsia="仿宋"/>
                <w:sz w:val="28"/>
                <w:szCs w:val="28"/>
              </w:rPr>
            </w:pPr>
            <w:r>
              <w:rPr>
                <w:rFonts w:hint="eastAsia" w:ascii="仿宋" w:hAnsi="仿宋" w:eastAsia="仿宋"/>
                <w:sz w:val="28"/>
                <w:szCs w:val="28"/>
              </w:rPr>
              <w:t>45分钟</w:t>
            </w:r>
          </w:p>
        </w:tc>
        <w:tc>
          <w:tcPr>
            <w:tcW w:w="850" w:type="dxa"/>
            <w:vAlign w:val="center"/>
          </w:tcPr>
          <w:p>
            <w:pPr>
              <w:spacing w:line="360" w:lineRule="auto"/>
              <w:jc w:val="center"/>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00</w:t>
            </w:r>
          </w:p>
        </w:tc>
        <w:tc>
          <w:tcPr>
            <w:tcW w:w="993" w:type="dxa"/>
            <w:vAlign w:val="center"/>
          </w:tcPr>
          <w:p>
            <w:pPr>
              <w:spacing w:line="360" w:lineRule="auto"/>
              <w:jc w:val="center"/>
              <w:rPr>
                <w:rFonts w:ascii="仿宋" w:hAnsi="仿宋" w:eastAsia="仿宋"/>
                <w:sz w:val="28"/>
                <w:szCs w:val="28"/>
              </w:rPr>
            </w:pPr>
            <w:r>
              <w:rPr>
                <w:rFonts w:hint="eastAsia" w:ascii="仿宋" w:hAnsi="仿宋" w:eastAsia="仿宋"/>
                <w:sz w:val="28"/>
                <w:szCs w:val="28"/>
                <w:lang w:val="en-US" w:eastAsia="zh-CN"/>
              </w:rPr>
              <w:t>30</w:t>
            </w:r>
            <w:r>
              <w:rPr>
                <w:rFonts w:hint="eastAsia" w:ascii="仿宋" w:hAnsi="仿宋" w:eastAsia="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4" w:type="dxa"/>
            <w:left w:w="108" w:type="dxa"/>
            <w:bottom w:w="0" w:type="dxa"/>
            <w:right w:w="150" w:type="dxa"/>
          </w:tblCellMar>
        </w:tblPrEx>
        <w:trPr>
          <w:trHeight w:val="483" w:hRule="atLeast"/>
        </w:trPr>
        <w:tc>
          <w:tcPr>
            <w:tcW w:w="1223" w:type="dxa"/>
          </w:tcPr>
          <w:p>
            <w:pPr>
              <w:spacing w:line="360" w:lineRule="auto"/>
              <w:ind w:firstLine="560" w:firstLineChars="200"/>
              <w:jc w:val="center"/>
              <w:rPr>
                <w:rFonts w:ascii="仿宋" w:hAnsi="仿宋" w:eastAsia="仿宋"/>
                <w:sz w:val="28"/>
                <w:szCs w:val="28"/>
              </w:rPr>
            </w:pPr>
          </w:p>
        </w:tc>
        <w:tc>
          <w:tcPr>
            <w:tcW w:w="4252" w:type="dxa"/>
            <w:gridSpan w:val="2"/>
            <w:vAlign w:val="center"/>
          </w:tcPr>
          <w:p>
            <w:pPr>
              <w:spacing w:line="360" w:lineRule="auto"/>
              <w:ind w:firstLine="560" w:firstLineChars="200"/>
              <w:jc w:val="center"/>
              <w:rPr>
                <w:rFonts w:ascii="仿宋" w:hAnsi="仿宋" w:eastAsia="仿宋"/>
                <w:sz w:val="28"/>
                <w:szCs w:val="28"/>
              </w:rPr>
            </w:pPr>
            <w:r>
              <w:rPr>
                <w:rFonts w:ascii="仿宋" w:hAnsi="仿宋" w:eastAsia="仿宋"/>
                <w:sz w:val="28"/>
                <w:szCs w:val="28"/>
              </w:rPr>
              <w:t>总计</w:t>
            </w:r>
          </w:p>
        </w:tc>
        <w:tc>
          <w:tcPr>
            <w:tcW w:w="1276" w:type="dxa"/>
            <w:vAlign w:val="center"/>
          </w:tcPr>
          <w:p>
            <w:pPr>
              <w:spacing w:line="360" w:lineRule="auto"/>
              <w:jc w:val="center"/>
              <w:rPr>
                <w:rFonts w:ascii="仿宋" w:hAnsi="仿宋" w:eastAsia="仿宋"/>
                <w:sz w:val="28"/>
                <w:szCs w:val="28"/>
              </w:rPr>
            </w:pPr>
            <w:r>
              <w:rPr>
                <w:rFonts w:hint="eastAsia" w:ascii="仿宋" w:hAnsi="仿宋" w:eastAsia="仿宋"/>
                <w:sz w:val="28"/>
                <w:szCs w:val="28"/>
                <w:lang w:val="en-US" w:eastAsia="zh-CN"/>
              </w:rPr>
              <w:t>3</w:t>
            </w:r>
            <w:r>
              <w:rPr>
                <w:rFonts w:ascii="仿宋" w:hAnsi="仿宋" w:eastAsia="仿宋"/>
                <w:sz w:val="28"/>
                <w:szCs w:val="28"/>
              </w:rPr>
              <w:t>小时</w:t>
            </w:r>
          </w:p>
        </w:tc>
        <w:tc>
          <w:tcPr>
            <w:tcW w:w="1843" w:type="dxa"/>
            <w:gridSpan w:val="2"/>
            <w:vAlign w:val="center"/>
          </w:tcPr>
          <w:p>
            <w:pPr>
              <w:spacing w:line="360" w:lineRule="auto"/>
              <w:jc w:val="center"/>
              <w:rPr>
                <w:rFonts w:ascii="仿宋" w:hAnsi="仿宋" w:eastAsia="仿宋"/>
                <w:sz w:val="28"/>
                <w:szCs w:val="28"/>
              </w:rPr>
            </w:pPr>
            <w:r>
              <w:rPr>
                <w:rFonts w:ascii="仿宋" w:hAnsi="仿宋" w:eastAsia="仿宋"/>
                <w:sz w:val="28"/>
                <w:szCs w:val="28"/>
              </w:rPr>
              <w:t>100</w:t>
            </w:r>
          </w:p>
        </w:tc>
      </w:tr>
    </w:tbl>
    <w:p>
      <w:pPr>
        <w:widowControl/>
        <w:ind w:firstLine="560" w:firstLineChars="200"/>
        <w:jc w:val="left"/>
        <w:rPr>
          <w:rFonts w:ascii="仿宋_GB2312" w:eastAsia="仿宋_GB2312"/>
          <w:sz w:val="28"/>
          <w:szCs w:val="28"/>
        </w:rPr>
      </w:pPr>
      <w:r>
        <w:rPr>
          <w:rFonts w:hint="eastAsia" w:ascii="仿宋_GB2312" w:eastAsia="仿宋_GB2312"/>
          <w:sz w:val="28"/>
          <w:szCs w:val="28"/>
        </w:rPr>
        <w:t>（二）各个模块的考核内容</w:t>
      </w:r>
    </w:p>
    <w:p>
      <w:pPr>
        <w:widowControl/>
        <w:ind w:firstLine="560" w:firstLineChars="200"/>
        <w:jc w:val="left"/>
        <w:rPr>
          <w:rFonts w:ascii="仿宋_GB2312" w:eastAsia="仿宋_GB2312"/>
          <w:sz w:val="28"/>
          <w:szCs w:val="28"/>
        </w:rPr>
      </w:pPr>
      <w:r>
        <w:rPr>
          <w:rFonts w:hint="eastAsia" w:ascii="仿宋_GB2312" w:eastAsia="仿宋_GB2312"/>
          <w:sz w:val="28"/>
          <w:szCs w:val="28"/>
        </w:rPr>
        <w:t>竞赛由</w:t>
      </w:r>
      <w:r>
        <w:rPr>
          <w:rFonts w:hint="eastAsia" w:ascii="仿宋_GB2312" w:eastAsia="仿宋_GB2312"/>
          <w:sz w:val="28"/>
          <w:szCs w:val="28"/>
          <w:lang w:val="en-US" w:eastAsia="zh-CN"/>
        </w:rPr>
        <w:t>三</w:t>
      </w:r>
      <w:r>
        <w:rPr>
          <w:rFonts w:hint="eastAsia" w:ascii="仿宋_GB2312" w:eastAsia="仿宋_GB2312"/>
          <w:sz w:val="28"/>
          <w:szCs w:val="28"/>
        </w:rPr>
        <w:t>个模块组成，即客户服务、店铺数据分析与运营推广、电子商务专业理论知识考试等</w:t>
      </w:r>
      <w:r>
        <w:rPr>
          <w:rFonts w:hint="eastAsia" w:ascii="仿宋_GB2312" w:eastAsia="仿宋_GB2312"/>
          <w:sz w:val="28"/>
          <w:szCs w:val="28"/>
          <w:lang w:val="en-US" w:eastAsia="zh-CN"/>
        </w:rPr>
        <w:t>三</w:t>
      </w:r>
      <w:r>
        <w:rPr>
          <w:rFonts w:hint="eastAsia" w:ascii="仿宋_GB2312" w:eastAsia="仿宋_GB2312"/>
          <w:sz w:val="28"/>
          <w:szCs w:val="28"/>
        </w:rPr>
        <w:t>大模块，每模块按百分制评分，每名参赛选手各模块成绩按配分比例折算，计入最终成绩。分别考核选手的客户服务能力、数据分析能力、运营推广能力及店铺运营评估分析能力。</w:t>
      </w:r>
    </w:p>
    <w:p>
      <w:pPr>
        <w:widowControl/>
        <w:ind w:firstLine="560" w:firstLineChars="200"/>
        <w:jc w:val="left"/>
        <w:rPr>
          <w:rFonts w:ascii="仿宋_GB2312" w:eastAsia="仿宋_GB2312"/>
          <w:sz w:val="28"/>
          <w:szCs w:val="28"/>
          <w:lang w:val="zh-CN"/>
        </w:rPr>
      </w:pPr>
      <w:r>
        <w:rPr>
          <w:rFonts w:hint="eastAsia" w:ascii="仿宋_GB2312" w:eastAsia="仿宋_GB2312"/>
          <w:sz w:val="28"/>
          <w:szCs w:val="28"/>
          <w:lang w:val="en-US" w:eastAsia="zh-CN"/>
        </w:rPr>
        <w:t>1</w:t>
      </w:r>
      <w:r>
        <w:rPr>
          <w:rFonts w:hint="eastAsia" w:ascii="仿宋_GB2312" w:eastAsia="仿宋_GB2312"/>
          <w:sz w:val="28"/>
          <w:szCs w:val="28"/>
          <w:lang w:val="zh-CN"/>
        </w:rPr>
        <w:t>、模块 M</w:t>
      </w:r>
      <w:r>
        <w:rPr>
          <w:rFonts w:hint="eastAsia" w:ascii="仿宋_GB2312" w:eastAsia="仿宋_GB2312"/>
          <w:sz w:val="28"/>
          <w:szCs w:val="28"/>
          <w:lang w:val="en-US" w:eastAsia="zh-CN"/>
        </w:rPr>
        <w:t>1</w:t>
      </w:r>
      <w:r>
        <w:rPr>
          <w:rFonts w:hint="eastAsia" w:ascii="仿宋_GB2312" w:eastAsia="仿宋_GB2312"/>
          <w:sz w:val="28"/>
          <w:szCs w:val="28"/>
          <w:lang w:val="zh-CN"/>
        </w:rPr>
        <w:t>：客户服务</w:t>
      </w:r>
    </w:p>
    <w:p>
      <w:pPr>
        <w:widowControl/>
        <w:ind w:firstLine="560" w:firstLineChars="200"/>
        <w:jc w:val="left"/>
        <w:rPr>
          <w:rFonts w:ascii="仿宋_GB2312" w:eastAsia="仿宋_GB2312"/>
          <w:sz w:val="28"/>
          <w:szCs w:val="28"/>
        </w:rPr>
      </w:pPr>
      <w:r>
        <w:rPr>
          <w:rFonts w:hint="eastAsia" w:ascii="仿宋_GB2312" w:eastAsia="仿宋_GB2312"/>
          <w:sz w:val="28"/>
          <w:szCs w:val="28"/>
        </w:rPr>
        <w:t xml:space="preserve">利用竞赛平台提供的在线客服比赛系统，在有效时间内回答模拟客户提出的不同的问题。 </w:t>
      </w:r>
    </w:p>
    <w:p>
      <w:pPr>
        <w:widowControl/>
        <w:ind w:firstLine="560" w:firstLineChars="200"/>
        <w:jc w:val="left"/>
        <w:rPr>
          <w:rFonts w:ascii="仿宋_GB2312" w:eastAsia="仿宋_GB2312"/>
          <w:sz w:val="28"/>
          <w:szCs w:val="28"/>
        </w:rPr>
      </w:pPr>
      <w:r>
        <w:rPr>
          <w:rFonts w:hint="eastAsia" w:ascii="仿宋_GB2312" w:eastAsia="仿宋_GB2312"/>
          <w:sz w:val="28"/>
          <w:szCs w:val="28"/>
        </w:rPr>
        <w:t>回答准确：按照相应岗位的标准话术，独立回答来自多个客户（机器人）的不同问题，根据正确关键词以及语句表由系统自动评分，回答错误不得分 。</w:t>
      </w:r>
    </w:p>
    <w:p>
      <w:pPr>
        <w:widowControl/>
        <w:ind w:firstLine="560" w:firstLineChars="200"/>
        <w:jc w:val="left"/>
        <w:rPr>
          <w:rFonts w:ascii="仿宋_GB2312" w:eastAsia="仿宋_GB2312"/>
          <w:sz w:val="28"/>
          <w:szCs w:val="28"/>
        </w:rPr>
      </w:pPr>
      <w:r>
        <w:rPr>
          <w:rFonts w:hint="eastAsia" w:ascii="仿宋_GB2312" w:eastAsia="仿宋_GB2312"/>
          <w:sz w:val="28"/>
          <w:szCs w:val="28"/>
        </w:rPr>
        <w:t>及时回答：平均响应速度在30s内。</w:t>
      </w:r>
    </w:p>
    <w:p>
      <w:pPr>
        <w:widowControl/>
        <w:ind w:firstLine="560" w:firstLineChars="200"/>
        <w:jc w:val="left"/>
        <w:rPr>
          <w:rFonts w:ascii="仿宋_GB2312" w:eastAsia="仿宋_GB2312"/>
          <w:sz w:val="28"/>
          <w:szCs w:val="28"/>
          <w:lang w:val="zh-CN"/>
        </w:rPr>
      </w:pPr>
      <w:r>
        <w:rPr>
          <w:rFonts w:hint="eastAsia" w:ascii="仿宋_GB2312" w:eastAsia="仿宋_GB2312"/>
          <w:sz w:val="28"/>
          <w:szCs w:val="28"/>
          <w:lang w:val="en-US" w:eastAsia="zh-CN"/>
        </w:rPr>
        <w:t>2</w:t>
      </w:r>
      <w:r>
        <w:rPr>
          <w:rFonts w:hint="eastAsia" w:ascii="仿宋_GB2312" w:eastAsia="仿宋_GB2312"/>
          <w:sz w:val="28"/>
          <w:szCs w:val="28"/>
          <w:lang w:val="zh-CN"/>
        </w:rPr>
        <w:t>、模块 M</w:t>
      </w:r>
      <w:r>
        <w:rPr>
          <w:rFonts w:hint="eastAsia" w:ascii="仿宋_GB2312" w:eastAsia="仿宋_GB2312"/>
          <w:sz w:val="28"/>
          <w:szCs w:val="28"/>
          <w:lang w:val="en-US" w:eastAsia="zh-CN"/>
        </w:rPr>
        <w:t>2</w:t>
      </w:r>
      <w:r>
        <w:rPr>
          <w:rFonts w:hint="eastAsia" w:ascii="仿宋_GB2312" w:eastAsia="仿宋_GB2312"/>
          <w:sz w:val="28"/>
          <w:szCs w:val="28"/>
          <w:lang w:val="zh-CN"/>
        </w:rPr>
        <w:t>：店铺数据分析与运营推广</w:t>
      </w:r>
    </w:p>
    <w:p>
      <w:pPr>
        <w:widowControl/>
        <w:ind w:firstLine="560" w:firstLineChars="200"/>
        <w:jc w:val="left"/>
        <w:rPr>
          <w:rFonts w:ascii="仿宋_GB2312" w:eastAsia="仿宋_GB2312"/>
          <w:sz w:val="28"/>
          <w:szCs w:val="28"/>
        </w:rPr>
      </w:pPr>
      <w:r>
        <w:rPr>
          <w:rFonts w:hint="eastAsia" w:ascii="仿宋_GB2312" w:eastAsia="仿宋_GB2312"/>
          <w:sz w:val="28"/>
          <w:szCs w:val="28"/>
        </w:rPr>
        <w:t>通过竞赛系统中提供的市场行情、店铺经营等各类数据，在对相关数据分析的基础上，进行店铺运营与推广，通过系统模拟选手运营数据进行评分排名。</w:t>
      </w:r>
    </w:p>
    <w:p>
      <w:pPr>
        <w:widowControl/>
        <w:ind w:firstLine="560" w:firstLineChars="200"/>
        <w:jc w:val="left"/>
        <w:rPr>
          <w:rFonts w:ascii="仿宋_GB2312" w:eastAsia="仿宋_GB2312"/>
          <w:sz w:val="28"/>
          <w:szCs w:val="28"/>
        </w:rPr>
      </w:pPr>
      <w:r>
        <w:rPr>
          <w:rFonts w:hint="eastAsia" w:ascii="仿宋_GB2312" w:eastAsia="仿宋_GB2312"/>
          <w:sz w:val="28"/>
          <w:szCs w:val="28"/>
        </w:rPr>
        <w:t>（1）店铺选品</w:t>
      </w:r>
    </w:p>
    <w:p>
      <w:pPr>
        <w:widowControl/>
        <w:ind w:firstLine="560" w:firstLineChars="200"/>
        <w:jc w:val="left"/>
        <w:rPr>
          <w:rFonts w:ascii="仿宋_GB2312" w:eastAsia="仿宋_GB2312"/>
          <w:sz w:val="28"/>
          <w:szCs w:val="28"/>
        </w:rPr>
      </w:pPr>
      <w:r>
        <w:rPr>
          <w:rFonts w:hint="eastAsia" w:ascii="仿宋_GB2312" w:eastAsia="仿宋_GB2312"/>
          <w:sz w:val="28"/>
          <w:szCs w:val="28"/>
        </w:rPr>
        <w:t>根据竞赛系统提供的相关数据与商品信息，以类目数据、性别、年龄、类目偏好、购买力、品牌、流量来源等维度进行数据分析，构建对应品类、人群画像，完成选品及人群定位。</w:t>
      </w:r>
    </w:p>
    <w:p>
      <w:pPr>
        <w:widowControl/>
        <w:ind w:firstLine="560" w:firstLineChars="200"/>
        <w:jc w:val="left"/>
        <w:rPr>
          <w:rFonts w:ascii="仿宋_GB2312" w:eastAsia="仿宋_GB2312"/>
          <w:sz w:val="28"/>
          <w:szCs w:val="28"/>
        </w:rPr>
      </w:pPr>
      <w:r>
        <w:rPr>
          <w:rFonts w:hint="eastAsia" w:ascii="仿宋_GB2312" w:eastAsia="仿宋_GB2312"/>
          <w:sz w:val="28"/>
          <w:szCs w:val="28"/>
        </w:rPr>
        <w:t>（2）店铺营销策略</w:t>
      </w:r>
    </w:p>
    <w:p>
      <w:pPr>
        <w:widowControl/>
        <w:ind w:firstLine="560" w:firstLineChars="200"/>
        <w:jc w:val="left"/>
        <w:rPr>
          <w:rFonts w:ascii="仿宋_GB2312" w:eastAsia="仿宋_GB2312"/>
          <w:sz w:val="28"/>
          <w:szCs w:val="28"/>
        </w:rPr>
      </w:pPr>
      <w:r>
        <w:rPr>
          <w:rFonts w:hint="eastAsia" w:ascii="仿宋_GB2312" w:eastAsia="仿宋_GB2312"/>
          <w:sz w:val="28"/>
          <w:szCs w:val="28"/>
        </w:rPr>
        <w:t>根据资金需求，控制成本，分析财务指标，制定营销策略，并完成相应的营销活动设置，包括店铺优惠套餐、满即送、限时则扣、优惠卡劵等活动。</w:t>
      </w:r>
    </w:p>
    <w:p>
      <w:pPr>
        <w:widowControl/>
        <w:ind w:firstLine="560" w:firstLineChars="200"/>
        <w:jc w:val="left"/>
        <w:rPr>
          <w:rFonts w:ascii="仿宋_GB2312" w:eastAsia="仿宋_GB2312"/>
          <w:sz w:val="28"/>
          <w:szCs w:val="28"/>
        </w:rPr>
      </w:pPr>
      <w:r>
        <w:rPr>
          <w:rFonts w:hint="eastAsia" w:ascii="仿宋_GB2312" w:eastAsia="仿宋_GB2312"/>
          <w:sz w:val="28"/>
          <w:szCs w:val="28"/>
        </w:rPr>
        <w:t>（3）店铺引流</w:t>
      </w:r>
    </w:p>
    <w:p>
      <w:pPr>
        <w:widowControl/>
        <w:ind w:firstLine="560" w:firstLineChars="200"/>
        <w:jc w:val="left"/>
        <w:rPr>
          <w:rFonts w:ascii="仿宋_GB2312" w:eastAsia="仿宋_GB2312"/>
          <w:sz w:val="28"/>
          <w:szCs w:val="28"/>
        </w:rPr>
      </w:pPr>
      <w:r>
        <w:rPr>
          <w:rFonts w:hint="eastAsia" w:ascii="仿宋_GB2312" w:eastAsia="仿宋_GB2312"/>
          <w:sz w:val="28"/>
          <w:szCs w:val="28"/>
        </w:rPr>
        <w:t>通过对用户购物行为、区域信息、类目属性、用户具象行为等维度的数据分析进行精准定向，快速触达目标用户。</w:t>
      </w:r>
    </w:p>
    <w:p>
      <w:pPr>
        <w:widowControl/>
        <w:ind w:firstLine="560" w:firstLineChars="200"/>
        <w:jc w:val="left"/>
        <w:rPr>
          <w:rFonts w:ascii="仿宋_GB2312" w:eastAsia="仿宋_GB2312"/>
          <w:sz w:val="28"/>
          <w:szCs w:val="28"/>
        </w:rPr>
      </w:pPr>
      <w:r>
        <w:rPr>
          <w:rFonts w:hint="eastAsia" w:ascii="仿宋_GB2312" w:eastAsia="仿宋_GB2312"/>
          <w:sz w:val="28"/>
          <w:szCs w:val="28"/>
        </w:rPr>
        <w:t>根据系统数据进行关键词优化、获取尽可能多的自然流量</w:t>
      </w:r>
    </w:p>
    <w:p>
      <w:pPr>
        <w:widowControl/>
        <w:ind w:firstLine="560" w:firstLineChars="200"/>
        <w:jc w:val="left"/>
        <w:rPr>
          <w:rFonts w:ascii="仿宋_GB2312" w:eastAsia="仿宋_GB2312"/>
          <w:sz w:val="28"/>
          <w:szCs w:val="28"/>
        </w:rPr>
      </w:pPr>
      <w:r>
        <w:rPr>
          <w:rFonts w:hint="eastAsia" w:ascii="仿宋_GB2312" w:eastAsia="仿宋_GB2312"/>
          <w:sz w:val="28"/>
          <w:szCs w:val="28"/>
        </w:rPr>
        <w:t>根据系统数据设置相应站内付费推广，推荐广告位出价，推广商品、活动或店铺展示在站内广告位上</w:t>
      </w:r>
    </w:p>
    <w:p>
      <w:pPr>
        <w:widowControl/>
        <w:ind w:firstLine="560" w:firstLineChars="200"/>
        <w:jc w:val="left"/>
        <w:rPr>
          <w:rFonts w:ascii="仿宋_GB2312" w:eastAsia="仿宋_GB2312"/>
          <w:sz w:val="28"/>
          <w:szCs w:val="28"/>
        </w:rPr>
      </w:pPr>
      <w:r>
        <w:rPr>
          <w:rFonts w:hint="eastAsia" w:ascii="仿宋_GB2312" w:eastAsia="仿宋_GB2312"/>
          <w:sz w:val="28"/>
          <w:szCs w:val="28"/>
        </w:rPr>
        <w:t xml:space="preserve">根据营销策略合理进行站外推广，获取尽可能多的站外流量，引导买家进店消费。 </w:t>
      </w:r>
    </w:p>
    <w:p>
      <w:pPr>
        <w:widowControl/>
        <w:ind w:firstLine="560" w:firstLineChars="200"/>
        <w:jc w:val="left"/>
        <w:rPr>
          <w:rFonts w:ascii="仿宋_GB2312" w:eastAsia="仿宋_GB2312"/>
          <w:sz w:val="28"/>
          <w:szCs w:val="28"/>
        </w:rPr>
      </w:pPr>
      <w:r>
        <w:rPr>
          <w:rFonts w:hint="eastAsia" w:ascii="仿宋_GB2312" w:eastAsia="仿宋_GB2312"/>
          <w:sz w:val="28"/>
          <w:szCs w:val="28"/>
        </w:rPr>
        <w:t>（4）运营推广目标评估</w:t>
      </w:r>
    </w:p>
    <w:p>
      <w:pPr>
        <w:widowControl/>
        <w:ind w:firstLine="560" w:firstLineChars="200"/>
        <w:jc w:val="left"/>
        <w:rPr>
          <w:rFonts w:ascii="仿宋_GB2312" w:eastAsia="仿宋_GB2312"/>
          <w:sz w:val="28"/>
          <w:szCs w:val="28"/>
        </w:rPr>
      </w:pPr>
      <w:r>
        <w:rPr>
          <w:rFonts w:hint="eastAsia" w:ascii="仿宋_GB2312" w:eastAsia="仿宋_GB2312"/>
          <w:sz w:val="28"/>
          <w:szCs w:val="28"/>
        </w:rPr>
        <w:t>最终系统模拟相应的投入金额、利润情况、销售额、店铺流量、点击率、转化率等多维度进行评分排名。</w:t>
      </w:r>
    </w:p>
    <w:p>
      <w:pPr>
        <w:widowControl/>
        <w:ind w:firstLine="560" w:firstLineChars="200"/>
        <w:jc w:val="left"/>
        <w:rPr>
          <w:rFonts w:ascii="仿宋_GB2312" w:eastAsia="仿宋_GB2312"/>
          <w:sz w:val="28"/>
          <w:szCs w:val="28"/>
          <w:lang w:val="zh-CN"/>
        </w:rPr>
      </w:pPr>
      <w:r>
        <w:rPr>
          <w:rFonts w:hint="eastAsia" w:ascii="仿宋_GB2312" w:eastAsia="仿宋_GB2312"/>
          <w:sz w:val="28"/>
          <w:szCs w:val="28"/>
          <w:lang w:val="en-US" w:eastAsia="zh-CN"/>
        </w:rPr>
        <w:t>3</w:t>
      </w:r>
      <w:r>
        <w:rPr>
          <w:rFonts w:hint="eastAsia" w:ascii="仿宋_GB2312" w:eastAsia="仿宋_GB2312"/>
          <w:sz w:val="28"/>
          <w:szCs w:val="28"/>
          <w:lang w:val="zh-CN"/>
        </w:rPr>
        <w:t>、模块 M</w:t>
      </w:r>
      <w:r>
        <w:rPr>
          <w:rFonts w:hint="eastAsia" w:ascii="仿宋_GB2312" w:eastAsia="仿宋_GB2312"/>
          <w:sz w:val="28"/>
          <w:szCs w:val="28"/>
          <w:lang w:val="en-US" w:eastAsia="zh-CN"/>
        </w:rPr>
        <w:t>3</w:t>
      </w:r>
      <w:r>
        <w:rPr>
          <w:rFonts w:hint="eastAsia" w:ascii="仿宋_GB2312" w:eastAsia="仿宋_GB2312"/>
          <w:sz w:val="28"/>
          <w:szCs w:val="28"/>
          <w:lang w:val="zh-CN"/>
        </w:rPr>
        <w:t>：</w:t>
      </w:r>
      <w:r>
        <w:rPr>
          <w:rFonts w:hint="eastAsia" w:ascii="仿宋_GB2312" w:eastAsia="仿宋_GB2312"/>
          <w:sz w:val="28"/>
          <w:szCs w:val="28"/>
        </w:rPr>
        <w:t>电子商务专业理论知识考试</w:t>
      </w:r>
    </w:p>
    <w:p>
      <w:pPr>
        <w:widowControl/>
        <w:ind w:firstLine="560" w:firstLineChars="200"/>
        <w:jc w:val="left"/>
        <w:rPr>
          <w:rFonts w:ascii="仿宋_GB2312" w:eastAsia="仿宋_GB2312"/>
          <w:sz w:val="28"/>
          <w:szCs w:val="28"/>
        </w:rPr>
      </w:pPr>
      <w:r>
        <w:rPr>
          <w:rFonts w:hint="eastAsia" w:ascii="仿宋_GB2312" w:eastAsia="仿宋_GB2312"/>
          <w:sz w:val="28"/>
          <w:szCs w:val="28"/>
        </w:rPr>
        <w:t xml:space="preserve">本模块利用所学的电子商务专业理论知识有效时间内在竞赛平台上回答试卷提出的不同的问题，题型包括单选题、多选题、判断题、填空题。 </w:t>
      </w:r>
    </w:p>
    <w:p>
      <w:pPr>
        <w:widowControl/>
        <w:ind w:firstLine="560" w:firstLineChars="200"/>
        <w:jc w:val="left"/>
        <w:rPr>
          <w:rFonts w:ascii="仿宋_GB2312" w:eastAsia="仿宋_GB2312"/>
          <w:sz w:val="28"/>
          <w:szCs w:val="28"/>
        </w:rPr>
      </w:pPr>
      <w:r>
        <w:rPr>
          <w:rFonts w:hint="eastAsia" w:ascii="仿宋_GB2312" w:eastAsia="仿宋_GB2312"/>
          <w:sz w:val="28"/>
          <w:szCs w:val="28"/>
        </w:rPr>
        <w:t xml:space="preserve">（三）命题方式 </w:t>
      </w:r>
    </w:p>
    <w:p>
      <w:pPr>
        <w:widowControl/>
        <w:ind w:firstLine="560" w:firstLineChars="200"/>
        <w:jc w:val="left"/>
        <w:rPr>
          <w:rFonts w:ascii="仿宋_GB2312" w:eastAsia="仿宋_GB2312"/>
          <w:sz w:val="28"/>
          <w:szCs w:val="28"/>
        </w:rPr>
      </w:pPr>
      <w:r>
        <w:rPr>
          <w:rFonts w:hint="eastAsia" w:ascii="仿宋_GB2312" w:eastAsia="仿宋_GB2312"/>
          <w:sz w:val="28"/>
          <w:szCs w:val="28"/>
        </w:rPr>
        <w:t xml:space="preserve">本项目竞赛试题的命题方式： </w:t>
      </w:r>
    </w:p>
    <w:p>
      <w:pPr>
        <w:widowControl/>
        <w:ind w:firstLine="560" w:firstLineChars="200"/>
        <w:jc w:val="left"/>
        <w:rPr>
          <w:rFonts w:ascii="仿宋_GB2312" w:eastAsia="仿宋_GB2312"/>
          <w:sz w:val="28"/>
          <w:szCs w:val="28"/>
        </w:rPr>
      </w:pPr>
      <w:r>
        <w:rPr>
          <w:rFonts w:hint="eastAsia" w:ascii="仿宋_GB2312" w:eastAsia="仿宋_GB2312"/>
          <w:sz w:val="28"/>
          <w:szCs w:val="28"/>
        </w:rPr>
        <w:t xml:space="preserve">1、本赛项试题不能提前公开，竞赛试题与评分标准在赛前密封，由大赛组委会保管。 </w:t>
      </w:r>
    </w:p>
    <w:p>
      <w:pPr>
        <w:widowControl/>
        <w:ind w:firstLine="560" w:firstLineChars="200"/>
        <w:jc w:val="left"/>
        <w:rPr>
          <w:rFonts w:ascii="仿宋_GB2312" w:eastAsia="仿宋_GB2312"/>
          <w:sz w:val="28"/>
          <w:szCs w:val="28"/>
        </w:rPr>
      </w:pPr>
      <w:r>
        <w:rPr>
          <w:rFonts w:hint="eastAsia" w:ascii="仿宋_GB2312" w:eastAsia="仿宋_GB2312"/>
          <w:sz w:val="28"/>
          <w:szCs w:val="28"/>
        </w:rPr>
        <w:t xml:space="preserve">2、赛前1个月公布比赛试题样题（包括赛题任务、评分标准）。 </w:t>
      </w:r>
    </w:p>
    <w:p>
      <w:pPr>
        <w:widowControl/>
        <w:ind w:firstLine="560" w:firstLineChars="200"/>
        <w:jc w:val="left"/>
        <w:rPr>
          <w:rFonts w:ascii="仿宋_GB2312" w:eastAsia="仿宋_GB2312"/>
          <w:sz w:val="28"/>
          <w:szCs w:val="28"/>
        </w:rPr>
      </w:pPr>
      <w:r>
        <w:rPr>
          <w:rFonts w:hint="eastAsia" w:ascii="仿宋_GB2312" w:eastAsia="仿宋_GB2312"/>
          <w:sz w:val="28"/>
          <w:szCs w:val="28"/>
        </w:rPr>
        <w:t xml:space="preserve">（四）命题方案 </w:t>
      </w:r>
    </w:p>
    <w:p>
      <w:pPr>
        <w:widowControl/>
        <w:ind w:firstLine="560" w:firstLineChars="200"/>
        <w:jc w:val="left"/>
        <w:rPr>
          <w:rFonts w:ascii="仿宋_GB2312" w:eastAsia="仿宋_GB2312"/>
          <w:sz w:val="28"/>
          <w:szCs w:val="28"/>
        </w:rPr>
      </w:pPr>
      <w:r>
        <w:rPr>
          <w:rFonts w:hint="eastAsia" w:ascii="仿宋_GB2312" w:eastAsia="仿宋_GB2312"/>
          <w:sz w:val="28"/>
          <w:szCs w:val="28"/>
        </w:rPr>
        <w:t xml:space="preserve">本赛项试题不提前公开，全部采用封闭命题的形式，参与试题开发专家须事先签订保密协议，但参赛队的专家或者与选手有利益关系的专家不能参与试题开发工作。所有评分标准与评分表需在赛前密封，由组委会制定部门及人员保管。 </w:t>
      </w:r>
    </w:p>
    <w:p>
      <w:pPr>
        <w:rPr>
          <w:rFonts w:ascii="黑体" w:hAnsi="黑体" w:eastAsia="黑体"/>
          <w:sz w:val="28"/>
          <w:szCs w:val="28"/>
        </w:rPr>
      </w:pPr>
    </w:p>
    <w:p>
      <w:pPr>
        <w:rPr>
          <w:rFonts w:ascii="黑体" w:hAnsi="黑体" w:eastAsia="黑体"/>
          <w:sz w:val="28"/>
          <w:szCs w:val="28"/>
        </w:rPr>
      </w:pPr>
      <w:r>
        <w:rPr>
          <w:rFonts w:hint="eastAsia" w:ascii="黑体" w:hAnsi="黑体" w:eastAsia="黑体"/>
          <w:sz w:val="28"/>
          <w:szCs w:val="28"/>
        </w:rPr>
        <w:t>1.3竞赛方式</w:t>
      </w:r>
    </w:p>
    <w:p>
      <w:pPr>
        <w:spacing w:line="520" w:lineRule="exact"/>
        <w:ind w:firstLine="420" w:firstLineChars="150"/>
        <w:rPr>
          <w:rFonts w:ascii="仿宋_GB2312" w:eastAsia="仿宋_GB2312"/>
          <w:sz w:val="28"/>
          <w:szCs w:val="28"/>
        </w:rPr>
      </w:pPr>
      <w:r>
        <w:rPr>
          <w:rFonts w:hint="eastAsia" w:ascii="仿宋_GB2312" w:eastAsia="仿宋_GB2312"/>
          <w:sz w:val="28"/>
          <w:szCs w:val="28"/>
        </w:rPr>
        <w:t>采取理论考试和技术实操方式进行竞赛，2个部分成绩按比例进行换算，总分100分制。</w:t>
      </w:r>
    </w:p>
    <w:p>
      <w:pPr>
        <w:pStyle w:val="2"/>
        <w:adjustRightInd w:val="0"/>
        <w:snapToGrid w:val="0"/>
        <w:spacing w:line="360" w:lineRule="auto"/>
        <w:ind w:left="210" w:leftChars="100" w:firstLine="480"/>
        <w:jc w:val="both"/>
        <w:rPr>
          <w:rFonts w:ascii="楷体" w:hAnsi="楷体" w:eastAsia="楷体" w:cs="楷体"/>
          <w:kern w:val="2"/>
        </w:rPr>
      </w:pPr>
    </w:p>
    <w:p>
      <w:pPr>
        <w:rPr>
          <w:rFonts w:ascii="黑体" w:hAnsi="黑体" w:eastAsia="黑体"/>
          <w:sz w:val="28"/>
          <w:szCs w:val="28"/>
        </w:rPr>
      </w:pPr>
      <w:r>
        <w:rPr>
          <w:rFonts w:hint="eastAsia" w:ascii="黑体" w:hAnsi="黑体" w:eastAsia="黑体"/>
          <w:sz w:val="28"/>
          <w:szCs w:val="28"/>
        </w:rPr>
        <w:t>1.4竞赛时间</w:t>
      </w:r>
    </w:p>
    <w:p>
      <w:pPr>
        <w:pStyle w:val="2"/>
        <w:numPr>
          <w:ilvl w:val="0"/>
          <w:numId w:val="2"/>
        </w:numPr>
        <w:adjustRightInd w:val="0"/>
        <w:snapToGrid w:val="0"/>
        <w:spacing w:line="360" w:lineRule="auto"/>
        <w:ind w:firstLine="560" w:firstLineChars="200"/>
        <w:jc w:val="both"/>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每名选手理论竞赛时间</w:t>
      </w:r>
      <w:r>
        <w:rPr>
          <w:rFonts w:ascii="仿宋_GB2312" w:hAnsi="仿宋_GB2312" w:eastAsia="仿宋_GB2312" w:cs="仿宋_GB2312"/>
          <w:color w:val="000000"/>
          <w:sz w:val="28"/>
          <w:szCs w:val="28"/>
        </w:rPr>
        <w:t>4</w:t>
      </w:r>
      <w:r>
        <w:rPr>
          <w:rFonts w:hint="eastAsia" w:ascii="仿宋_GB2312" w:hAnsi="仿宋_GB2312" w:eastAsia="仿宋_GB2312" w:cs="仿宋_GB2312"/>
          <w:color w:val="000000"/>
          <w:sz w:val="28"/>
          <w:szCs w:val="28"/>
        </w:rPr>
        <w:t>5分钟。</w:t>
      </w:r>
    </w:p>
    <w:p>
      <w:pPr>
        <w:pStyle w:val="2"/>
        <w:numPr>
          <w:ilvl w:val="0"/>
          <w:numId w:val="2"/>
        </w:numPr>
        <w:adjustRightInd w:val="0"/>
        <w:snapToGrid w:val="0"/>
        <w:spacing w:line="360" w:lineRule="auto"/>
        <w:ind w:firstLine="560" w:firstLineChars="200"/>
        <w:jc w:val="both"/>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操作技能比赛总时间</w:t>
      </w:r>
      <w:r>
        <w:rPr>
          <w:rFonts w:hint="eastAsia" w:ascii="仿宋_GB2312" w:hAnsi="仿宋_GB2312" w:eastAsia="仿宋_GB2312" w:cs="仿宋_GB2312"/>
          <w:color w:val="000000"/>
          <w:sz w:val="28"/>
          <w:szCs w:val="28"/>
          <w:lang w:val="en-US" w:eastAsia="zh-CN"/>
        </w:rPr>
        <w:t>135</w:t>
      </w:r>
      <w:r>
        <w:rPr>
          <w:rFonts w:hint="eastAsia" w:ascii="仿宋_GB2312" w:hAnsi="仿宋_GB2312" w:eastAsia="仿宋_GB2312" w:cs="仿宋_GB2312"/>
          <w:color w:val="000000"/>
          <w:sz w:val="28"/>
          <w:szCs w:val="28"/>
        </w:rPr>
        <w:t>分钟。</w:t>
      </w:r>
    </w:p>
    <w:p>
      <w:pPr>
        <w:pStyle w:val="2"/>
        <w:adjustRightInd w:val="0"/>
        <w:snapToGrid w:val="0"/>
        <w:spacing w:line="360" w:lineRule="auto"/>
        <w:jc w:val="both"/>
        <w:rPr>
          <w:rFonts w:ascii="仿宋_GB2312" w:hAnsi="仿宋_GB2312" w:eastAsia="仿宋_GB2312" w:cs="仿宋_GB2312"/>
          <w:color w:val="000000"/>
          <w:sz w:val="28"/>
          <w:szCs w:val="28"/>
        </w:rPr>
      </w:pPr>
    </w:p>
    <w:p>
      <w:pPr>
        <w:rPr>
          <w:rFonts w:ascii="黑体" w:hAnsi="黑体" w:eastAsia="黑体"/>
          <w:sz w:val="28"/>
          <w:szCs w:val="28"/>
        </w:rPr>
      </w:pPr>
      <w:r>
        <w:rPr>
          <w:rFonts w:hint="eastAsia" w:ascii="黑体" w:hAnsi="黑体" w:eastAsia="黑体"/>
          <w:sz w:val="28"/>
          <w:szCs w:val="28"/>
        </w:rPr>
        <w:t>1.5配分比例</w:t>
      </w:r>
    </w:p>
    <w:tbl>
      <w:tblPr>
        <w:tblStyle w:val="20"/>
        <w:tblW w:w="8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21"/>
        <w:gridCol w:w="825"/>
        <w:gridCol w:w="3772"/>
        <w:gridCol w:w="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1" w:type="dxa"/>
            <w:vAlign w:val="center"/>
          </w:tcPr>
          <w:p>
            <w:pPr>
              <w:spacing w:line="400" w:lineRule="exact"/>
              <w:jc w:val="center"/>
              <w:rPr>
                <w:rFonts w:ascii="仿宋_GB2312" w:eastAsia="仿宋_GB2312"/>
                <w:sz w:val="24"/>
              </w:rPr>
            </w:pPr>
            <w:r>
              <w:rPr>
                <w:rFonts w:hint="eastAsia" w:ascii="仿宋_GB2312" w:hAnsi="仿宋_GB2312" w:eastAsia="仿宋_GB2312" w:cs="仿宋_GB2312"/>
                <w:color w:val="000000"/>
                <w:kern w:val="0"/>
                <w:sz w:val="28"/>
                <w:szCs w:val="28"/>
              </w:rPr>
              <w:t>比赛项目</w:t>
            </w:r>
          </w:p>
        </w:tc>
        <w:tc>
          <w:tcPr>
            <w:tcW w:w="825" w:type="dxa"/>
            <w:vAlign w:val="center"/>
          </w:tcPr>
          <w:p>
            <w:pPr>
              <w:spacing w:line="400" w:lineRule="exact"/>
              <w:jc w:val="center"/>
              <w:rPr>
                <w:rFonts w:ascii="仿宋_GB2312" w:eastAsia="仿宋_GB2312"/>
                <w:sz w:val="24"/>
              </w:rPr>
            </w:pPr>
            <w:r>
              <w:rPr>
                <w:rFonts w:hint="eastAsia" w:ascii="仿宋_GB2312" w:eastAsia="仿宋_GB2312"/>
                <w:sz w:val="24"/>
              </w:rPr>
              <w:t>比赛内容</w:t>
            </w:r>
          </w:p>
        </w:tc>
        <w:tc>
          <w:tcPr>
            <w:tcW w:w="3772" w:type="dxa"/>
            <w:vAlign w:val="center"/>
          </w:tcPr>
          <w:p>
            <w:pPr>
              <w:spacing w:line="400" w:lineRule="exact"/>
              <w:jc w:val="center"/>
              <w:rPr>
                <w:rFonts w:ascii="仿宋_GB2312" w:eastAsia="仿宋_GB2312"/>
                <w:b/>
                <w:bCs/>
                <w:sz w:val="24"/>
              </w:rPr>
            </w:pPr>
            <w:r>
              <w:rPr>
                <w:rFonts w:hint="eastAsia" w:ascii="仿宋_GB2312" w:hAnsi="仿宋_GB2312" w:eastAsia="仿宋_GB2312" w:cs="仿宋_GB2312"/>
                <w:color w:val="000000"/>
                <w:kern w:val="0"/>
                <w:sz w:val="28"/>
                <w:szCs w:val="28"/>
              </w:rPr>
              <w:t>评判要点</w:t>
            </w:r>
          </w:p>
        </w:tc>
        <w:tc>
          <w:tcPr>
            <w:tcW w:w="757" w:type="dxa"/>
            <w:vAlign w:val="center"/>
          </w:tcPr>
          <w:p>
            <w:pPr>
              <w:spacing w:line="400" w:lineRule="exact"/>
              <w:jc w:val="center"/>
              <w:rPr>
                <w:rFonts w:ascii="仿宋_GB2312" w:eastAsia="仿宋_GB2312"/>
                <w:sz w:val="24"/>
              </w:rPr>
            </w:pPr>
            <w:r>
              <w:rPr>
                <w:rFonts w:hint="eastAsia" w:ascii="仿宋_GB2312" w:eastAsia="仿宋_GB2312"/>
                <w:b/>
                <w:bCs/>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1" w:type="dxa"/>
            <w:vMerge w:val="restart"/>
            <w:vAlign w:val="center"/>
          </w:tcPr>
          <w:p>
            <w:pPr>
              <w:spacing w:line="400" w:lineRule="exact"/>
              <w:jc w:val="center"/>
              <w:rPr>
                <w:rFonts w:ascii="仿宋_GB2312" w:eastAsia="仿宋_GB2312"/>
                <w:sz w:val="24"/>
              </w:rPr>
            </w:pPr>
            <w:r>
              <w:rPr>
                <w:rFonts w:hint="eastAsia" w:ascii="仿宋_GB2312" w:eastAsia="仿宋_GB2312"/>
                <w:sz w:val="24"/>
              </w:rPr>
              <w:t>电子商务运营</w:t>
            </w:r>
          </w:p>
        </w:tc>
        <w:tc>
          <w:tcPr>
            <w:tcW w:w="825" w:type="dxa"/>
            <w:vMerge w:val="restart"/>
            <w:vAlign w:val="center"/>
          </w:tcPr>
          <w:p>
            <w:pPr>
              <w:spacing w:line="400" w:lineRule="exact"/>
              <w:jc w:val="center"/>
              <w:rPr>
                <w:rFonts w:ascii="仿宋_GB2312" w:eastAsia="仿宋_GB2312"/>
                <w:sz w:val="24"/>
              </w:rPr>
            </w:pPr>
            <w:r>
              <w:rPr>
                <w:rFonts w:hint="eastAsia" w:ascii="仿宋_GB2312" w:eastAsia="仿宋_GB2312"/>
                <w:sz w:val="24"/>
              </w:rPr>
              <w:t>理论考核</w:t>
            </w:r>
          </w:p>
        </w:tc>
        <w:tc>
          <w:tcPr>
            <w:tcW w:w="3772" w:type="dxa"/>
            <w:vAlign w:val="center"/>
          </w:tcPr>
          <w:p>
            <w:pPr>
              <w:spacing w:line="400" w:lineRule="exact"/>
              <w:jc w:val="center"/>
              <w:rPr>
                <w:rFonts w:ascii="仿宋_GB2312" w:eastAsia="仿宋_GB2312"/>
                <w:sz w:val="24"/>
              </w:rPr>
            </w:pPr>
            <w:r>
              <w:rPr>
                <w:rFonts w:hint="eastAsia" w:ascii="仿宋_GB2312" w:eastAsia="仿宋_GB2312"/>
                <w:sz w:val="24"/>
              </w:rPr>
              <w:t>单选题</w:t>
            </w:r>
          </w:p>
        </w:tc>
        <w:tc>
          <w:tcPr>
            <w:tcW w:w="757" w:type="dxa"/>
            <w:vAlign w:val="center"/>
          </w:tcPr>
          <w:p>
            <w:pPr>
              <w:spacing w:line="400" w:lineRule="exact"/>
              <w:jc w:val="center"/>
              <w:rPr>
                <w:rFonts w:ascii="仿宋_GB2312" w:eastAsia="仿宋_GB2312"/>
                <w:sz w:val="24"/>
              </w:rPr>
            </w:pPr>
            <w:r>
              <w:rPr>
                <w:rFonts w:hint="eastAsia" w:ascii="仿宋_GB2312" w:eastAsia="仿宋_GB2312"/>
                <w:sz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1" w:type="dxa"/>
            <w:vMerge w:val="continue"/>
          </w:tcPr>
          <w:p>
            <w:pPr>
              <w:spacing w:line="400" w:lineRule="exact"/>
              <w:rPr>
                <w:rFonts w:ascii="仿宋_GB2312" w:eastAsia="仿宋_GB2312"/>
                <w:sz w:val="24"/>
              </w:rPr>
            </w:pPr>
          </w:p>
        </w:tc>
        <w:tc>
          <w:tcPr>
            <w:tcW w:w="825" w:type="dxa"/>
            <w:vMerge w:val="continue"/>
            <w:vAlign w:val="center"/>
          </w:tcPr>
          <w:p>
            <w:pPr>
              <w:spacing w:line="400" w:lineRule="exact"/>
              <w:rPr>
                <w:rFonts w:ascii="仿宋_GB2312" w:eastAsia="仿宋_GB2312"/>
                <w:sz w:val="24"/>
              </w:rPr>
            </w:pPr>
          </w:p>
        </w:tc>
        <w:tc>
          <w:tcPr>
            <w:tcW w:w="3772" w:type="dxa"/>
            <w:vAlign w:val="center"/>
          </w:tcPr>
          <w:p>
            <w:pPr>
              <w:spacing w:line="400" w:lineRule="exact"/>
              <w:jc w:val="center"/>
              <w:rPr>
                <w:rFonts w:ascii="仿宋_GB2312" w:eastAsia="仿宋_GB2312"/>
                <w:sz w:val="24"/>
              </w:rPr>
            </w:pPr>
            <w:r>
              <w:rPr>
                <w:rFonts w:hint="eastAsia" w:ascii="仿宋_GB2312" w:eastAsia="仿宋_GB2312"/>
                <w:sz w:val="24"/>
              </w:rPr>
              <w:t>多选题</w:t>
            </w:r>
          </w:p>
        </w:tc>
        <w:tc>
          <w:tcPr>
            <w:tcW w:w="757" w:type="dxa"/>
            <w:vAlign w:val="center"/>
          </w:tcPr>
          <w:p>
            <w:pPr>
              <w:spacing w:line="400" w:lineRule="exact"/>
              <w:jc w:val="center"/>
              <w:rPr>
                <w:rFonts w:ascii="仿宋_GB2312" w:eastAsia="仿宋_GB2312"/>
                <w:sz w:val="24"/>
              </w:rPr>
            </w:pPr>
            <w:r>
              <w:rPr>
                <w:rFonts w:hint="eastAsia" w:ascii="仿宋_GB2312" w:eastAsia="仿宋_GB2312"/>
                <w:sz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21" w:type="dxa"/>
            <w:vMerge w:val="continue"/>
          </w:tcPr>
          <w:p>
            <w:pPr>
              <w:spacing w:line="400" w:lineRule="exact"/>
              <w:rPr>
                <w:rFonts w:ascii="仿宋_GB2312" w:eastAsia="仿宋_GB2312"/>
                <w:sz w:val="24"/>
              </w:rPr>
            </w:pPr>
          </w:p>
        </w:tc>
        <w:tc>
          <w:tcPr>
            <w:tcW w:w="825" w:type="dxa"/>
            <w:vMerge w:val="continue"/>
            <w:vAlign w:val="center"/>
          </w:tcPr>
          <w:p>
            <w:pPr>
              <w:spacing w:line="400" w:lineRule="exact"/>
              <w:rPr>
                <w:rFonts w:ascii="仿宋_GB2312" w:eastAsia="仿宋_GB2312"/>
                <w:sz w:val="24"/>
              </w:rPr>
            </w:pPr>
          </w:p>
        </w:tc>
        <w:tc>
          <w:tcPr>
            <w:tcW w:w="3772" w:type="dxa"/>
            <w:vAlign w:val="center"/>
          </w:tcPr>
          <w:p>
            <w:pPr>
              <w:spacing w:line="400" w:lineRule="exact"/>
              <w:jc w:val="center"/>
              <w:rPr>
                <w:rFonts w:ascii="仿宋_GB2312" w:eastAsia="仿宋_GB2312"/>
                <w:sz w:val="24"/>
              </w:rPr>
            </w:pPr>
            <w:r>
              <w:rPr>
                <w:rFonts w:hint="eastAsia" w:ascii="仿宋_GB2312" w:eastAsia="仿宋_GB2312"/>
                <w:sz w:val="24"/>
              </w:rPr>
              <w:t>判断题</w:t>
            </w:r>
          </w:p>
        </w:tc>
        <w:tc>
          <w:tcPr>
            <w:tcW w:w="757" w:type="dxa"/>
            <w:vAlign w:val="center"/>
          </w:tcPr>
          <w:p>
            <w:pPr>
              <w:spacing w:line="400" w:lineRule="exact"/>
              <w:jc w:val="center"/>
              <w:rPr>
                <w:rFonts w:ascii="仿宋_GB2312" w:eastAsia="仿宋_GB2312"/>
                <w:sz w:val="24"/>
              </w:rPr>
            </w:pPr>
            <w:r>
              <w:rPr>
                <w:rFonts w:hint="eastAsia" w:ascii="仿宋_GB2312" w:eastAsia="仿宋_GB2312"/>
                <w:sz w:val="24"/>
                <w:lang w:val="en-US" w:eastAsia="zh-CN"/>
              </w:rPr>
              <w:t>2</w:t>
            </w:r>
            <w:r>
              <w:rPr>
                <w:rFonts w:hint="eastAsia" w:ascii="仿宋_GB2312" w:eastAsia="仿宋_GB2312"/>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821" w:type="dxa"/>
            <w:vMerge w:val="continue"/>
          </w:tcPr>
          <w:p>
            <w:pPr>
              <w:spacing w:line="400" w:lineRule="exact"/>
              <w:rPr>
                <w:rFonts w:ascii="仿宋_GB2312" w:eastAsia="仿宋_GB2312"/>
                <w:sz w:val="24"/>
              </w:rPr>
            </w:pPr>
          </w:p>
        </w:tc>
        <w:tc>
          <w:tcPr>
            <w:tcW w:w="825" w:type="dxa"/>
            <w:vMerge w:val="continue"/>
            <w:vAlign w:val="center"/>
          </w:tcPr>
          <w:p>
            <w:pPr>
              <w:spacing w:line="400" w:lineRule="exact"/>
              <w:rPr>
                <w:rFonts w:ascii="仿宋_GB2312" w:eastAsia="仿宋_GB2312"/>
                <w:sz w:val="24"/>
              </w:rPr>
            </w:pPr>
          </w:p>
        </w:tc>
        <w:tc>
          <w:tcPr>
            <w:tcW w:w="3772" w:type="dxa"/>
            <w:vAlign w:val="center"/>
          </w:tcPr>
          <w:p>
            <w:pPr>
              <w:spacing w:line="400" w:lineRule="exact"/>
              <w:jc w:val="center"/>
              <w:rPr>
                <w:rFonts w:ascii="仿宋_GB2312" w:eastAsia="仿宋_GB2312"/>
                <w:sz w:val="24"/>
              </w:rPr>
            </w:pPr>
            <w:r>
              <w:rPr>
                <w:rFonts w:hint="eastAsia" w:ascii="仿宋_GB2312" w:eastAsia="仿宋_GB2312"/>
                <w:sz w:val="24"/>
              </w:rPr>
              <w:t>合计</w:t>
            </w:r>
          </w:p>
        </w:tc>
        <w:tc>
          <w:tcPr>
            <w:tcW w:w="757" w:type="dxa"/>
            <w:vAlign w:val="center"/>
          </w:tcPr>
          <w:p>
            <w:pPr>
              <w:spacing w:line="400" w:lineRule="exact"/>
              <w:jc w:val="center"/>
              <w:rPr>
                <w:rFonts w:ascii="仿宋_GB2312" w:eastAsia="仿宋_GB2312"/>
                <w:sz w:val="24"/>
              </w:rPr>
            </w:pPr>
            <w:r>
              <w:rPr>
                <w:rFonts w:hint="eastAsia" w:ascii="仿宋_GB2312" w:eastAsia="仿宋_GB2312"/>
                <w:sz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821" w:type="dxa"/>
            <w:vMerge w:val="continue"/>
          </w:tcPr>
          <w:p>
            <w:pPr>
              <w:spacing w:line="400" w:lineRule="exact"/>
              <w:rPr>
                <w:rFonts w:ascii="仿宋_GB2312" w:eastAsia="仿宋_GB2312"/>
                <w:sz w:val="24"/>
              </w:rPr>
            </w:pPr>
          </w:p>
        </w:tc>
        <w:tc>
          <w:tcPr>
            <w:tcW w:w="825" w:type="dxa"/>
            <w:vMerge w:val="restart"/>
            <w:vAlign w:val="center"/>
          </w:tcPr>
          <w:p>
            <w:pPr>
              <w:spacing w:line="400" w:lineRule="exact"/>
              <w:jc w:val="center"/>
              <w:rPr>
                <w:rFonts w:ascii="仿宋_GB2312" w:eastAsia="仿宋_GB2312"/>
                <w:sz w:val="24"/>
              </w:rPr>
            </w:pPr>
            <w:r>
              <w:rPr>
                <w:rFonts w:hint="eastAsia" w:ascii="仿宋_GB2312" w:eastAsia="仿宋_GB2312"/>
                <w:sz w:val="24"/>
              </w:rPr>
              <w:t>实操考核</w:t>
            </w:r>
          </w:p>
        </w:tc>
        <w:tc>
          <w:tcPr>
            <w:tcW w:w="3772" w:type="dxa"/>
            <w:vAlign w:val="center"/>
          </w:tcPr>
          <w:p>
            <w:pPr>
              <w:spacing w:line="400" w:lineRule="exact"/>
              <w:jc w:val="center"/>
              <w:rPr>
                <w:rFonts w:ascii="仿宋_GB2312" w:hAnsi="Times New Roman" w:eastAsia="仿宋_GB2312" w:cs="Times New Roman"/>
                <w:kern w:val="2"/>
                <w:sz w:val="24"/>
                <w:szCs w:val="24"/>
                <w:lang w:val="en-US" w:eastAsia="zh-CN" w:bidi="ar-SA"/>
              </w:rPr>
            </w:pPr>
            <w:r>
              <w:rPr>
                <w:rFonts w:hint="eastAsia" w:ascii="仿宋_GB2312" w:eastAsia="仿宋_GB2312"/>
                <w:sz w:val="24"/>
              </w:rPr>
              <w:t>客服服务</w:t>
            </w:r>
          </w:p>
        </w:tc>
        <w:tc>
          <w:tcPr>
            <w:tcW w:w="757" w:type="dxa"/>
            <w:vAlign w:val="center"/>
          </w:tcPr>
          <w:p>
            <w:pPr>
              <w:spacing w:line="400" w:lineRule="exact"/>
              <w:jc w:val="center"/>
              <w:rPr>
                <w:rFonts w:ascii="仿宋_GB2312" w:hAnsi="Times New Roman" w:eastAsia="仿宋_GB2312" w:cs="Times New Roman"/>
                <w:kern w:val="2"/>
                <w:sz w:val="24"/>
                <w:szCs w:val="24"/>
                <w:lang w:val="en-US" w:eastAsia="zh-CN" w:bidi="ar-SA"/>
              </w:rPr>
            </w:pPr>
            <w:r>
              <w:rPr>
                <w:rFonts w:ascii="仿宋_GB2312" w:eastAsia="仿宋_GB2312"/>
                <w:sz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821" w:type="dxa"/>
            <w:vMerge w:val="continue"/>
          </w:tcPr>
          <w:p>
            <w:pPr>
              <w:spacing w:line="400" w:lineRule="exact"/>
              <w:rPr>
                <w:rFonts w:ascii="仿宋_GB2312" w:eastAsia="仿宋_GB2312"/>
                <w:sz w:val="24"/>
              </w:rPr>
            </w:pPr>
          </w:p>
        </w:tc>
        <w:tc>
          <w:tcPr>
            <w:tcW w:w="825" w:type="dxa"/>
            <w:vMerge w:val="continue"/>
          </w:tcPr>
          <w:p>
            <w:pPr>
              <w:spacing w:line="400" w:lineRule="exact"/>
              <w:rPr>
                <w:rFonts w:ascii="仿宋_GB2312" w:eastAsia="仿宋_GB2312"/>
                <w:sz w:val="24"/>
              </w:rPr>
            </w:pPr>
          </w:p>
        </w:tc>
        <w:tc>
          <w:tcPr>
            <w:tcW w:w="3772" w:type="dxa"/>
            <w:vAlign w:val="center"/>
          </w:tcPr>
          <w:p>
            <w:pPr>
              <w:spacing w:line="360" w:lineRule="exact"/>
              <w:jc w:val="center"/>
              <w:rPr>
                <w:rFonts w:ascii="仿宋_GB2312" w:hAnsi="Times New Roman" w:eastAsia="仿宋_GB2312" w:cs="Times New Roman"/>
                <w:kern w:val="2"/>
                <w:sz w:val="24"/>
                <w:szCs w:val="24"/>
                <w:lang w:val="en-US" w:eastAsia="zh-CN" w:bidi="ar-SA"/>
              </w:rPr>
            </w:pPr>
            <w:r>
              <w:rPr>
                <w:rFonts w:hint="eastAsia" w:ascii="仿宋" w:hAnsi="仿宋" w:eastAsia="仿宋"/>
                <w:sz w:val="24"/>
              </w:rPr>
              <w:t>店铺数据分析与运营推广</w:t>
            </w:r>
          </w:p>
        </w:tc>
        <w:tc>
          <w:tcPr>
            <w:tcW w:w="757" w:type="dxa"/>
            <w:vAlign w:val="center"/>
          </w:tcPr>
          <w:p>
            <w:pPr>
              <w:spacing w:line="400" w:lineRule="exact"/>
              <w:jc w:val="center"/>
              <w:rPr>
                <w:rFonts w:ascii="仿宋_GB2312" w:hAnsi="Times New Roman" w:eastAsia="仿宋_GB2312" w:cs="Times New Roman"/>
                <w:kern w:val="2"/>
                <w:sz w:val="24"/>
                <w:szCs w:val="24"/>
                <w:lang w:val="en-US" w:eastAsia="zh-CN" w:bidi="ar-SA"/>
              </w:rPr>
            </w:pPr>
            <w:r>
              <w:rPr>
                <w:rFonts w:ascii="仿宋_GB2312" w:eastAsia="仿宋_GB2312"/>
                <w:sz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821" w:type="dxa"/>
            <w:vMerge w:val="continue"/>
          </w:tcPr>
          <w:p>
            <w:pPr>
              <w:spacing w:line="400" w:lineRule="exact"/>
              <w:rPr>
                <w:rFonts w:ascii="仿宋_GB2312" w:eastAsia="仿宋_GB2312"/>
                <w:sz w:val="24"/>
              </w:rPr>
            </w:pPr>
          </w:p>
        </w:tc>
        <w:tc>
          <w:tcPr>
            <w:tcW w:w="825" w:type="dxa"/>
            <w:vMerge w:val="continue"/>
          </w:tcPr>
          <w:p>
            <w:pPr>
              <w:spacing w:line="400" w:lineRule="exact"/>
              <w:rPr>
                <w:rFonts w:ascii="仿宋_GB2312" w:eastAsia="仿宋_GB2312"/>
                <w:sz w:val="24"/>
              </w:rPr>
            </w:pPr>
          </w:p>
        </w:tc>
        <w:tc>
          <w:tcPr>
            <w:tcW w:w="3772" w:type="dxa"/>
            <w:vAlign w:val="center"/>
          </w:tcPr>
          <w:p>
            <w:pPr>
              <w:spacing w:line="400" w:lineRule="exact"/>
              <w:jc w:val="center"/>
              <w:rPr>
                <w:rFonts w:ascii="仿宋_GB2312" w:hAnsi="Times New Roman" w:eastAsia="仿宋_GB2312" w:cs="Times New Roman"/>
                <w:kern w:val="2"/>
                <w:sz w:val="24"/>
                <w:szCs w:val="24"/>
                <w:lang w:val="en-US" w:eastAsia="zh-CN" w:bidi="ar-SA"/>
              </w:rPr>
            </w:pPr>
            <w:r>
              <w:rPr>
                <w:rFonts w:hint="eastAsia" w:ascii="仿宋_GB2312" w:eastAsia="仿宋_GB2312"/>
                <w:sz w:val="24"/>
              </w:rPr>
              <w:t>合计</w:t>
            </w:r>
          </w:p>
        </w:tc>
        <w:tc>
          <w:tcPr>
            <w:tcW w:w="757" w:type="dxa"/>
            <w:vAlign w:val="center"/>
          </w:tcPr>
          <w:p>
            <w:pPr>
              <w:spacing w:line="400" w:lineRule="exact"/>
              <w:jc w:val="center"/>
              <w:rPr>
                <w:rFonts w:ascii="仿宋_GB2312" w:hAnsi="Times New Roman" w:eastAsia="仿宋_GB2312" w:cs="Times New Roman"/>
                <w:kern w:val="2"/>
                <w:sz w:val="24"/>
                <w:szCs w:val="24"/>
                <w:lang w:val="en-US" w:eastAsia="zh-CN" w:bidi="ar-SA"/>
              </w:rPr>
            </w:pPr>
            <w:r>
              <w:rPr>
                <w:rFonts w:ascii="仿宋_GB2312" w:eastAsia="仿宋_GB2312"/>
                <w:sz w:val="24"/>
              </w:rPr>
              <w:t>3</w:t>
            </w:r>
            <w:r>
              <w:rPr>
                <w:rFonts w:hint="eastAsia" w:ascii="仿宋_GB2312" w:eastAsia="仿宋_GB2312"/>
                <w:sz w:val="24"/>
              </w:rPr>
              <w:t>00</w:t>
            </w:r>
          </w:p>
        </w:tc>
      </w:tr>
    </w:tbl>
    <w:p>
      <w:pPr>
        <w:rPr>
          <w:rFonts w:ascii="黑体" w:hAnsi="黑体" w:eastAsia="黑体"/>
          <w:sz w:val="28"/>
          <w:szCs w:val="28"/>
        </w:rPr>
      </w:pPr>
    </w:p>
    <w:p>
      <w:pPr>
        <w:rPr>
          <w:rFonts w:ascii="黑体" w:hAnsi="黑体" w:eastAsia="黑体"/>
          <w:sz w:val="28"/>
          <w:szCs w:val="28"/>
        </w:rPr>
      </w:pPr>
    </w:p>
    <w:p>
      <w:r>
        <w:rPr>
          <w:rFonts w:hint="eastAsia" w:ascii="黑体" w:hAnsi="黑体" w:eastAsia="黑体"/>
          <w:sz w:val="28"/>
          <w:szCs w:val="28"/>
        </w:rPr>
        <w:t>1.6考核方式</w:t>
      </w:r>
    </w:p>
    <w:p>
      <w:pPr>
        <w:widowControl/>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（1）理论考试：考前对已公布的试题进行不超过30%的修改、调整，选手通过线上机试系统完成理论考试，考试完成后由考试系统出具分数。</w:t>
      </w:r>
    </w:p>
    <w:p>
      <w:pPr>
        <w:widowControl/>
        <w:jc w:val="left"/>
        <w:rPr>
          <w:rFonts w:ascii="黑体" w:hAnsi="黑体" w:eastAsia="黑体"/>
          <w:sz w:val="28"/>
          <w:szCs w:val="28"/>
        </w:rPr>
      </w:pPr>
      <w:r>
        <w:rPr>
          <w:rFonts w:hint="eastAsia" w:ascii="仿宋_GB2312" w:hAnsi="仿宋_GB2312" w:eastAsia="仿宋_GB2312" w:cs="仿宋_GB2312"/>
          <w:color w:val="000000"/>
          <w:kern w:val="0"/>
          <w:sz w:val="28"/>
          <w:szCs w:val="28"/>
        </w:rPr>
        <w:t>（2）技术实操：在比赛开始时，向选手公布实操题目，选手按照试题要求现场进行设计操作。</w:t>
      </w:r>
    </w:p>
    <w:p>
      <w:pPr>
        <w:rPr>
          <w:rFonts w:ascii="黑体" w:hAnsi="黑体" w:eastAsia="黑体"/>
          <w:sz w:val="28"/>
          <w:szCs w:val="28"/>
        </w:rPr>
      </w:pPr>
    </w:p>
    <w:p>
      <w:pPr>
        <w:pStyle w:val="4"/>
        <w:numPr>
          <w:ilvl w:val="0"/>
          <w:numId w:val="0"/>
        </w:numPr>
        <w:snapToGrid w:val="0"/>
        <w:spacing w:before="0" w:after="0" w:line="360" w:lineRule="auto"/>
        <w:rPr>
          <w:rFonts w:ascii="黑体" w:hAnsi="黑体" w:eastAsia="黑体"/>
          <w:b w:val="0"/>
          <w:sz w:val="28"/>
          <w:szCs w:val="28"/>
        </w:rPr>
      </w:pPr>
      <w:bookmarkStart w:id="9" w:name="_Toc47976670"/>
      <w:bookmarkStart w:id="10" w:name="_Toc133163776"/>
      <w:r>
        <w:rPr>
          <w:rFonts w:hint="eastAsia" w:ascii="黑体" w:hAnsi="黑体" w:eastAsia="黑体"/>
          <w:b w:val="0"/>
          <w:sz w:val="28"/>
          <w:szCs w:val="28"/>
        </w:rPr>
        <w:t>二、选手应具备的能力</w:t>
      </w:r>
      <w:bookmarkEnd w:id="9"/>
      <w:bookmarkEnd w:id="10"/>
    </w:p>
    <w:p>
      <w:pPr>
        <w:rPr>
          <w:rFonts w:ascii="黑体" w:hAnsi="黑体" w:eastAsia="黑体"/>
          <w:sz w:val="28"/>
          <w:szCs w:val="28"/>
        </w:rPr>
      </w:pPr>
      <w:r>
        <w:rPr>
          <w:rFonts w:hint="eastAsia" w:ascii="黑体" w:hAnsi="黑体" w:eastAsia="黑体"/>
          <w:sz w:val="28"/>
          <w:szCs w:val="28"/>
        </w:rPr>
        <w:t>2.1参赛选手应具备的技术能力</w:t>
      </w:r>
    </w:p>
    <w:tbl>
      <w:tblPr>
        <w:tblStyle w:val="20"/>
        <w:tblW w:w="501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能设计并管理客户忠诚度计划，提高客户忠诚度；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能分析客户流失的原因，制定挽回客户的策略，提高客户挽回率；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能制定社会化客户运营策略，提高用户活跃度和留存率；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能结合行业知识和日常客服问题，提取高频知识场景；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能根据智能客服配置规则，搭建智能客服知识库，提高智能客服机器人的正确率；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能通过数据分析和客户反馈，完善和优化智能客服知识库；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能通过与客户沟通，记录客户信息和客户反馈问题；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能运用常见数据分析工具，分析客户信息，进行客户分类；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能根据不同类别客户需求，提供差异化营销服务；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能解答客户售前、售中、售后咨询问题；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能提高店铺好评；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能处理客户退换货；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能够处理客户投诉。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确定商务数据分析目标；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根据数据分析目标制定数据采集与处理方案；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能制定市场调研计划；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能根据行业数据等进行行业的发展现状和趋势分析；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能根据消费者需求的特点，确定消费者需求的类型；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能根据消费者需求的类型，确定消费者的购买偏好；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能对消费者购买的影响因素进行分析，锁定需求；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能利用选品分析工具，筛选并确定目标商品；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能利用商品定价模型，对商品进行定价；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能利用数据分析选品；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能通过单品分析，选择销售表现差的商品，进行商品优化；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能根据店铺的运营策略，完成售后服务设置；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通过店铺流量数据分析提升店铺流量；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能制定店铺营销推广方案；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能根据品牌定位，制定品牌推广计划；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能根据推广策略，制定推广计划、推广组、推广创意、落地页等执行策略；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能根据推广策略进行推广计划搭建；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能对营销推广效果进行分析与评估；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能根据分析与评估结果，调整推广计划；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能根据营销定位制定营销目标；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能根据网络营销目标选择推广渠道；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sz w:val="24"/>
              </w:rPr>
            </w:pPr>
            <w:r>
              <w:rPr>
                <w:rFonts w:hint="eastAsia" w:ascii="仿宋" w:hAnsi="仿宋" w:eastAsia="仿宋"/>
                <w:sz w:val="24"/>
              </w:rPr>
              <w:t>能根据店铺运营策略设置店铺促销方案。</w:t>
            </w:r>
          </w:p>
        </w:tc>
      </w:tr>
    </w:tbl>
    <w:p>
      <w:pPr>
        <w:pStyle w:val="2"/>
        <w:adjustRightInd w:val="0"/>
        <w:snapToGrid w:val="0"/>
        <w:spacing w:line="360" w:lineRule="auto"/>
        <w:ind w:left="420" w:leftChars="200"/>
        <w:jc w:val="both"/>
        <w:rPr>
          <w:rFonts w:ascii="楷体" w:hAnsi="楷体" w:eastAsia="楷体" w:cs="楷体"/>
          <w:kern w:val="2"/>
        </w:rPr>
      </w:pPr>
    </w:p>
    <w:p>
      <w:pPr>
        <w:rPr>
          <w:rFonts w:ascii="黑体" w:hAnsi="黑体" w:eastAsia="黑体"/>
          <w:sz w:val="28"/>
          <w:szCs w:val="28"/>
        </w:rPr>
      </w:pPr>
      <w:bookmarkStart w:id="11" w:name="_Toc30605_WPSOffice_Level2"/>
      <w:bookmarkStart w:id="12" w:name="_Toc12019865"/>
      <w:r>
        <w:rPr>
          <w:rFonts w:hint="eastAsia" w:ascii="黑体" w:hAnsi="黑体" w:eastAsia="黑体"/>
          <w:sz w:val="28"/>
          <w:szCs w:val="28"/>
        </w:rPr>
        <w:t>2.2参赛选手应掌握的基本知识</w:t>
      </w:r>
      <w:bookmarkEnd w:id="11"/>
      <w:bookmarkEnd w:id="12"/>
    </w:p>
    <w:p>
      <w:pPr>
        <w:rPr>
          <w:rFonts w:ascii="黑体" w:hAnsi="黑体" w:eastAsia="黑体" w:cs="黑体"/>
          <w:b/>
          <w:bCs/>
          <w:sz w:val="22"/>
          <w:szCs w:val="28"/>
        </w:rPr>
      </w:pPr>
      <w:bookmarkStart w:id="13" w:name="_Toc29281"/>
      <w:r>
        <w:rPr>
          <w:rFonts w:hint="eastAsia" w:ascii="黑体" w:hAnsi="黑体" w:eastAsia="黑体" w:cs="黑体"/>
          <w:b/>
          <w:bCs/>
          <w:sz w:val="22"/>
          <w:szCs w:val="28"/>
        </w:rPr>
        <w:t>（一）职业道德</w:t>
      </w:r>
      <w:bookmarkEnd w:id="13"/>
    </w:p>
    <w:p>
      <w:pPr>
        <w:rPr>
          <w:rFonts w:ascii="黑体" w:hAnsi="黑体" w:eastAsia="黑体" w:cs="黑体"/>
          <w:b/>
          <w:bCs/>
          <w:sz w:val="22"/>
          <w:szCs w:val="28"/>
        </w:rPr>
      </w:pPr>
      <w:bookmarkStart w:id="14" w:name="_Toc28335"/>
      <w:r>
        <w:rPr>
          <w:rFonts w:hint="eastAsia" w:ascii="黑体" w:hAnsi="黑体" w:eastAsia="黑体" w:cs="黑体"/>
          <w:b/>
          <w:bCs/>
          <w:sz w:val="22"/>
          <w:szCs w:val="28"/>
        </w:rPr>
        <w:t>（1）职业道德基本规范</w:t>
      </w:r>
      <w:bookmarkEnd w:id="14"/>
    </w:p>
    <w:p>
      <w:pPr>
        <w:widowControl/>
        <w:ind w:firstLine="560" w:firstLine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1）爱岗敬业</w:t>
      </w:r>
    </w:p>
    <w:p>
      <w:pPr>
        <w:widowControl/>
        <w:ind w:firstLine="560" w:firstLine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2）诚实守信</w:t>
      </w:r>
    </w:p>
    <w:p>
      <w:pPr>
        <w:widowControl/>
        <w:ind w:firstLine="560" w:firstLine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3）办事公道</w:t>
      </w:r>
    </w:p>
    <w:p>
      <w:pPr>
        <w:widowControl/>
        <w:ind w:firstLine="560" w:firstLine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4）学以致用</w:t>
      </w:r>
    </w:p>
    <w:p>
      <w:pPr>
        <w:rPr>
          <w:rFonts w:ascii="黑体" w:hAnsi="黑体" w:eastAsia="黑体" w:cs="黑体"/>
          <w:b/>
          <w:bCs/>
          <w:sz w:val="22"/>
          <w:szCs w:val="28"/>
        </w:rPr>
      </w:pPr>
      <w:bookmarkStart w:id="15" w:name="_Toc10023"/>
      <w:r>
        <w:rPr>
          <w:rFonts w:hint="eastAsia" w:ascii="黑体" w:hAnsi="黑体" w:eastAsia="黑体" w:cs="黑体"/>
          <w:b/>
          <w:bCs/>
          <w:sz w:val="22"/>
          <w:szCs w:val="28"/>
        </w:rPr>
        <w:t>（2）职业道德职场守则</w:t>
      </w:r>
      <w:bookmarkEnd w:id="15"/>
    </w:p>
    <w:p>
      <w:pPr>
        <w:pStyle w:val="29"/>
        <w:widowControl/>
        <w:ind w:left="420" w:leftChars="200" w:firstLine="0" w:firstLineChars="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爱岗敬业，安岗乐业、精业笃行、勤业竭诚。</w:t>
      </w:r>
    </w:p>
    <w:p>
      <w:pPr>
        <w:pStyle w:val="29"/>
        <w:widowControl/>
        <w:ind w:left="420" w:leftChars="200" w:firstLine="0" w:firstLineChars="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诚实守信，遵纪守法，工匠精神，保证质量。</w:t>
      </w:r>
    </w:p>
    <w:p>
      <w:pPr>
        <w:pStyle w:val="29"/>
        <w:widowControl/>
        <w:ind w:left="420" w:leftChars="200" w:firstLine="0" w:firstLineChars="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办事公道，客观公正，作风严谨，不谋私利。</w:t>
      </w:r>
    </w:p>
    <w:p>
      <w:pPr>
        <w:pStyle w:val="29"/>
        <w:widowControl/>
        <w:ind w:left="420" w:leftChars="200" w:firstLine="0" w:firstLineChars="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服务客户，礼貌待人，热情耐心，细致周到。</w:t>
      </w:r>
    </w:p>
    <w:p>
      <w:pPr>
        <w:pStyle w:val="29"/>
        <w:widowControl/>
        <w:ind w:left="420" w:leftChars="200" w:firstLine="0" w:firstLineChars="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奉献社会，一心为公，清正廉明，甘当公仆。</w:t>
      </w:r>
    </w:p>
    <w:p>
      <w:pPr>
        <w:pStyle w:val="29"/>
        <w:widowControl/>
        <w:spacing w:line="360" w:lineRule="auto"/>
        <w:rPr>
          <w:rFonts w:cs="仿宋"/>
          <w:szCs w:val="21"/>
        </w:rPr>
      </w:pPr>
    </w:p>
    <w:p>
      <w:pPr>
        <w:rPr>
          <w:rFonts w:ascii="黑体" w:hAnsi="黑体" w:eastAsia="黑体" w:cs="黑体"/>
          <w:b/>
          <w:bCs/>
          <w:sz w:val="22"/>
          <w:szCs w:val="28"/>
        </w:rPr>
      </w:pPr>
      <w:bookmarkStart w:id="16" w:name="_Toc18763"/>
      <w:r>
        <w:rPr>
          <w:rFonts w:hint="eastAsia" w:ascii="黑体" w:hAnsi="黑体" w:eastAsia="黑体" w:cs="黑体"/>
          <w:b/>
          <w:bCs/>
          <w:sz w:val="22"/>
          <w:szCs w:val="28"/>
        </w:rPr>
        <w:t>（二）基础知识</w:t>
      </w:r>
      <w:bookmarkEnd w:id="16"/>
    </w:p>
    <w:p>
      <w:pPr>
        <w:widowControl/>
        <w:jc w:val="left"/>
        <w:rPr>
          <w:rFonts w:ascii="黑体" w:hAnsi="黑体" w:eastAsia="黑体" w:cs="黑体"/>
          <w:b/>
          <w:bCs/>
          <w:sz w:val="22"/>
          <w:szCs w:val="28"/>
        </w:rPr>
      </w:pPr>
      <w:bookmarkStart w:id="17" w:name="_Toc17705"/>
      <w:bookmarkStart w:id="18" w:name="_Hlk18942566"/>
      <w:r>
        <w:rPr>
          <w:rFonts w:hint="eastAsia" w:ascii="黑体" w:hAnsi="黑体" w:eastAsia="黑体" w:cs="黑体"/>
          <w:b/>
          <w:bCs/>
          <w:sz w:val="22"/>
          <w:szCs w:val="28"/>
        </w:rPr>
        <w:t>（1）</w:t>
      </w:r>
      <w:bookmarkEnd w:id="17"/>
      <w:r>
        <w:rPr>
          <w:rFonts w:hint="eastAsia" w:ascii="黑体" w:hAnsi="黑体" w:eastAsia="黑体" w:cs="黑体"/>
          <w:b/>
          <w:bCs/>
          <w:sz w:val="22"/>
          <w:szCs w:val="28"/>
        </w:rPr>
        <w:t>能掌握电子商务专业理论基础知识</w:t>
      </w:r>
    </w:p>
    <w:p>
      <w:pPr>
        <w:widowControl/>
        <w:ind w:left="420" w:left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1）《电子商务实务》</w:t>
      </w:r>
    </w:p>
    <w:p>
      <w:pPr>
        <w:widowControl/>
        <w:ind w:left="420" w:left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2）《网络营销基础》</w:t>
      </w:r>
    </w:p>
    <w:p>
      <w:pPr>
        <w:widowControl/>
        <w:ind w:left="420" w:left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3）《新媒体营销概论》</w:t>
      </w:r>
    </w:p>
    <w:p>
      <w:pPr>
        <w:widowControl/>
        <w:ind w:left="420" w:left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4）《跨境电商实务》</w:t>
      </w:r>
    </w:p>
    <w:p>
      <w:pPr>
        <w:widowControl/>
        <w:jc w:val="left"/>
        <w:rPr>
          <w:rFonts w:ascii="黑体" w:hAnsi="黑体" w:eastAsia="黑体" w:cs="黑体"/>
          <w:b/>
          <w:bCs/>
          <w:sz w:val="22"/>
          <w:szCs w:val="28"/>
        </w:rPr>
      </w:pPr>
      <w:bookmarkStart w:id="19" w:name="_Toc7135"/>
      <w:r>
        <w:rPr>
          <w:rFonts w:hint="eastAsia" w:ascii="黑体" w:hAnsi="黑体" w:eastAsia="黑体" w:cs="黑体"/>
          <w:b/>
          <w:bCs/>
          <w:sz w:val="22"/>
          <w:szCs w:val="28"/>
        </w:rPr>
        <w:t>（2）</w:t>
      </w:r>
      <w:bookmarkEnd w:id="19"/>
      <w:r>
        <w:rPr>
          <w:rFonts w:hint="eastAsia" w:ascii="黑体" w:hAnsi="黑体" w:eastAsia="黑体" w:cs="黑体"/>
          <w:b/>
          <w:bCs/>
          <w:sz w:val="22"/>
          <w:szCs w:val="28"/>
        </w:rPr>
        <w:t>能掌握电子商务专业岗位基础知识</w:t>
      </w:r>
    </w:p>
    <w:p>
      <w:pPr>
        <w:widowControl/>
        <w:ind w:left="420" w:left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1）《客服沟通技巧》</w:t>
      </w:r>
    </w:p>
    <w:p>
      <w:pPr>
        <w:widowControl/>
        <w:ind w:left="420" w:left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2）《图形图像制作》</w:t>
      </w:r>
    </w:p>
    <w:p>
      <w:pPr>
        <w:widowControl/>
        <w:ind w:left="420" w:left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3）《商品摄影与图片处理》</w:t>
      </w:r>
    </w:p>
    <w:p>
      <w:pPr>
        <w:widowControl/>
        <w:ind w:left="420" w:left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4）《视频剪辑与后期处理》</w:t>
      </w:r>
    </w:p>
    <w:p>
      <w:pPr>
        <w:widowControl/>
        <w:ind w:left="420" w:left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5）《网络编辑》</w:t>
      </w:r>
    </w:p>
    <w:p>
      <w:pPr>
        <w:rPr>
          <w:rFonts w:ascii="黑体" w:hAnsi="黑体" w:eastAsia="黑体" w:cs="黑体"/>
          <w:b/>
          <w:bCs/>
          <w:sz w:val="22"/>
          <w:szCs w:val="28"/>
        </w:rPr>
      </w:pPr>
      <w:bookmarkStart w:id="20" w:name="_Toc9533"/>
      <w:r>
        <w:rPr>
          <w:rFonts w:hint="eastAsia" w:ascii="黑体" w:hAnsi="黑体" w:eastAsia="黑体" w:cs="黑体"/>
          <w:b/>
          <w:bCs/>
          <w:sz w:val="22"/>
          <w:szCs w:val="28"/>
        </w:rPr>
        <w:t>（3）客户服务基础知识</w:t>
      </w:r>
      <w:bookmarkEnd w:id="20"/>
    </w:p>
    <w:p>
      <w:pPr>
        <w:pStyle w:val="29"/>
        <w:widowControl/>
        <w:ind w:left="420" w:leftChars="200" w:firstLine="0" w:firstLineChars="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1）服务礼仪知识</w:t>
      </w:r>
    </w:p>
    <w:p>
      <w:pPr>
        <w:pStyle w:val="29"/>
        <w:widowControl/>
        <w:ind w:left="420" w:leftChars="200" w:firstLine="0" w:firstLineChars="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2）服务用语知识</w:t>
      </w:r>
    </w:p>
    <w:p>
      <w:pPr>
        <w:pStyle w:val="29"/>
        <w:widowControl/>
        <w:ind w:left="420" w:leftChars="200" w:firstLine="0" w:firstLineChars="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3）服务营销知识</w:t>
      </w:r>
    </w:p>
    <w:p>
      <w:pPr>
        <w:pStyle w:val="29"/>
        <w:widowControl/>
        <w:ind w:left="420" w:leftChars="200" w:firstLine="0" w:firstLineChars="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4）服务行业新技术、新渠道及发展趋势</w:t>
      </w:r>
    </w:p>
    <w:p>
      <w:pPr>
        <w:widowControl/>
        <w:jc w:val="left"/>
        <w:rPr>
          <w:rFonts w:ascii="黑体" w:hAnsi="黑体" w:eastAsia="黑体" w:cs="黑体"/>
          <w:b/>
          <w:bCs/>
          <w:sz w:val="22"/>
          <w:szCs w:val="28"/>
        </w:rPr>
      </w:pPr>
      <w:bookmarkStart w:id="21" w:name="_Toc23382"/>
      <w:r>
        <w:rPr>
          <w:rFonts w:hint="eastAsia" w:ascii="黑体" w:hAnsi="黑体" w:eastAsia="黑体" w:cs="黑体"/>
          <w:b/>
          <w:bCs/>
          <w:sz w:val="22"/>
          <w:szCs w:val="28"/>
        </w:rPr>
        <w:t>（4）</w:t>
      </w:r>
      <w:bookmarkEnd w:id="21"/>
      <w:r>
        <w:rPr>
          <w:rFonts w:hint="eastAsia" w:ascii="黑体" w:hAnsi="黑体" w:eastAsia="黑体" w:cs="黑体"/>
          <w:b/>
          <w:bCs/>
          <w:sz w:val="22"/>
          <w:szCs w:val="28"/>
        </w:rPr>
        <w:t>能掌握电子商务专业岗位核心知识</w:t>
      </w:r>
    </w:p>
    <w:p>
      <w:pPr>
        <w:pStyle w:val="29"/>
        <w:widowControl/>
        <w:ind w:left="420" w:leftChars="200" w:firstLine="0" w:firstLineChars="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1）《网络客服》</w:t>
      </w:r>
    </w:p>
    <w:p>
      <w:pPr>
        <w:pStyle w:val="29"/>
        <w:widowControl/>
        <w:ind w:left="420" w:leftChars="200" w:firstLine="0" w:firstLineChars="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2）《电商美工》</w:t>
      </w:r>
    </w:p>
    <w:p>
      <w:pPr>
        <w:pStyle w:val="29"/>
        <w:widowControl/>
        <w:ind w:left="420" w:leftChars="200" w:firstLine="0" w:firstLineChars="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3）《网店运营》</w:t>
      </w:r>
    </w:p>
    <w:p>
      <w:pPr>
        <w:pStyle w:val="29"/>
        <w:widowControl/>
        <w:ind w:left="420" w:leftChars="200" w:firstLine="0" w:firstLineChars="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4）《网络营销实战》</w:t>
      </w:r>
    </w:p>
    <w:p>
      <w:pPr>
        <w:pStyle w:val="29"/>
        <w:widowControl/>
        <w:ind w:left="420" w:leftChars="200" w:firstLine="0" w:firstLineChars="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bookmarkEnd w:id="18"/>
      <w:r>
        <w:rPr>
          <w:rFonts w:hint="eastAsia" w:ascii="仿宋_GB2312" w:hAnsi="仿宋_GB2312" w:eastAsia="仿宋_GB2312" w:cs="仿宋_GB2312"/>
          <w:color w:val="000000"/>
          <w:kern w:val="0"/>
          <w:sz w:val="28"/>
          <w:szCs w:val="28"/>
        </w:rPr>
        <w:t>《新媒体运营》</w:t>
      </w:r>
    </w:p>
    <w:p>
      <w:pPr>
        <w:pStyle w:val="2"/>
        <w:adjustRightInd w:val="0"/>
        <w:snapToGrid w:val="0"/>
        <w:spacing w:line="360" w:lineRule="auto"/>
        <w:ind w:left="210" w:leftChars="100"/>
        <w:jc w:val="both"/>
        <w:rPr>
          <w:rFonts w:ascii="楷体" w:hAnsi="楷体" w:eastAsia="楷体" w:cs="楷体"/>
          <w:kern w:val="2"/>
        </w:rPr>
      </w:pPr>
    </w:p>
    <w:p>
      <w:bookmarkStart w:id="22" w:name="_Toc12019866"/>
      <w:bookmarkStart w:id="23" w:name="_Toc524171276"/>
      <w:bookmarkStart w:id="24" w:name="_Toc11658_WPSOffice_Level2"/>
      <w:r>
        <w:rPr>
          <w:rFonts w:hint="eastAsia" w:ascii="黑体" w:hAnsi="黑体" w:eastAsia="黑体"/>
          <w:sz w:val="28"/>
          <w:szCs w:val="28"/>
        </w:rPr>
        <w:t>2.3参赛选手的职业素养与安全要求</w:t>
      </w:r>
      <w:bookmarkEnd w:id="22"/>
      <w:bookmarkEnd w:id="23"/>
      <w:bookmarkEnd w:id="24"/>
    </w:p>
    <w:p>
      <w:pPr>
        <w:pStyle w:val="2"/>
        <w:adjustRightInd w:val="0"/>
        <w:snapToGrid w:val="0"/>
        <w:spacing w:line="360" w:lineRule="auto"/>
        <w:ind w:left="210" w:leftChars="100"/>
        <w:jc w:val="both"/>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1）具有以语言或文字方式有效地进行交流、表述的能力；</w:t>
      </w:r>
    </w:p>
    <w:p>
      <w:pPr>
        <w:pStyle w:val="2"/>
        <w:adjustRightInd w:val="0"/>
        <w:snapToGrid w:val="0"/>
        <w:spacing w:line="360" w:lineRule="auto"/>
        <w:ind w:left="210" w:leftChars="100"/>
        <w:jc w:val="both"/>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2）具有获取、领会和理解外界信息的能力、以及分析、推理和判断的能力。</w:t>
      </w:r>
    </w:p>
    <w:p>
      <w:pPr>
        <w:pStyle w:val="2"/>
        <w:adjustRightInd w:val="0"/>
        <w:snapToGrid w:val="0"/>
        <w:spacing w:line="360" w:lineRule="auto"/>
        <w:ind w:left="210" w:leftChars="100"/>
        <w:jc w:val="both"/>
        <w:rPr>
          <w:rFonts w:ascii="楷体" w:hAnsi="楷体" w:eastAsia="楷体" w:cs="楷体"/>
          <w:kern w:val="2"/>
        </w:rPr>
      </w:pPr>
    </w:p>
    <w:p>
      <w:pPr>
        <w:pStyle w:val="4"/>
        <w:numPr>
          <w:ilvl w:val="0"/>
          <w:numId w:val="0"/>
        </w:numPr>
        <w:snapToGrid w:val="0"/>
        <w:spacing w:before="0" w:after="0" w:line="360" w:lineRule="auto"/>
        <w:rPr>
          <w:rFonts w:ascii="黑体" w:hAnsi="黑体" w:eastAsia="黑体"/>
          <w:b w:val="0"/>
          <w:sz w:val="28"/>
          <w:szCs w:val="28"/>
        </w:rPr>
      </w:pPr>
      <w:bookmarkStart w:id="25" w:name="_Toc47976671"/>
      <w:bookmarkStart w:id="26" w:name="_Toc133163777"/>
      <w:r>
        <w:rPr>
          <w:rFonts w:hint="eastAsia" w:ascii="黑体" w:hAnsi="黑体" w:eastAsia="黑体"/>
          <w:b w:val="0"/>
          <w:sz w:val="28"/>
          <w:szCs w:val="28"/>
        </w:rPr>
        <w:t>三、竞赛内容</w:t>
      </w:r>
      <w:bookmarkEnd w:id="25"/>
      <w:bookmarkEnd w:id="26"/>
    </w:p>
    <w:p>
      <w:pPr>
        <w:rPr>
          <w:rFonts w:ascii="黑体" w:hAnsi="黑体" w:eastAsia="黑体"/>
          <w:sz w:val="28"/>
          <w:szCs w:val="28"/>
        </w:rPr>
      </w:pPr>
      <w:r>
        <w:rPr>
          <w:rFonts w:hint="eastAsia" w:ascii="黑体" w:hAnsi="黑体" w:eastAsia="黑体"/>
          <w:sz w:val="28"/>
          <w:szCs w:val="28"/>
        </w:rPr>
        <w:t>3.1命题原则</w:t>
      </w:r>
    </w:p>
    <w:p>
      <w:pPr>
        <w:pStyle w:val="2"/>
        <w:adjustRightInd w:val="0"/>
        <w:snapToGrid w:val="0"/>
        <w:spacing w:line="360" w:lineRule="auto"/>
        <w:ind w:left="210" w:leftChars="100" w:firstLine="560" w:firstLineChars="200"/>
        <w:jc w:val="both"/>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赛项</w:t>
      </w:r>
      <w:r>
        <w:rPr>
          <w:rFonts w:ascii="仿宋_GB2312" w:hAnsi="仿宋_GB2312" w:eastAsia="仿宋_GB2312" w:cs="仿宋_GB2312"/>
          <w:color w:val="000000"/>
          <w:sz w:val="28"/>
          <w:szCs w:val="28"/>
        </w:rPr>
        <w:t>组委会组织有关专家统一制定竞赛规则。竞赛</w:t>
      </w:r>
      <w:r>
        <w:rPr>
          <w:rFonts w:hint="eastAsia" w:ascii="仿宋_GB2312" w:hAnsi="仿宋_GB2312" w:eastAsia="仿宋_GB2312" w:cs="仿宋_GB2312"/>
          <w:color w:val="000000"/>
          <w:sz w:val="28"/>
          <w:szCs w:val="28"/>
        </w:rPr>
        <w:t>专家</w:t>
      </w:r>
      <w:r>
        <w:rPr>
          <w:rFonts w:ascii="仿宋_GB2312" w:hAnsi="仿宋_GB2312" w:eastAsia="仿宋_GB2312" w:cs="仿宋_GB2312"/>
          <w:color w:val="000000"/>
          <w:sz w:val="28"/>
          <w:szCs w:val="28"/>
        </w:rPr>
        <w:t>委员会负责本赛项的命题工作。</w:t>
      </w:r>
      <w:r>
        <w:rPr>
          <w:rFonts w:hint="eastAsia" w:ascii="仿宋_GB2312" w:hAnsi="仿宋_GB2312" w:eastAsia="仿宋_GB2312" w:cs="仿宋_GB2312"/>
          <w:color w:val="000000"/>
          <w:sz w:val="28"/>
          <w:szCs w:val="28"/>
        </w:rPr>
        <w:t>赛项</w:t>
      </w:r>
      <w:r>
        <w:rPr>
          <w:rFonts w:ascii="仿宋_GB2312" w:hAnsi="仿宋_GB2312" w:eastAsia="仿宋_GB2312" w:cs="仿宋_GB2312"/>
          <w:color w:val="000000"/>
          <w:sz w:val="28"/>
          <w:szCs w:val="28"/>
        </w:rPr>
        <w:t>建立</w:t>
      </w:r>
      <w:r>
        <w:rPr>
          <w:rFonts w:hint="eastAsia" w:ascii="仿宋_GB2312" w:hAnsi="仿宋_GB2312" w:eastAsia="仿宋_GB2312" w:cs="仿宋_GB2312"/>
          <w:color w:val="000000"/>
          <w:sz w:val="28"/>
          <w:szCs w:val="28"/>
        </w:rPr>
        <w:t>2套</w:t>
      </w:r>
      <w:r>
        <w:rPr>
          <w:rFonts w:ascii="仿宋_GB2312" w:hAnsi="仿宋_GB2312" w:eastAsia="仿宋_GB2312" w:cs="仿宋_GB2312"/>
          <w:color w:val="000000"/>
          <w:sz w:val="28"/>
          <w:szCs w:val="28"/>
        </w:rPr>
        <w:t>赛卷的赛题库。正式赛卷于竞赛当日，经赛卷随机排序后，在监督组的监督下由裁判长指定相关人员抽取正式赛卷与备用赛卷。</w:t>
      </w:r>
    </w:p>
    <w:p>
      <w:pPr>
        <w:pStyle w:val="2"/>
        <w:adjustRightInd w:val="0"/>
        <w:snapToGrid w:val="0"/>
        <w:spacing w:line="360" w:lineRule="auto"/>
        <w:jc w:val="both"/>
        <w:rPr>
          <w:rFonts w:ascii="楷体" w:hAnsi="楷体" w:eastAsia="楷体" w:cs="楷体"/>
          <w:kern w:val="2"/>
        </w:rPr>
      </w:pPr>
    </w:p>
    <w:p>
      <w:pPr>
        <w:rPr>
          <w:rFonts w:ascii="黑体" w:hAnsi="黑体" w:eastAsia="黑体"/>
          <w:sz w:val="28"/>
          <w:szCs w:val="28"/>
        </w:rPr>
      </w:pPr>
      <w:r>
        <w:rPr>
          <w:rFonts w:hint="eastAsia" w:ascii="黑体" w:hAnsi="黑体" w:eastAsia="黑体"/>
          <w:sz w:val="28"/>
          <w:szCs w:val="28"/>
        </w:rPr>
        <w:t>3.2命题方式</w:t>
      </w:r>
    </w:p>
    <w:p>
      <w:pPr>
        <w:widowControl/>
        <w:ind w:firstLine="560" w:firstLineChars="20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本项竞赛理论命题方式采用单选题，多选题，判断题和填空题模式。技术实操命题立足于当下电子商务热点行业场景进行命题设计。</w:t>
      </w:r>
    </w:p>
    <w:p/>
    <w:p>
      <w:pPr>
        <w:pStyle w:val="4"/>
        <w:numPr>
          <w:ilvl w:val="0"/>
          <w:numId w:val="3"/>
        </w:numPr>
        <w:snapToGrid w:val="0"/>
        <w:spacing w:before="0" w:after="0" w:line="360" w:lineRule="auto"/>
        <w:rPr>
          <w:rFonts w:ascii="黑体" w:hAnsi="黑体" w:eastAsia="黑体"/>
          <w:b w:val="0"/>
          <w:sz w:val="28"/>
          <w:szCs w:val="28"/>
        </w:rPr>
      </w:pPr>
      <w:bookmarkStart w:id="27" w:name="_Toc47976672"/>
      <w:bookmarkStart w:id="28" w:name="_Toc133163778"/>
      <w:r>
        <w:rPr>
          <w:rFonts w:hint="eastAsia" w:ascii="黑体" w:hAnsi="黑体" w:eastAsia="黑体"/>
          <w:b w:val="0"/>
          <w:sz w:val="28"/>
          <w:szCs w:val="28"/>
        </w:rPr>
        <w:t>评分</w:t>
      </w:r>
      <w:bookmarkEnd w:id="27"/>
      <w:r>
        <w:rPr>
          <w:rFonts w:hint="eastAsia" w:ascii="黑体" w:hAnsi="黑体" w:eastAsia="黑体"/>
          <w:b w:val="0"/>
          <w:sz w:val="28"/>
          <w:szCs w:val="28"/>
        </w:rPr>
        <w:t>方法与赛场管理</w:t>
      </w:r>
      <w:bookmarkEnd w:id="28"/>
    </w:p>
    <w:p>
      <w:pPr>
        <w:rPr>
          <w:rFonts w:ascii="黑体" w:hAnsi="黑体" w:eastAsia="黑体"/>
          <w:sz w:val="28"/>
          <w:szCs w:val="28"/>
        </w:rPr>
      </w:pPr>
      <w:r>
        <w:rPr>
          <w:rFonts w:hint="eastAsia" w:ascii="黑体" w:hAnsi="黑体" w:eastAsia="黑体"/>
          <w:sz w:val="28"/>
          <w:szCs w:val="28"/>
        </w:rPr>
        <w:t>4.1评分方法</w:t>
      </w:r>
    </w:p>
    <w:p>
      <w:pPr>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本赛项采用基于自动评分和主观评分规则，具体评分是根据评分表进行的，实际评分时由裁判长组织裁判按小组进行评分，裁判长不直接参与评分。</w:t>
      </w:r>
    </w:p>
    <w:p>
      <w:pPr>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竞赛评分由平台软件系统和裁判共同完成。客观评分由系统自动统计生成分数；人工评分部分，由多名评分裁判评分，去掉一个最高分和一个最低分，其余裁判打分的平均值作为相关模块/题目的最后得分。</w:t>
      </w:r>
    </w:p>
    <w:p>
      <w:pPr>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每个模块评分完成后，裁判长对M1、M2、M3模块成绩进行复核，复核正确后裁判长在原始记录评分表上签字。</w:t>
      </w:r>
    </w:p>
    <w:p>
      <w:pPr>
        <w:rPr>
          <w:rFonts w:ascii="黑体" w:hAnsi="黑体" w:eastAsia="黑体"/>
          <w:sz w:val="28"/>
          <w:szCs w:val="28"/>
        </w:rPr>
      </w:pPr>
    </w:p>
    <w:p>
      <w:pPr>
        <w:rPr>
          <w:rFonts w:ascii="黑体" w:hAnsi="黑体" w:eastAsia="黑体"/>
          <w:sz w:val="28"/>
          <w:szCs w:val="28"/>
        </w:rPr>
      </w:pPr>
      <w:r>
        <w:rPr>
          <w:rFonts w:hint="eastAsia" w:ascii="黑体" w:hAnsi="黑体" w:eastAsia="黑体"/>
          <w:sz w:val="28"/>
          <w:szCs w:val="28"/>
        </w:rPr>
        <w:t>4.2赛场管理</w:t>
      </w:r>
    </w:p>
    <w:p>
      <w:pPr>
        <w:spacing w:line="520" w:lineRule="exact"/>
        <w:ind w:firstLine="420" w:firstLineChars="150"/>
        <w:rPr>
          <w:rFonts w:ascii="仿宋_GB2312" w:eastAsia="仿宋_GB2312"/>
          <w:sz w:val="28"/>
          <w:szCs w:val="28"/>
        </w:rPr>
      </w:pPr>
      <w:r>
        <w:rPr>
          <w:rFonts w:hint="eastAsia" w:ascii="仿宋_GB2312" w:eastAsia="仿宋_GB2312"/>
          <w:sz w:val="28"/>
          <w:szCs w:val="28"/>
        </w:rPr>
        <w:t>（1）在确保竞赛不被干扰的前提下，赛场面向媒体、行业专家、指导教师开放。</w:t>
      </w:r>
    </w:p>
    <w:p>
      <w:pPr>
        <w:spacing w:line="520" w:lineRule="exact"/>
        <w:ind w:firstLine="420" w:firstLineChars="150"/>
        <w:rPr>
          <w:rFonts w:ascii="仿宋_GB2312" w:eastAsia="仿宋_GB2312"/>
          <w:sz w:val="28"/>
          <w:szCs w:val="28"/>
        </w:rPr>
      </w:pPr>
      <w:r>
        <w:rPr>
          <w:rFonts w:hint="eastAsia" w:ascii="仿宋_GB2312" w:eastAsia="仿宋_GB2312"/>
          <w:sz w:val="28"/>
          <w:szCs w:val="28"/>
        </w:rPr>
        <w:t>（2）卫生间、医疗、维修服务、补给站和垃圾分类回收点都在警戒线范围内，以确保大赛在相对安全的环境内进行，杜绝发生选手与外界交换信息、串通作弊的情形。</w:t>
      </w:r>
    </w:p>
    <w:p>
      <w:pPr>
        <w:spacing w:line="520" w:lineRule="exact"/>
        <w:ind w:firstLine="420" w:firstLineChars="150"/>
        <w:rPr>
          <w:rFonts w:ascii="仿宋_GB2312" w:eastAsia="仿宋_GB2312"/>
          <w:sz w:val="28"/>
          <w:szCs w:val="28"/>
        </w:rPr>
      </w:pPr>
      <w:r>
        <w:rPr>
          <w:rFonts w:hint="eastAsia" w:ascii="仿宋_GB2312" w:eastAsia="仿宋_GB2312"/>
          <w:sz w:val="28"/>
          <w:szCs w:val="28"/>
        </w:rPr>
        <w:t>（3）设置安全通道和警戒线，确保进入赛场的大赛参观、采访、视察的人员限定在安全区域内活动，以保证大赛安全有序进行。</w:t>
      </w:r>
    </w:p>
    <w:p>
      <w:pPr>
        <w:spacing w:line="520" w:lineRule="exact"/>
        <w:ind w:firstLine="420" w:firstLineChars="150"/>
        <w:rPr>
          <w:rFonts w:ascii="仿宋_GB2312" w:eastAsia="仿宋_GB2312"/>
          <w:sz w:val="28"/>
          <w:szCs w:val="28"/>
        </w:rPr>
      </w:pPr>
      <w:r>
        <w:rPr>
          <w:rFonts w:hint="eastAsia" w:ascii="仿宋_GB2312" w:eastAsia="仿宋_GB2312"/>
          <w:sz w:val="28"/>
          <w:szCs w:val="28"/>
        </w:rPr>
        <w:t>（4）疫情防控：按照江苏省疫情防控政策要求，设立赛场疫情隔离场所，成立疫情防控小组，配套疫情防控相关设备设施，保障健康安全办赛。</w:t>
      </w:r>
    </w:p>
    <w:p/>
    <w:p>
      <w:pPr>
        <w:pStyle w:val="4"/>
        <w:numPr>
          <w:ilvl w:val="0"/>
          <w:numId w:val="3"/>
        </w:numPr>
        <w:snapToGrid w:val="0"/>
        <w:spacing w:before="0" w:after="0" w:line="360" w:lineRule="auto"/>
        <w:rPr>
          <w:rFonts w:ascii="黑体" w:hAnsi="黑体" w:eastAsia="黑体"/>
          <w:b w:val="0"/>
          <w:sz w:val="28"/>
          <w:szCs w:val="28"/>
        </w:rPr>
      </w:pPr>
      <w:bookmarkStart w:id="29" w:name="_Toc47976673"/>
      <w:bookmarkStart w:id="30" w:name="_Toc133163779"/>
      <w:r>
        <w:rPr>
          <w:rFonts w:hint="eastAsia" w:ascii="黑体" w:hAnsi="黑体" w:eastAsia="黑体"/>
          <w:b w:val="0"/>
          <w:sz w:val="28"/>
          <w:szCs w:val="28"/>
        </w:rPr>
        <w:t>场地设施</w:t>
      </w:r>
      <w:bookmarkEnd w:id="29"/>
      <w:bookmarkEnd w:id="30"/>
    </w:p>
    <w:p>
      <w:pPr>
        <w:rPr>
          <w:rFonts w:ascii="黑体" w:hAnsi="黑体" w:eastAsia="黑体"/>
          <w:sz w:val="28"/>
          <w:szCs w:val="28"/>
        </w:rPr>
      </w:pPr>
      <w:r>
        <w:rPr>
          <w:rFonts w:hint="eastAsia" w:ascii="黑体" w:hAnsi="黑体" w:eastAsia="黑体"/>
          <w:sz w:val="28"/>
          <w:szCs w:val="28"/>
        </w:rPr>
        <w:t>5.1比赛场地</w:t>
      </w:r>
    </w:p>
    <w:p>
      <w:pPr>
        <w:spacing w:line="520" w:lineRule="exact"/>
        <w:ind w:firstLine="420" w:firstLineChars="150"/>
        <w:rPr>
          <w:rFonts w:ascii="仿宋_GB2312" w:eastAsia="仿宋_GB2312"/>
          <w:sz w:val="28"/>
          <w:szCs w:val="28"/>
        </w:rPr>
      </w:pPr>
      <w:r>
        <w:rPr>
          <w:rFonts w:hint="eastAsia" w:ascii="仿宋_GB2312" w:eastAsia="仿宋_GB2312"/>
          <w:sz w:val="28"/>
          <w:szCs w:val="28"/>
        </w:rPr>
        <w:t>竞赛场地设在空旷的大厅或者实训中心。</w:t>
      </w:r>
    </w:p>
    <w:p>
      <w:pPr>
        <w:rPr>
          <w:rFonts w:ascii="黑体" w:hAnsi="黑体" w:eastAsia="黑体"/>
          <w:sz w:val="28"/>
          <w:szCs w:val="28"/>
        </w:rPr>
      </w:pPr>
    </w:p>
    <w:p>
      <w:pPr>
        <w:rPr>
          <w:rFonts w:ascii="黑体" w:hAnsi="黑体" w:eastAsia="黑体"/>
          <w:sz w:val="28"/>
          <w:szCs w:val="28"/>
        </w:rPr>
      </w:pPr>
      <w:r>
        <w:rPr>
          <w:rFonts w:hint="eastAsia" w:ascii="黑体" w:hAnsi="黑体" w:eastAsia="黑体"/>
          <w:sz w:val="28"/>
          <w:szCs w:val="28"/>
        </w:rPr>
        <w:t>5.2比赛设施</w:t>
      </w:r>
    </w:p>
    <w:p>
      <w:pPr>
        <w:spacing w:line="520" w:lineRule="exact"/>
        <w:ind w:firstLine="420" w:firstLineChars="150"/>
        <w:rPr>
          <w:rFonts w:ascii="仿宋_GB2312" w:eastAsia="仿宋_GB2312"/>
          <w:sz w:val="28"/>
          <w:szCs w:val="28"/>
        </w:rPr>
      </w:pPr>
      <w:r>
        <w:rPr>
          <w:rFonts w:hint="eastAsia" w:ascii="仿宋_GB2312" w:eastAsia="仿宋_GB2312"/>
          <w:sz w:val="28"/>
          <w:szCs w:val="28"/>
        </w:rPr>
        <w:t>1.技能比赛场地：符合大赛规定配有监控装置。</w:t>
      </w:r>
    </w:p>
    <w:p>
      <w:pPr>
        <w:spacing w:line="520" w:lineRule="exact"/>
        <w:ind w:firstLine="420" w:firstLineChars="150"/>
        <w:rPr>
          <w:rFonts w:ascii="仿宋_GB2312" w:eastAsia="仿宋_GB2312"/>
          <w:sz w:val="28"/>
          <w:szCs w:val="28"/>
        </w:rPr>
      </w:pPr>
      <w:r>
        <w:rPr>
          <w:rFonts w:hint="eastAsia" w:ascii="仿宋_GB2312" w:eastAsia="仿宋_GB2312"/>
          <w:sz w:val="28"/>
          <w:szCs w:val="28"/>
        </w:rPr>
        <w:t>2.裁判休息室1间（裁判轮值休息）。</w:t>
      </w:r>
    </w:p>
    <w:p>
      <w:pPr>
        <w:spacing w:line="520" w:lineRule="exact"/>
        <w:ind w:firstLine="420" w:firstLineChars="150"/>
        <w:rPr>
          <w:rFonts w:ascii="仿宋_GB2312" w:eastAsia="仿宋_GB2312"/>
          <w:sz w:val="28"/>
          <w:szCs w:val="28"/>
        </w:rPr>
      </w:pPr>
      <w:r>
        <w:rPr>
          <w:rFonts w:hint="eastAsia" w:ascii="仿宋_GB2312" w:eastAsia="仿宋_GB2312"/>
          <w:sz w:val="28"/>
          <w:szCs w:val="28"/>
        </w:rPr>
        <w:t>3.赛务办公室1间（赛场附近，供大赛组委会、巡视员、仲裁人员使用）。</w:t>
      </w:r>
    </w:p>
    <w:p>
      <w:pPr>
        <w:spacing w:line="520" w:lineRule="exact"/>
        <w:ind w:firstLine="420" w:firstLineChars="150"/>
        <w:rPr>
          <w:rFonts w:ascii="仿宋_GB2312" w:eastAsia="仿宋_GB2312"/>
          <w:sz w:val="28"/>
          <w:szCs w:val="28"/>
        </w:rPr>
      </w:pPr>
      <w:r>
        <w:rPr>
          <w:rFonts w:hint="eastAsia" w:ascii="仿宋_GB2312" w:eastAsia="仿宋_GB2312"/>
          <w:sz w:val="28"/>
          <w:szCs w:val="28"/>
        </w:rPr>
        <w:t>4.技术支持办公室1间（赛场附近，技术支持人员使用）。</w:t>
      </w:r>
    </w:p>
    <w:p>
      <w:pPr>
        <w:spacing w:line="520" w:lineRule="exact"/>
        <w:ind w:firstLine="420" w:firstLineChars="150"/>
        <w:rPr>
          <w:rFonts w:ascii="黑体" w:hAnsi="黑体" w:eastAsia="黑体"/>
          <w:sz w:val="28"/>
          <w:szCs w:val="28"/>
        </w:rPr>
      </w:pPr>
      <w:r>
        <w:rPr>
          <w:rFonts w:hint="eastAsia" w:ascii="仿宋_GB2312" w:eastAsia="仿宋_GB2312"/>
          <w:sz w:val="28"/>
          <w:szCs w:val="28"/>
        </w:rPr>
        <w:t>5.纸张、笔、电脑、打印机、时钟等评分设施设备。</w:t>
      </w:r>
    </w:p>
    <w:p>
      <w:pPr>
        <w:rPr>
          <w:rFonts w:ascii="黑体" w:hAnsi="黑体" w:eastAsia="黑体"/>
          <w:sz w:val="28"/>
          <w:szCs w:val="28"/>
        </w:rPr>
      </w:pPr>
    </w:p>
    <w:p>
      <w:pPr>
        <w:pStyle w:val="4"/>
        <w:numPr>
          <w:ilvl w:val="0"/>
          <w:numId w:val="3"/>
        </w:numPr>
        <w:snapToGrid w:val="0"/>
        <w:spacing w:before="0" w:after="0" w:line="360" w:lineRule="auto"/>
        <w:rPr>
          <w:rFonts w:ascii="黑体" w:hAnsi="黑体" w:eastAsia="黑体"/>
          <w:b w:val="0"/>
          <w:sz w:val="28"/>
          <w:szCs w:val="28"/>
        </w:rPr>
      </w:pPr>
      <w:bookmarkStart w:id="31" w:name="_Toc133163780"/>
      <w:bookmarkStart w:id="32" w:name="_Toc47976674"/>
      <w:r>
        <w:rPr>
          <w:rFonts w:hint="eastAsia" w:ascii="黑体" w:hAnsi="黑体" w:eastAsia="黑体"/>
          <w:b w:val="0"/>
          <w:sz w:val="28"/>
          <w:szCs w:val="28"/>
        </w:rPr>
        <w:t>赛事纪律</w:t>
      </w:r>
      <w:bookmarkEnd w:id="31"/>
      <w:bookmarkEnd w:id="32"/>
    </w:p>
    <w:p>
      <w:pPr>
        <w:rPr>
          <w:rFonts w:ascii="黑体" w:hAnsi="黑体" w:eastAsia="黑体"/>
          <w:sz w:val="28"/>
          <w:szCs w:val="28"/>
        </w:rPr>
      </w:pPr>
      <w:r>
        <w:rPr>
          <w:rFonts w:hint="eastAsia" w:ascii="黑体" w:hAnsi="黑体" w:eastAsia="黑体"/>
          <w:sz w:val="28"/>
          <w:szCs w:val="28"/>
        </w:rPr>
        <w:t>6.1竞赛纪律</w:t>
      </w:r>
    </w:p>
    <w:p>
      <w:pPr>
        <w:spacing w:line="520" w:lineRule="exact"/>
        <w:ind w:firstLine="420" w:firstLineChars="150"/>
        <w:rPr>
          <w:rFonts w:ascii="仿宋_GB2312" w:eastAsia="仿宋_GB2312"/>
          <w:sz w:val="28"/>
          <w:szCs w:val="28"/>
        </w:rPr>
      </w:pPr>
      <w:r>
        <w:rPr>
          <w:rFonts w:hint="eastAsia" w:ascii="仿宋_GB2312" w:eastAsia="仿宋_GB2312"/>
          <w:sz w:val="28"/>
          <w:szCs w:val="28"/>
        </w:rPr>
        <w:t>1、本次竞赛将严格遵守公平、公正、公开的原则。竞赛组委会将采取多项措施，对竞赛标准、程序、方法及赛场规范管理，切实保证竞赛质量。对竞赛中出现的任何违规行为，一经查出严肃处理，并追究责任。</w:t>
      </w:r>
    </w:p>
    <w:p>
      <w:pPr>
        <w:spacing w:line="520" w:lineRule="exact"/>
        <w:ind w:firstLine="420" w:firstLineChars="150"/>
        <w:rPr>
          <w:rFonts w:ascii="仿宋_GB2312" w:eastAsia="仿宋_GB2312"/>
          <w:sz w:val="28"/>
          <w:szCs w:val="28"/>
        </w:rPr>
      </w:pPr>
      <w:r>
        <w:rPr>
          <w:rFonts w:hint="eastAsia" w:ascii="仿宋_GB2312" w:eastAsia="仿宋_GB2312"/>
          <w:sz w:val="28"/>
          <w:szCs w:val="28"/>
        </w:rPr>
        <w:t>2、要切实加强组织领导，加强赛场管理，严肃纪律，保证竞赛顺利进行。裁判员、监督人员及其他工作人员有舞弊行为的，除立即终止其竞赛工作资格外，还将以竞赛组委会的名义通报批评。</w:t>
      </w:r>
    </w:p>
    <w:p>
      <w:pPr>
        <w:spacing w:line="520" w:lineRule="exact"/>
        <w:ind w:firstLine="420" w:firstLineChars="150"/>
        <w:rPr>
          <w:rFonts w:ascii="仿宋_GB2312" w:eastAsia="仿宋_GB2312"/>
          <w:sz w:val="28"/>
          <w:szCs w:val="28"/>
        </w:rPr>
      </w:pPr>
      <w:r>
        <w:rPr>
          <w:rFonts w:hint="eastAsia" w:ascii="仿宋_GB2312" w:eastAsia="仿宋_GB2312"/>
          <w:sz w:val="28"/>
          <w:szCs w:val="28"/>
        </w:rPr>
        <w:t>3、参赛选手发现裁判员、监督人员及其他工作人员有舞弊行为的，要及时向竞赛组委会举报和揭发。</w:t>
      </w:r>
    </w:p>
    <w:p>
      <w:pPr>
        <w:spacing w:line="520" w:lineRule="exact"/>
        <w:ind w:firstLine="420" w:firstLineChars="150"/>
        <w:rPr>
          <w:rFonts w:ascii="仿宋_GB2312" w:eastAsia="仿宋_GB2312"/>
          <w:sz w:val="28"/>
          <w:szCs w:val="28"/>
        </w:rPr>
      </w:pPr>
      <w:r>
        <w:rPr>
          <w:rFonts w:hint="eastAsia" w:ascii="仿宋_GB2312" w:eastAsia="仿宋_GB2312"/>
          <w:sz w:val="28"/>
          <w:szCs w:val="28"/>
        </w:rPr>
        <w:t>4、工作人员和参赛选手要按规定的时间、地点、场次参加比赛，不得无故迟到、早退和自行其事。</w:t>
      </w:r>
    </w:p>
    <w:p>
      <w:pPr>
        <w:spacing w:line="520" w:lineRule="exact"/>
        <w:ind w:firstLine="420" w:firstLineChars="150"/>
        <w:rPr>
          <w:rFonts w:ascii="仿宋_GB2312" w:eastAsia="仿宋_GB2312"/>
          <w:sz w:val="28"/>
          <w:szCs w:val="28"/>
        </w:rPr>
      </w:pPr>
      <w:r>
        <w:rPr>
          <w:rFonts w:hint="eastAsia" w:ascii="仿宋_GB2312" w:eastAsia="仿宋_GB2312"/>
          <w:sz w:val="28"/>
          <w:szCs w:val="28"/>
        </w:rPr>
        <w:t>5、参赛选手需尊重裁判人员和监督人员，服从评判和管理，若有疑义，可向裁判长反映。</w:t>
      </w:r>
    </w:p>
    <w:p>
      <w:pPr>
        <w:spacing w:line="520" w:lineRule="exact"/>
        <w:ind w:firstLine="420" w:firstLineChars="150"/>
        <w:rPr>
          <w:rFonts w:ascii="仿宋_GB2312" w:eastAsia="仿宋_GB2312"/>
          <w:sz w:val="28"/>
          <w:szCs w:val="28"/>
        </w:rPr>
      </w:pPr>
      <w:r>
        <w:rPr>
          <w:rFonts w:hint="eastAsia" w:ascii="仿宋_GB2312" w:eastAsia="仿宋_GB2312"/>
          <w:sz w:val="28"/>
          <w:szCs w:val="28"/>
        </w:rPr>
        <w:t>6、要严格遵守竞赛作息时间，注意安全，讲究卫生，爱护公物。</w:t>
      </w:r>
    </w:p>
    <w:p>
      <w:pPr>
        <w:rPr>
          <w:rFonts w:ascii="黑体" w:hAnsi="黑体" w:eastAsia="黑体"/>
          <w:sz w:val="28"/>
          <w:szCs w:val="28"/>
        </w:rPr>
      </w:pPr>
    </w:p>
    <w:p>
      <w:pPr>
        <w:widowControl/>
        <w:jc w:val="left"/>
      </w:pPr>
      <w:r>
        <w:rPr>
          <w:rFonts w:hint="eastAsia"/>
          <w:b/>
          <w:bCs/>
          <w:color w:val="000000"/>
          <w:kern w:val="0"/>
          <w:sz w:val="32"/>
          <w:szCs w:val="32"/>
        </w:rPr>
        <w:t>6</w:t>
      </w:r>
      <w:r>
        <w:rPr>
          <w:b/>
          <w:bCs/>
          <w:color w:val="000000"/>
          <w:kern w:val="0"/>
          <w:sz w:val="32"/>
          <w:szCs w:val="32"/>
        </w:rPr>
        <w:t>.</w:t>
      </w:r>
      <w:r>
        <w:rPr>
          <w:rFonts w:hint="eastAsia"/>
          <w:b/>
          <w:bCs/>
          <w:color w:val="000000"/>
          <w:kern w:val="0"/>
          <w:sz w:val="32"/>
          <w:szCs w:val="32"/>
        </w:rPr>
        <w:t>2</w:t>
      </w:r>
      <w:r>
        <w:rPr>
          <w:b/>
          <w:bCs/>
          <w:color w:val="000000"/>
          <w:kern w:val="0"/>
          <w:sz w:val="32"/>
          <w:szCs w:val="32"/>
        </w:rPr>
        <w:t xml:space="preserve"> </w:t>
      </w:r>
      <w:r>
        <w:rPr>
          <w:rFonts w:hint="eastAsia" w:ascii="宋体" w:hAnsi="宋体" w:cs="宋体"/>
          <w:b/>
          <w:bCs/>
          <w:color w:val="000000"/>
          <w:kern w:val="0"/>
          <w:sz w:val="32"/>
          <w:szCs w:val="32"/>
        </w:rPr>
        <w:t>选手纪律</w:t>
      </w:r>
    </w:p>
    <w:p>
      <w:pPr>
        <w:tabs>
          <w:tab w:val="left" w:pos="6015"/>
        </w:tabs>
        <w:spacing w:line="492" w:lineRule="exact"/>
        <w:ind w:firstLine="560" w:firstLineChars="200"/>
        <w:rPr>
          <w:rFonts w:ascii="仿宋_GB2312" w:eastAsia="仿宋_GB2312"/>
          <w:sz w:val="28"/>
          <w:szCs w:val="28"/>
        </w:rPr>
      </w:pPr>
      <w:r>
        <w:rPr>
          <w:rFonts w:hint="eastAsia" w:ascii="仿宋_GB2312" w:eastAsia="仿宋_GB2312"/>
          <w:sz w:val="28"/>
          <w:szCs w:val="28"/>
        </w:rPr>
        <w:t>1、参赛选手需携带竞赛证件、身份证等证件进入赛场，并将手机关机。未带证件者，不得参赛。</w:t>
      </w:r>
    </w:p>
    <w:p>
      <w:pPr>
        <w:tabs>
          <w:tab w:val="left" w:pos="6015"/>
        </w:tabs>
        <w:spacing w:line="492" w:lineRule="exact"/>
        <w:ind w:firstLine="560" w:firstLineChars="200"/>
        <w:rPr>
          <w:rFonts w:ascii="仿宋_GB2312" w:eastAsia="仿宋_GB2312"/>
          <w:sz w:val="28"/>
          <w:szCs w:val="28"/>
        </w:rPr>
      </w:pPr>
      <w:r>
        <w:rPr>
          <w:rFonts w:hint="eastAsia" w:ascii="仿宋_GB2312" w:eastAsia="仿宋_GB2312"/>
          <w:sz w:val="28"/>
          <w:szCs w:val="28"/>
        </w:rPr>
        <w:t>2、理论考试开始前15分钟，选手凭证件进入规定考场，并将准考证身份证放在考桌左上角，以便监考人员查验。选手必须用黑色签字笔在试卷指定位置上作答，考试过程中，选手应独立完成答卷，不得左顾右盼、互借文具。</w:t>
      </w:r>
    </w:p>
    <w:p>
      <w:pPr>
        <w:tabs>
          <w:tab w:val="left" w:pos="6015"/>
        </w:tabs>
        <w:spacing w:line="492" w:lineRule="exact"/>
        <w:ind w:firstLine="560" w:firstLineChars="200"/>
        <w:rPr>
          <w:rFonts w:ascii="仿宋_GB2312" w:eastAsia="仿宋_GB2312"/>
          <w:sz w:val="28"/>
          <w:szCs w:val="28"/>
        </w:rPr>
      </w:pPr>
      <w:r>
        <w:rPr>
          <w:rFonts w:hint="eastAsia" w:ascii="仿宋_GB2312" w:eastAsia="仿宋_GB2312"/>
          <w:sz w:val="28"/>
          <w:szCs w:val="28"/>
        </w:rPr>
        <w:t>3、参赛选手必须按竞赛时间进入赛场，迟到30分钟者不得参加竞赛。</w:t>
      </w:r>
    </w:p>
    <w:p>
      <w:pPr>
        <w:tabs>
          <w:tab w:val="left" w:pos="6015"/>
        </w:tabs>
        <w:spacing w:line="492" w:lineRule="exact"/>
        <w:ind w:firstLine="560" w:firstLineChars="200"/>
        <w:rPr>
          <w:rFonts w:ascii="仿宋_GB2312" w:eastAsia="仿宋_GB2312"/>
          <w:sz w:val="28"/>
          <w:szCs w:val="28"/>
        </w:rPr>
      </w:pPr>
      <w:r>
        <w:rPr>
          <w:rFonts w:hint="eastAsia" w:ascii="仿宋_GB2312" w:eastAsia="仿宋_GB2312"/>
          <w:sz w:val="28"/>
          <w:szCs w:val="28"/>
        </w:rPr>
        <w:t>4、参赛选手在比赛开始前30分钟进入比赛候考区，在现场工作人员引导下，进行赛前准备，检查并确认所需物品。</w:t>
      </w:r>
    </w:p>
    <w:p>
      <w:pPr>
        <w:tabs>
          <w:tab w:val="left" w:pos="6015"/>
        </w:tabs>
        <w:spacing w:line="492" w:lineRule="exact"/>
        <w:ind w:firstLine="560" w:firstLineChars="200"/>
        <w:rPr>
          <w:rFonts w:ascii="仿宋_GB2312" w:eastAsia="仿宋_GB2312"/>
          <w:sz w:val="28"/>
          <w:szCs w:val="28"/>
        </w:rPr>
      </w:pPr>
      <w:r>
        <w:rPr>
          <w:rFonts w:hint="eastAsia" w:ascii="仿宋_GB2312" w:eastAsia="仿宋_GB2312"/>
          <w:sz w:val="28"/>
          <w:szCs w:val="28"/>
        </w:rPr>
        <w:t>5、裁判长宣布比赛开始，参赛选手方可进行操作，比赛开始计时。</w:t>
      </w:r>
    </w:p>
    <w:p>
      <w:pPr>
        <w:tabs>
          <w:tab w:val="left" w:pos="6015"/>
        </w:tabs>
        <w:spacing w:line="492" w:lineRule="exact"/>
        <w:ind w:firstLine="560" w:firstLineChars="200"/>
        <w:rPr>
          <w:rFonts w:ascii="仿宋_GB2312" w:eastAsia="仿宋_GB2312"/>
          <w:sz w:val="28"/>
          <w:szCs w:val="28"/>
        </w:rPr>
      </w:pPr>
      <w:r>
        <w:rPr>
          <w:rFonts w:hint="eastAsia" w:ascii="仿宋_GB2312" w:eastAsia="仿宋_GB2312"/>
          <w:sz w:val="28"/>
          <w:szCs w:val="28"/>
        </w:rPr>
        <w:t>6、竞赛在规定时间结束时，参赛选手应立即停止操作，不得以任何理由拖延竞赛时间，若提前结束比赛，应向裁判员举手示意，经裁判员同意后，视为结束比赛。</w:t>
      </w:r>
    </w:p>
    <w:p>
      <w:pPr>
        <w:tabs>
          <w:tab w:val="left" w:pos="6015"/>
        </w:tabs>
        <w:spacing w:line="492" w:lineRule="exact"/>
        <w:ind w:firstLine="560" w:firstLineChars="200"/>
        <w:rPr>
          <w:rFonts w:ascii="仿宋_GB2312" w:eastAsia="仿宋_GB2312"/>
          <w:sz w:val="28"/>
          <w:szCs w:val="28"/>
        </w:rPr>
      </w:pPr>
      <w:r>
        <w:rPr>
          <w:rFonts w:hint="eastAsia" w:ascii="仿宋_GB2312" w:eastAsia="仿宋_GB2312"/>
          <w:sz w:val="28"/>
          <w:szCs w:val="28"/>
        </w:rPr>
        <w:t>7、参赛人员应爱护赛场所有设施，自觉维持赛场环境卫生，操作设备应谨慎，不得违章操作，如遇损坏、丢失等现象照价赔偿。</w:t>
      </w:r>
    </w:p>
    <w:p>
      <w:pPr>
        <w:tabs>
          <w:tab w:val="left" w:pos="6015"/>
        </w:tabs>
        <w:spacing w:line="492" w:lineRule="exact"/>
        <w:ind w:firstLine="560" w:firstLineChars="200"/>
        <w:rPr>
          <w:rFonts w:ascii="仿宋_GB2312" w:eastAsia="仿宋_GB2312"/>
          <w:sz w:val="28"/>
          <w:szCs w:val="28"/>
        </w:rPr>
      </w:pPr>
      <w:r>
        <w:rPr>
          <w:rFonts w:hint="eastAsia" w:ascii="仿宋_GB2312" w:eastAsia="仿宋_GB2312"/>
          <w:sz w:val="28"/>
          <w:szCs w:val="28"/>
        </w:rPr>
        <w:t>8、比赛过程中，参赛选手须严格遵守操作规程，确保人身及设备安全，并接受裁判员的监督和警示，出现设备故障等问题时，参赛选手应请裁判员对故障处进行确认，对于因设备自身故障造成暂停和时间损失，由各评判小组对该参赛选手的比赛时间</w:t>
      </w:r>
    </w:p>
    <w:p>
      <w:pPr>
        <w:tabs>
          <w:tab w:val="left" w:pos="6015"/>
        </w:tabs>
        <w:spacing w:line="492" w:lineRule="exact"/>
        <w:ind w:firstLine="560" w:firstLineChars="200"/>
        <w:rPr>
          <w:rFonts w:ascii="仿宋_GB2312" w:eastAsia="仿宋_GB2312"/>
          <w:sz w:val="28"/>
          <w:szCs w:val="28"/>
        </w:rPr>
      </w:pPr>
      <w:r>
        <w:rPr>
          <w:rFonts w:hint="eastAsia" w:ascii="仿宋_GB2312" w:eastAsia="仿宋_GB2312"/>
          <w:sz w:val="28"/>
          <w:szCs w:val="28"/>
        </w:rPr>
        <w:t>酌情增补。</w:t>
      </w:r>
    </w:p>
    <w:p>
      <w:pPr>
        <w:tabs>
          <w:tab w:val="left" w:pos="6015"/>
        </w:tabs>
        <w:spacing w:line="492" w:lineRule="exact"/>
        <w:ind w:firstLine="560" w:firstLineChars="200"/>
        <w:rPr>
          <w:rFonts w:ascii="仿宋_GB2312" w:eastAsia="仿宋_GB2312"/>
          <w:sz w:val="28"/>
          <w:szCs w:val="28"/>
        </w:rPr>
      </w:pPr>
      <w:r>
        <w:rPr>
          <w:rFonts w:hint="eastAsia" w:ascii="仿宋_GB2312" w:eastAsia="仿宋_GB2312"/>
          <w:sz w:val="28"/>
          <w:szCs w:val="28"/>
        </w:rPr>
        <w:t>9、参赛选手应严格遵守竞赛规则和竞赛纪律，不得随意相互交谈或擅自离开赛场，自觉维护赛场秩序，如有特殊情况，需经裁判员或工作人员同意后作特殊处理。</w:t>
      </w:r>
    </w:p>
    <w:p>
      <w:pPr>
        <w:tabs>
          <w:tab w:val="left" w:pos="6015"/>
        </w:tabs>
        <w:spacing w:line="492" w:lineRule="exact"/>
        <w:ind w:firstLine="560" w:firstLineChars="200"/>
        <w:rPr>
          <w:rFonts w:ascii="仿宋_GB2312" w:eastAsia="仿宋_GB2312"/>
          <w:sz w:val="28"/>
          <w:szCs w:val="28"/>
        </w:rPr>
      </w:pPr>
      <w:r>
        <w:rPr>
          <w:rFonts w:hint="eastAsia" w:ascii="仿宋_GB2312" w:eastAsia="仿宋_GB2312"/>
          <w:sz w:val="28"/>
          <w:szCs w:val="28"/>
        </w:rPr>
        <w:t>10、参赛选手在竞赛过程中须主动配合评判工作，服从裁判员和竞赛工作人员的统一安排，如果对竞赛的裁决有异议，由裁判员报裁判长做出处理。</w:t>
      </w:r>
    </w:p>
    <w:p>
      <w:pPr>
        <w:tabs>
          <w:tab w:val="left" w:pos="6015"/>
        </w:tabs>
        <w:spacing w:line="492" w:lineRule="exact"/>
        <w:ind w:firstLine="560" w:firstLineChars="200"/>
        <w:rPr>
          <w:rFonts w:ascii="仿宋_GB2312" w:eastAsia="仿宋_GB2312"/>
          <w:sz w:val="28"/>
          <w:szCs w:val="28"/>
        </w:rPr>
      </w:pPr>
      <w:r>
        <w:rPr>
          <w:rFonts w:hint="eastAsia" w:ascii="仿宋_GB2312" w:eastAsia="仿宋_GB2312"/>
          <w:sz w:val="28"/>
          <w:szCs w:val="28"/>
        </w:rPr>
        <w:t>11、参赛选手在竞赛过程中，如遇问题需举手向裁判人员提问，选手之间相互询问按作弊行为处理，取消参赛资格。</w:t>
      </w:r>
    </w:p>
    <w:p>
      <w:pPr>
        <w:tabs>
          <w:tab w:val="left" w:pos="6015"/>
        </w:tabs>
        <w:spacing w:line="492" w:lineRule="exact"/>
        <w:ind w:firstLine="560" w:firstLineChars="200"/>
        <w:rPr>
          <w:rFonts w:ascii="仿宋_GB2312" w:eastAsia="仿宋_GB2312"/>
          <w:sz w:val="28"/>
          <w:szCs w:val="28"/>
        </w:rPr>
      </w:pPr>
      <w:r>
        <w:rPr>
          <w:rFonts w:hint="eastAsia" w:ascii="仿宋_GB2312" w:eastAsia="仿宋_GB2312"/>
          <w:sz w:val="28"/>
          <w:szCs w:val="28"/>
        </w:rPr>
        <w:t>12、竞赛过程中，凡弄虚作假、冒名顶替者，将取消其参赛资格，告知相关单位予以通报批评。</w:t>
      </w:r>
    </w:p>
    <w:p>
      <w:pPr>
        <w:tabs>
          <w:tab w:val="left" w:pos="6015"/>
        </w:tabs>
        <w:spacing w:line="492" w:lineRule="exact"/>
        <w:ind w:firstLine="560" w:firstLineChars="200"/>
        <w:rPr>
          <w:rFonts w:ascii="仿宋_GB2312" w:eastAsia="仿宋_GB2312"/>
          <w:sz w:val="28"/>
          <w:szCs w:val="28"/>
        </w:rPr>
      </w:pPr>
      <w:r>
        <w:rPr>
          <w:rFonts w:hint="eastAsia" w:ascii="仿宋_GB2312" w:eastAsia="仿宋_GB2312"/>
          <w:sz w:val="28"/>
          <w:szCs w:val="28"/>
        </w:rPr>
        <w:t>13、竞赛过程中，选手若需休息、饮水或去洗手间，一律计算在操作时间内。</w:t>
      </w:r>
    </w:p>
    <w:p>
      <w:pPr>
        <w:tabs>
          <w:tab w:val="left" w:pos="6015"/>
        </w:tabs>
        <w:spacing w:line="492" w:lineRule="exact"/>
        <w:ind w:firstLine="560" w:firstLineChars="200"/>
        <w:rPr>
          <w:rFonts w:ascii="仿宋_GB2312" w:eastAsia="仿宋_GB2312"/>
          <w:sz w:val="28"/>
          <w:szCs w:val="28"/>
        </w:rPr>
      </w:pPr>
      <w:r>
        <w:rPr>
          <w:rFonts w:hint="eastAsia" w:ascii="仿宋_GB2312" w:eastAsia="仿宋_GB2312"/>
          <w:sz w:val="28"/>
          <w:szCs w:val="28"/>
        </w:rPr>
        <w:t>14、比赛终了时间一到，一律停止操作，无视停止口令继续操作者成绩作废。</w:t>
      </w:r>
    </w:p>
    <w:p/>
    <w:p>
      <w:pPr>
        <w:rPr>
          <w:rFonts w:ascii="黑体" w:hAnsi="黑体" w:eastAsia="黑体"/>
          <w:sz w:val="28"/>
          <w:szCs w:val="28"/>
        </w:rPr>
      </w:pPr>
      <w:r>
        <w:rPr>
          <w:rFonts w:hint="eastAsia" w:ascii="黑体" w:hAnsi="黑体" w:eastAsia="黑体"/>
          <w:sz w:val="28"/>
          <w:szCs w:val="28"/>
        </w:rPr>
        <w:t>6.3裁判员纪律</w:t>
      </w:r>
    </w:p>
    <w:p>
      <w:pPr>
        <w:tabs>
          <w:tab w:val="left" w:pos="6015"/>
        </w:tabs>
        <w:spacing w:line="492" w:lineRule="exact"/>
        <w:ind w:firstLine="560" w:firstLineChars="200"/>
        <w:rPr>
          <w:rFonts w:ascii="仿宋_GB2312" w:eastAsia="仿宋_GB2312"/>
          <w:sz w:val="28"/>
          <w:szCs w:val="28"/>
        </w:rPr>
      </w:pPr>
      <w:r>
        <w:rPr>
          <w:rFonts w:hint="eastAsia" w:ascii="仿宋_GB2312" w:eastAsia="仿宋_GB2312"/>
          <w:sz w:val="28"/>
          <w:szCs w:val="28"/>
        </w:rPr>
        <w:t>1、裁判员在比赛前必须了解赛场情况及比赛规则和注意事项，不得泄露比赛的有关信息。</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2、赛前裁判员要集中学习有关文件，明确责任和分工，熟悉和掌握比赛的具体要求，严格遵守竞赛规则，做到评判公正，一视同仁。</w:t>
      </w:r>
    </w:p>
    <w:p>
      <w:pPr>
        <w:widowControl/>
        <w:spacing w:line="492" w:lineRule="exact"/>
        <w:ind w:firstLine="560" w:firstLineChars="200"/>
        <w:rPr>
          <w:rFonts w:ascii="仿宋_GB2312" w:eastAsia="仿宋_GB2312" w:cs="宋体"/>
          <w:kern w:val="0"/>
          <w:sz w:val="28"/>
          <w:szCs w:val="28"/>
        </w:rPr>
      </w:pPr>
      <w:r>
        <w:rPr>
          <w:rFonts w:hint="eastAsia" w:ascii="仿宋_GB2312" w:hAnsi="宋体" w:eastAsia="仿宋_GB2312" w:cs="宋体"/>
          <w:kern w:val="0"/>
          <w:sz w:val="28"/>
          <w:szCs w:val="28"/>
        </w:rPr>
        <w:t>3、裁判员应在工作前</w:t>
      </w:r>
      <w:r>
        <w:rPr>
          <w:rFonts w:hint="eastAsia" w:ascii="仿宋_GB2312" w:eastAsia="仿宋_GB2312"/>
          <w:kern w:val="0"/>
          <w:sz w:val="28"/>
          <w:szCs w:val="28"/>
        </w:rPr>
        <w:t>30</w:t>
      </w:r>
      <w:r>
        <w:rPr>
          <w:rFonts w:hint="eastAsia" w:ascii="仿宋_GB2312" w:hAnsi="宋体" w:eastAsia="仿宋_GB2312" w:cs="宋体"/>
          <w:kern w:val="0"/>
          <w:sz w:val="28"/>
          <w:szCs w:val="28"/>
        </w:rPr>
        <w:t>分钟到达比赛场地，佩戴好评判证，将手机处于关闭状态。裁判员应仪表整洁，语言举止文明礼貌，服从裁判长的领导，遵守评判职业道德，文明评判。</w:t>
      </w:r>
    </w:p>
    <w:p>
      <w:pPr>
        <w:widowControl/>
        <w:spacing w:line="492" w:lineRule="exact"/>
        <w:ind w:firstLine="560" w:firstLineChars="200"/>
        <w:jc w:val="left"/>
        <w:rPr>
          <w:rFonts w:ascii="仿宋_GB2312" w:eastAsia="仿宋_GB2312" w:cs="宋体"/>
          <w:kern w:val="0"/>
          <w:sz w:val="28"/>
          <w:szCs w:val="28"/>
        </w:rPr>
      </w:pPr>
      <w:r>
        <w:rPr>
          <w:rFonts w:hint="eastAsia" w:ascii="仿宋_GB2312" w:hAnsi="宋体" w:eastAsia="仿宋_GB2312" w:cs="宋体"/>
          <w:kern w:val="0"/>
          <w:sz w:val="28"/>
          <w:szCs w:val="28"/>
        </w:rPr>
        <w:t>4、参赛选手进入考场时，裁判员要认真检查选手的竞赛证件和身份证件，确保无差错，发现与证件不符者，裁判员有权制止本参赛选手的竞赛资格。</w:t>
      </w:r>
    </w:p>
    <w:p>
      <w:pPr>
        <w:widowControl/>
        <w:spacing w:line="492" w:lineRule="exact"/>
        <w:ind w:firstLine="560" w:firstLineChars="200"/>
        <w:jc w:val="left"/>
        <w:rPr>
          <w:rFonts w:ascii="仿宋_GB2312" w:eastAsia="仿宋_GB2312" w:cs="宋体"/>
          <w:kern w:val="0"/>
          <w:sz w:val="28"/>
          <w:szCs w:val="28"/>
        </w:rPr>
      </w:pPr>
      <w:r>
        <w:rPr>
          <w:rFonts w:hint="eastAsia" w:ascii="仿宋_GB2312" w:eastAsia="仿宋_GB2312"/>
          <w:sz w:val="28"/>
          <w:szCs w:val="28"/>
        </w:rPr>
        <w:t>5、裁判员严格遵守竞赛规则，认真执行竞赛项目的评分标准，</w:t>
      </w:r>
      <w:r>
        <w:rPr>
          <w:rFonts w:hint="eastAsia" w:ascii="仿宋_GB2312" w:hAnsi="宋体" w:eastAsia="仿宋_GB2312" w:cs="宋体"/>
          <w:kern w:val="0"/>
          <w:sz w:val="28"/>
          <w:szCs w:val="28"/>
        </w:rPr>
        <w:t>以</w:t>
      </w:r>
      <w:r>
        <w:rPr>
          <w:rFonts w:hint="eastAsia" w:ascii="仿宋_GB2312" w:eastAsia="仿宋_GB2312"/>
          <w:sz w:val="28"/>
          <w:szCs w:val="28"/>
        </w:rPr>
        <w:t>公平、公正、真实、一视同仁</w:t>
      </w:r>
      <w:r>
        <w:rPr>
          <w:rFonts w:hint="eastAsia" w:ascii="仿宋_GB2312" w:hAnsi="宋体" w:eastAsia="仿宋_GB2312" w:cs="宋体"/>
          <w:kern w:val="0"/>
          <w:sz w:val="28"/>
          <w:szCs w:val="28"/>
        </w:rPr>
        <w:t>的原则</w:t>
      </w:r>
      <w:r>
        <w:rPr>
          <w:rFonts w:hint="eastAsia" w:ascii="仿宋_GB2312" w:eastAsia="仿宋_GB2312"/>
          <w:sz w:val="28"/>
          <w:szCs w:val="28"/>
        </w:rPr>
        <w:t>，</w:t>
      </w:r>
      <w:r>
        <w:rPr>
          <w:rFonts w:hint="eastAsia" w:ascii="仿宋_GB2312" w:hAnsi="宋体" w:eastAsia="仿宋_GB2312" w:cs="宋体"/>
          <w:kern w:val="0"/>
          <w:sz w:val="28"/>
          <w:szCs w:val="28"/>
        </w:rPr>
        <w:t>准确把握评分尺度，对在竞赛执裁过程中出现徇私舞弊的情况，一经查实，裁判长有权取消其执裁资格，并报竞赛组委会备案。</w:t>
      </w:r>
    </w:p>
    <w:p>
      <w:pPr>
        <w:spacing w:line="492" w:lineRule="exact"/>
        <w:ind w:firstLine="560" w:firstLineChars="200"/>
        <w:rPr>
          <w:rFonts w:ascii="仿宋_GB2312" w:eastAsia="仿宋_GB2312"/>
          <w:sz w:val="28"/>
          <w:szCs w:val="28"/>
        </w:rPr>
      </w:pPr>
      <w:r>
        <w:rPr>
          <w:rFonts w:hint="eastAsia" w:ascii="仿宋_GB2312" w:hAnsi="宋体" w:eastAsia="仿宋_GB2312" w:cs="宋体"/>
          <w:kern w:val="0"/>
          <w:sz w:val="28"/>
          <w:szCs w:val="28"/>
        </w:rPr>
        <w:t>6、裁判员要严格执行比赛纪律，对选手的违规行为，进行严肃处理，并记录在案。</w:t>
      </w:r>
      <w:r>
        <w:rPr>
          <w:rFonts w:hint="eastAsia" w:ascii="仿宋_GB2312" w:eastAsia="仿宋_GB2312"/>
          <w:sz w:val="28"/>
          <w:szCs w:val="28"/>
        </w:rPr>
        <w:t>对竞赛中出现的严重违纪和不安全行为应及时警告，必要时可以终止比赛。</w:t>
      </w:r>
    </w:p>
    <w:p>
      <w:pPr>
        <w:widowControl/>
        <w:spacing w:line="492" w:lineRule="exact"/>
        <w:ind w:firstLine="560" w:firstLineChars="200"/>
        <w:rPr>
          <w:rFonts w:ascii="仿宋_GB2312" w:eastAsia="仿宋_GB2312" w:cs="宋体"/>
          <w:kern w:val="0"/>
          <w:sz w:val="28"/>
          <w:szCs w:val="28"/>
        </w:rPr>
      </w:pPr>
      <w:r>
        <w:rPr>
          <w:rFonts w:hint="eastAsia" w:ascii="仿宋_GB2312" w:hAnsi="宋体" w:eastAsia="仿宋_GB2312" w:cs="宋体"/>
          <w:kern w:val="0"/>
          <w:sz w:val="28"/>
          <w:szCs w:val="28"/>
        </w:rPr>
        <w:t>7、裁判员在工作时要尊重参赛选手，与参赛选手交流时应注意方式，避免影响参赛选手情绪。</w:t>
      </w:r>
    </w:p>
    <w:p>
      <w:pPr>
        <w:widowControl/>
        <w:spacing w:line="492" w:lineRule="exact"/>
        <w:ind w:firstLine="560" w:firstLineChars="200"/>
        <w:jc w:val="left"/>
        <w:rPr>
          <w:rFonts w:ascii="仿宋_GB2312" w:eastAsia="仿宋_GB2312" w:cs="宋体"/>
          <w:kern w:val="0"/>
          <w:sz w:val="28"/>
          <w:szCs w:val="28"/>
        </w:rPr>
      </w:pPr>
      <w:r>
        <w:rPr>
          <w:rFonts w:hint="eastAsia" w:ascii="仿宋_GB2312" w:hAnsi="宋体" w:eastAsia="仿宋_GB2312" w:cs="宋体"/>
          <w:kern w:val="0"/>
          <w:sz w:val="28"/>
          <w:szCs w:val="28"/>
        </w:rPr>
        <w:t>8、对于竞赛过程中出现的问题或争议，裁判员不允许在选手面前进行争论，应及时向裁判长汇报，服从裁判长的裁决，避免与参赛选手和相关人员发生争执，否则取消参赛或评判资格。</w:t>
      </w:r>
    </w:p>
    <w:p>
      <w:pPr>
        <w:widowControl/>
        <w:spacing w:line="492" w:lineRule="exact"/>
        <w:ind w:firstLine="560" w:firstLineChars="200"/>
        <w:jc w:val="left"/>
        <w:rPr>
          <w:rFonts w:ascii="仿宋_GB2312" w:eastAsia="仿宋_GB2312" w:cs="宋体"/>
          <w:kern w:val="0"/>
          <w:sz w:val="28"/>
          <w:szCs w:val="28"/>
        </w:rPr>
      </w:pPr>
      <w:r>
        <w:rPr>
          <w:rFonts w:hint="eastAsia" w:ascii="仿宋_GB2312" w:hAnsi="宋体" w:eastAsia="仿宋_GB2312" w:cs="宋体"/>
          <w:kern w:val="0"/>
          <w:sz w:val="28"/>
          <w:szCs w:val="28"/>
        </w:rPr>
        <w:t>9、裁判员要坚守岗位，不得擅自离开、闲聊，不得无故干扰选手竞赛，不得同参赛选手交谈与竞赛无关的话题、不得给予参赛选手任何竞赛规则范围内的提示，不得在执裁过程中接听任何电话。</w:t>
      </w:r>
    </w:p>
    <w:p>
      <w:pPr>
        <w:widowControl/>
        <w:spacing w:line="492"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10、裁判员要认真执行各项规章制度，对在整个竞赛过程中未公平、公正，弄虚作假或者隐瞒事实不报的，将根据情节轻重予以处理，并全公司通报批评，在以后组织的技能竞赛活动中，不再参与任何执裁工作。</w:t>
      </w:r>
    </w:p>
    <w:p/>
    <w:p>
      <w:pPr>
        <w:rPr>
          <w:rFonts w:ascii="黑体" w:hAnsi="黑体" w:eastAsia="黑体"/>
          <w:sz w:val="28"/>
          <w:szCs w:val="28"/>
        </w:rPr>
      </w:pPr>
      <w:r>
        <w:rPr>
          <w:rFonts w:hint="eastAsia" w:ascii="黑体" w:hAnsi="黑体" w:eastAsia="黑体"/>
          <w:sz w:val="28"/>
          <w:szCs w:val="28"/>
        </w:rPr>
        <w:t>6.4工作人员纪律</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1、全体工作人员必须佩带统一的工作证，服从组委会统一指挥，认真履行职责，做好比赛服务工作。</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2、全体工作人员要按分工准时到岗，尽职尽责做好各项工作，保证比赛顺利进行。</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3、比赛出现的有关问题应与各项目比赛负责人及时联系，妥善处理。</w:t>
      </w:r>
    </w:p>
    <w:p>
      <w:pPr>
        <w:spacing w:line="492" w:lineRule="exact"/>
        <w:ind w:firstLine="560" w:firstLineChars="200"/>
        <w:rPr>
          <w:sz w:val="28"/>
          <w:szCs w:val="28"/>
        </w:rPr>
      </w:pPr>
      <w:r>
        <w:rPr>
          <w:rFonts w:hint="eastAsia" w:ascii="仿宋_GB2312" w:eastAsia="仿宋_GB2312"/>
          <w:sz w:val="28"/>
          <w:szCs w:val="28"/>
        </w:rPr>
        <w:t>4、比赛期间工作人员不准在赛场内使用手机。</w:t>
      </w:r>
    </w:p>
    <w:p>
      <w:pPr>
        <w:rPr>
          <w:sz w:val="28"/>
          <w:szCs w:val="28"/>
        </w:rPr>
      </w:pPr>
    </w:p>
    <w:p>
      <w:pPr>
        <w:pStyle w:val="4"/>
        <w:numPr>
          <w:ilvl w:val="0"/>
          <w:numId w:val="0"/>
        </w:numPr>
        <w:snapToGrid w:val="0"/>
        <w:spacing w:before="0" w:after="0" w:line="360" w:lineRule="auto"/>
        <w:rPr>
          <w:rFonts w:ascii="黑体" w:hAnsi="黑体" w:eastAsia="黑体"/>
          <w:b w:val="0"/>
          <w:sz w:val="28"/>
          <w:szCs w:val="28"/>
        </w:rPr>
      </w:pPr>
      <w:bookmarkStart w:id="33" w:name="_Toc12019904"/>
      <w:bookmarkStart w:id="34" w:name="_Toc486438916"/>
      <w:bookmarkStart w:id="35" w:name="_Toc486438742"/>
      <w:bookmarkStart w:id="36" w:name="_Toc47976675"/>
      <w:bookmarkStart w:id="37" w:name="_Toc486438858"/>
      <w:bookmarkStart w:id="38" w:name="_Toc133163781"/>
      <w:r>
        <w:rPr>
          <w:rFonts w:hint="eastAsia" w:ascii="黑体" w:hAnsi="黑体" w:eastAsia="黑体"/>
          <w:b w:val="0"/>
          <w:sz w:val="28"/>
          <w:szCs w:val="28"/>
        </w:rPr>
        <w:t>七、</w:t>
      </w:r>
      <w:bookmarkEnd w:id="33"/>
      <w:bookmarkEnd w:id="34"/>
      <w:bookmarkEnd w:id="35"/>
      <w:bookmarkEnd w:id="36"/>
      <w:bookmarkEnd w:id="37"/>
      <w:r>
        <w:rPr>
          <w:rFonts w:hint="eastAsia" w:ascii="黑体" w:hAnsi="黑体" w:eastAsia="黑体"/>
          <w:b w:val="0"/>
          <w:sz w:val="28"/>
          <w:szCs w:val="28"/>
        </w:rPr>
        <w:t>竞赛样题</w:t>
      </w:r>
      <w:bookmarkEnd w:id="38"/>
    </w:p>
    <w:p>
      <w:pPr>
        <w:rPr>
          <w:rFonts w:ascii="黑体" w:hAnsi="黑体" w:eastAsia="黑体"/>
          <w:sz w:val="28"/>
          <w:szCs w:val="28"/>
        </w:rPr>
      </w:pPr>
      <w:r>
        <w:rPr>
          <w:rFonts w:hint="eastAsia" w:ascii="黑体" w:hAnsi="黑体" w:eastAsia="黑体"/>
          <w:sz w:val="28"/>
          <w:szCs w:val="28"/>
        </w:rPr>
        <w:t>7.1理论考核样题</w:t>
      </w:r>
    </w:p>
    <w:p>
      <w:pPr>
        <w:spacing w:line="492" w:lineRule="exact"/>
        <w:ind w:firstLine="560" w:firstLineChars="200"/>
        <w:rPr>
          <w:rFonts w:ascii="仿宋_GB2312" w:eastAsia="仿宋_GB2312"/>
          <w:sz w:val="28"/>
          <w:szCs w:val="28"/>
        </w:rPr>
      </w:pPr>
      <w:r>
        <w:rPr>
          <w:rFonts w:hint="eastAsia" w:ascii="仿宋_GB2312" w:eastAsia="仿宋_GB2312"/>
          <w:sz w:val="28"/>
          <w:szCs w:val="28"/>
          <w:lang w:val="en-US" w:eastAsia="zh-CN"/>
        </w:rPr>
        <w:t>一、丹</w:t>
      </w:r>
      <w:r>
        <w:rPr>
          <w:rFonts w:hint="eastAsia" w:ascii="仿宋_GB2312" w:eastAsia="仿宋_GB2312"/>
          <w:sz w:val="28"/>
          <w:szCs w:val="28"/>
        </w:rPr>
        <w:t>选题(共</w:t>
      </w:r>
      <w:r>
        <w:rPr>
          <w:rFonts w:hint="eastAsia" w:ascii="仿宋_GB2312" w:eastAsia="仿宋_GB2312"/>
          <w:sz w:val="28"/>
          <w:szCs w:val="28"/>
          <w:lang w:val="en-US" w:eastAsia="zh-CN"/>
        </w:rPr>
        <w:t>50</w:t>
      </w:r>
      <w:r>
        <w:rPr>
          <w:rFonts w:hint="eastAsia" w:ascii="仿宋_GB2312" w:eastAsia="仿宋_GB2312"/>
          <w:sz w:val="28"/>
          <w:szCs w:val="28"/>
        </w:rPr>
        <w:t>题)</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1.【单选题】（）是安全电子交易的简称 。</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A、SET</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B、SWIFT</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C、EDI</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D、Intranet</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2.【单选题】( )的店铺给消费者沉稳、扎实、科技的印象，能够体现出商品的典雅高贵。</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A、蓝色调</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B、黄色调</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C、红色调</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D、绿色调</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二、多选题(共25题)</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1.【多选题】以下哪些是公司互联网访问业务中要求实施安全措施（）。</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A、实名制访问</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B、黑白名单</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C、上网行为记录</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D、聊天内容记录</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2.【多选题】电子商务交易安全问题主要表现（）。</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A、发布虚假信息，欺骗消费者</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B、买家不遵守承诺</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C、信用卡盗刷</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D、商品造假</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三、判断题(共</w:t>
      </w:r>
      <w:r>
        <w:rPr>
          <w:rFonts w:hint="eastAsia" w:ascii="仿宋_GB2312" w:eastAsia="仿宋_GB2312"/>
          <w:sz w:val="28"/>
          <w:szCs w:val="28"/>
          <w:lang w:val="en-US" w:eastAsia="zh-CN"/>
        </w:rPr>
        <w:t>2</w:t>
      </w:r>
      <w:r>
        <w:rPr>
          <w:rFonts w:hint="eastAsia" w:ascii="仿宋_GB2312" w:eastAsia="仿宋_GB2312"/>
          <w:sz w:val="28"/>
          <w:szCs w:val="28"/>
        </w:rPr>
        <w:t>5题)</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1.【判断题】在有赞中，商家可通过优惠券、优惠码、满减送、限时折扣、赠品等营销方式对自己的店铺商品进行推广。</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A、对</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B、错</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2.【判断题】买家进行七天无理由退货时，若商品卖家包邮，买家仅承担退回邮费。</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A、对</w:t>
      </w:r>
    </w:p>
    <w:p>
      <w:pPr>
        <w:spacing w:line="492" w:lineRule="exact"/>
        <w:ind w:firstLine="560" w:firstLineChars="200"/>
        <w:rPr>
          <w:rFonts w:ascii="仿宋_GB2312" w:eastAsia="仿宋_GB2312"/>
          <w:sz w:val="28"/>
          <w:szCs w:val="28"/>
        </w:rPr>
      </w:pPr>
      <w:r>
        <w:rPr>
          <w:rFonts w:hint="eastAsia" w:ascii="仿宋_GB2312" w:eastAsia="仿宋_GB2312"/>
          <w:sz w:val="28"/>
          <w:szCs w:val="28"/>
        </w:rPr>
        <w:t>B、错</w:t>
      </w:r>
    </w:p>
    <w:p>
      <w:pPr>
        <w:spacing w:line="492" w:lineRule="exact"/>
        <w:ind w:firstLine="560" w:firstLineChars="200"/>
        <w:rPr>
          <w:rFonts w:ascii="仿宋_GB2312" w:eastAsia="仿宋_GB2312"/>
          <w:sz w:val="28"/>
          <w:szCs w:val="28"/>
        </w:rPr>
      </w:pPr>
    </w:p>
    <w:p>
      <w:pPr>
        <w:rPr>
          <w:rFonts w:ascii="黑体" w:hAnsi="黑体" w:eastAsia="黑体"/>
          <w:sz w:val="28"/>
          <w:szCs w:val="28"/>
        </w:rPr>
      </w:pPr>
      <w:bookmarkStart w:id="43" w:name="_GoBack"/>
      <w:bookmarkEnd w:id="43"/>
      <w:r>
        <w:rPr>
          <w:rFonts w:hint="eastAsia" w:ascii="黑体" w:hAnsi="黑体" w:eastAsia="黑体"/>
          <w:sz w:val="28"/>
          <w:szCs w:val="28"/>
        </w:rPr>
        <w:t>7.2实操考核样题</w:t>
      </w:r>
    </w:p>
    <w:p>
      <w:pPr>
        <w:pStyle w:val="12"/>
        <w:ind w:firstLine="560" w:firstLineChars="200"/>
        <w:jc w:val="both"/>
        <w:rPr>
          <w:rFonts w:ascii="仿宋" w:hAnsi="仿宋" w:eastAsia="仿宋" w:cs="仿宋"/>
          <w:sz w:val="28"/>
          <w:szCs w:val="28"/>
          <w:lang w:bidi="zh-CN"/>
        </w:rPr>
      </w:pPr>
      <w:r>
        <w:rPr>
          <w:rFonts w:hint="eastAsia" w:ascii="仿宋" w:hAnsi="仿宋" w:eastAsia="仿宋" w:cs="仿宋"/>
          <w:sz w:val="28"/>
          <w:szCs w:val="28"/>
          <w:lang w:val="en-US" w:bidi="zh-CN"/>
        </w:rPr>
        <w:t>1</w:t>
      </w:r>
      <w:r>
        <w:rPr>
          <w:rFonts w:hint="eastAsia" w:ascii="仿宋" w:hAnsi="仿宋" w:eastAsia="仿宋" w:cs="仿宋"/>
          <w:sz w:val="28"/>
          <w:szCs w:val="28"/>
          <w:lang w:bidi="zh-CN"/>
        </w:rPr>
        <w:t>.</w:t>
      </w:r>
      <w:r>
        <w:rPr>
          <w:rFonts w:ascii="仿宋" w:hAnsi="仿宋" w:eastAsia="仿宋" w:cs="仿宋"/>
          <w:sz w:val="28"/>
          <w:szCs w:val="28"/>
          <w:lang w:bidi="zh-CN"/>
        </w:rPr>
        <w:t xml:space="preserve">客户服务 </w:t>
      </w:r>
    </w:p>
    <w:p>
      <w:pPr>
        <w:pStyle w:val="12"/>
        <w:ind w:firstLine="560" w:firstLineChars="200"/>
        <w:jc w:val="both"/>
        <w:rPr>
          <w:rFonts w:ascii="仿宋" w:hAnsi="仿宋" w:eastAsia="仿宋" w:cs="仿宋"/>
          <w:sz w:val="28"/>
          <w:szCs w:val="28"/>
          <w:lang w:bidi="zh-CN"/>
        </w:rPr>
      </w:pPr>
      <w:r>
        <w:rPr>
          <w:rFonts w:ascii="仿宋" w:hAnsi="仿宋" w:eastAsia="仿宋" w:cs="仿宋"/>
          <w:sz w:val="28"/>
          <w:szCs w:val="28"/>
          <w:lang w:bidi="zh-CN"/>
        </w:rPr>
        <w:t xml:space="preserve">通过竞赛系统中客户服务应答与业务处理模块，在有效时间内回答模拟客 </w:t>
      </w:r>
    </w:p>
    <w:p>
      <w:pPr>
        <w:pStyle w:val="12"/>
        <w:jc w:val="both"/>
        <w:rPr>
          <w:rFonts w:ascii="仿宋" w:hAnsi="仿宋" w:eastAsia="仿宋" w:cs="仿宋"/>
          <w:sz w:val="28"/>
          <w:szCs w:val="28"/>
          <w:lang w:bidi="zh-CN"/>
        </w:rPr>
      </w:pPr>
      <w:r>
        <w:rPr>
          <w:rFonts w:ascii="仿宋" w:hAnsi="仿宋" w:eastAsia="仿宋" w:cs="仿宋"/>
          <w:sz w:val="28"/>
          <w:szCs w:val="28"/>
          <w:lang w:bidi="zh-CN"/>
        </w:rPr>
        <w:t xml:space="preserve">户提出的不同问题。根据不同情景合理利用系统中的业务处理工具进行设置与 </w:t>
      </w:r>
    </w:p>
    <w:p>
      <w:pPr>
        <w:pStyle w:val="12"/>
        <w:jc w:val="both"/>
        <w:rPr>
          <w:rFonts w:ascii="仿宋" w:hAnsi="仿宋" w:eastAsia="仿宋" w:cs="仿宋"/>
          <w:sz w:val="28"/>
          <w:szCs w:val="28"/>
          <w:lang w:bidi="zh-CN"/>
        </w:rPr>
      </w:pPr>
      <w:r>
        <w:rPr>
          <w:rFonts w:ascii="仿宋" w:hAnsi="仿宋" w:eastAsia="仿宋" w:cs="仿宋"/>
          <w:sz w:val="28"/>
          <w:szCs w:val="28"/>
          <w:lang w:bidi="zh-CN"/>
        </w:rPr>
        <w:t>处理</w:t>
      </w:r>
      <w:r>
        <w:rPr>
          <w:rFonts w:hint="eastAsia" w:ascii="仿宋" w:hAnsi="仿宋" w:eastAsia="仿宋" w:cs="仿宋"/>
          <w:sz w:val="28"/>
          <w:szCs w:val="28"/>
          <w:lang w:bidi="zh-CN"/>
        </w:rPr>
        <w:t>，</w:t>
      </w:r>
      <w:r>
        <w:rPr>
          <w:rFonts w:ascii="仿宋" w:hAnsi="仿宋" w:eastAsia="仿宋" w:cs="仿宋"/>
          <w:sz w:val="28"/>
          <w:szCs w:val="28"/>
          <w:lang w:bidi="zh-CN"/>
        </w:rPr>
        <w:t>该模块采用</w:t>
      </w:r>
      <w:r>
        <w:rPr>
          <w:rFonts w:hint="eastAsia" w:ascii="仿宋" w:hAnsi="仿宋" w:eastAsia="仿宋" w:cs="仿宋"/>
          <w:sz w:val="28"/>
          <w:szCs w:val="28"/>
          <w:lang w:bidi="zh-CN"/>
        </w:rPr>
        <w:t>系统</w:t>
      </w:r>
      <w:r>
        <w:rPr>
          <w:rFonts w:ascii="仿宋" w:hAnsi="仿宋" w:eastAsia="仿宋" w:cs="仿宋"/>
          <w:sz w:val="28"/>
          <w:szCs w:val="28"/>
          <w:lang w:bidi="zh-CN"/>
        </w:rPr>
        <w:t xml:space="preserve">评分。 </w:t>
      </w:r>
    </w:p>
    <w:p>
      <w:pPr>
        <w:pStyle w:val="12"/>
        <w:ind w:firstLine="560" w:firstLineChars="200"/>
        <w:jc w:val="both"/>
        <w:rPr>
          <w:rFonts w:ascii="仿宋" w:hAnsi="仿宋" w:eastAsia="仿宋" w:cs="仿宋"/>
          <w:sz w:val="28"/>
          <w:szCs w:val="28"/>
          <w:lang w:bidi="zh-CN"/>
        </w:rPr>
      </w:pPr>
      <w:r>
        <w:rPr>
          <w:rFonts w:ascii="仿宋" w:hAnsi="仿宋" w:eastAsia="仿宋" w:cs="仿宋"/>
          <w:sz w:val="28"/>
          <w:szCs w:val="28"/>
          <w:lang w:bidi="zh-CN"/>
        </w:rPr>
        <w:t xml:space="preserve">回答准确：按照相应岗位的标准话术，独立回答来自多个客户（机器人） </w:t>
      </w:r>
    </w:p>
    <w:p>
      <w:pPr>
        <w:pStyle w:val="12"/>
        <w:jc w:val="both"/>
        <w:rPr>
          <w:rFonts w:ascii="仿宋" w:hAnsi="仿宋" w:eastAsia="仿宋" w:cs="仿宋"/>
          <w:sz w:val="28"/>
          <w:szCs w:val="28"/>
          <w:lang w:bidi="zh-CN"/>
        </w:rPr>
      </w:pPr>
      <w:r>
        <w:rPr>
          <w:rFonts w:ascii="仿宋" w:hAnsi="仿宋" w:eastAsia="仿宋" w:cs="仿宋"/>
          <w:sz w:val="28"/>
          <w:szCs w:val="28"/>
          <w:lang w:bidi="zh-CN"/>
        </w:rPr>
        <w:t xml:space="preserve">的不同问题，系统根据正确关键词以及语句表自动评分，回答错误不得分。 </w:t>
      </w:r>
    </w:p>
    <w:p>
      <w:pPr>
        <w:pStyle w:val="12"/>
        <w:ind w:firstLine="560" w:firstLineChars="200"/>
        <w:jc w:val="both"/>
        <w:rPr>
          <w:rFonts w:ascii="仿宋" w:hAnsi="仿宋" w:eastAsia="仿宋" w:cs="仿宋"/>
          <w:sz w:val="28"/>
          <w:szCs w:val="28"/>
          <w:lang w:bidi="zh-CN"/>
        </w:rPr>
      </w:pPr>
      <w:r>
        <w:rPr>
          <w:rFonts w:ascii="仿宋" w:hAnsi="仿宋" w:eastAsia="仿宋" w:cs="仿宋"/>
          <w:sz w:val="28"/>
          <w:szCs w:val="28"/>
          <w:lang w:bidi="zh-CN"/>
        </w:rPr>
        <w:t xml:space="preserve">业务处理：根据多个客户（机器人）的不同情景，合理利用业务处理工具 </w:t>
      </w:r>
    </w:p>
    <w:p>
      <w:pPr>
        <w:pStyle w:val="12"/>
        <w:jc w:val="both"/>
        <w:rPr>
          <w:rFonts w:ascii="仿宋" w:hAnsi="仿宋" w:eastAsia="仿宋" w:cs="仿宋"/>
          <w:sz w:val="28"/>
          <w:szCs w:val="28"/>
          <w:lang w:bidi="zh-CN"/>
        </w:rPr>
      </w:pPr>
      <w:r>
        <w:rPr>
          <w:rFonts w:ascii="仿宋" w:hAnsi="仿宋" w:eastAsia="仿宋" w:cs="仿宋"/>
          <w:sz w:val="28"/>
          <w:szCs w:val="28"/>
          <w:lang w:bidi="zh-CN"/>
        </w:rPr>
        <w:t xml:space="preserve">进行设置与处理，满足客服业务管理需求，系统根据正确操作设置自动评分， </w:t>
      </w:r>
    </w:p>
    <w:p>
      <w:pPr>
        <w:pStyle w:val="12"/>
        <w:jc w:val="both"/>
        <w:rPr>
          <w:rFonts w:ascii="仿宋" w:hAnsi="仿宋" w:eastAsia="仿宋" w:cs="仿宋"/>
          <w:sz w:val="28"/>
          <w:szCs w:val="28"/>
          <w:lang w:bidi="zh-CN"/>
        </w:rPr>
      </w:pPr>
      <w:r>
        <w:rPr>
          <w:rFonts w:ascii="仿宋" w:hAnsi="仿宋" w:eastAsia="仿宋" w:cs="仿宋"/>
          <w:sz w:val="28"/>
          <w:szCs w:val="28"/>
          <w:lang w:bidi="zh-CN"/>
        </w:rPr>
        <w:t xml:space="preserve">操作错误或无操作不得分。 </w:t>
      </w:r>
    </w:p>
    <w:p>
      <w:pPr>
        <w:pStyle w:val="12"/>
        <w:ind w:firstLine="560" w:firstLineChars="200"/>
        <w:jc w:val="both"/>
        <w:rPr>
          <w:rFonts w:ascii="仿宋" w:hAnsi="仿宋" w:eastAsia="仿宋" w:cs="仿宋"/>
          <w:sz w:val="28"/>
          <w:szCs w:val="28"/>
          <w:lang w:bidi="zh-CN"/>
        </w:rPr>
      </w:pPr>
      <w:r>
        <w:rPr>
          <w:rFonts w:ascii="仿宋" w:hAnsi="仿宋" w:eastAsia="仿宋" w:cs="仿宋"/>
          <w:sz w:val="28"/>
          <w:szCs w:val="28"/>
          <w:lang w:bidi="zh-CN"/>
        </w:rPr>
        <w:t>及时回答：平均响应速度在 30s 内，合理利用快捷短语设置及快捷编码可提高响应时间。</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分类：电子商务客户服务</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任务目标：</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（1)能够全程使用礼貌用语，拉进客服与客户之间的距离，让客户感受到客服人员负责的态度。</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（2)在与客户的沟通过程中，保持耐心积极的服务情绪和同理心，站在客户的角度上看问题。</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（3)在客户询问商品信息时，客服人员应对商品有着较为全面的了解，能够及时回答客户的问题。</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（4)能够使用标准的开场白和结束服务话术与客户进行沟通，让客户拥有良好的沟通体验，提高客户满意度，促使客户下单。</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（5)能够根据客户需求，精准地为客户进行商品推荐，并使用话术引导客户下单。</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（6)能够正确处理商品质量问题以及仓储配送问题，尽量挽回客户，面对情绪激动的客户能够进行有效安抚。</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（7)对于客户提出的退换货问题提供合适的解决方案，积极挽留客户订单，并掌握订单赔偿的处理技巧。</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任务分析</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分析一：作为客服在客户询问商品相关信息时，即使商品信息详情页皆有详细标注也应该耐心回答，热心解答客户的疑问。</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分析二：客服在客户地址填写错误时，应该正确引导客户完成新地址的修改填写，还要把订单核对信息发送给客户。</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分析三： 当遇到客户对于本店其他产品感兴趣时，客服要耐心、热心的解答，促进二次交易。</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分析四： 当遇到客户反馈属于店方的责任时，应该主动承认错误，向客户表示诚挚的歉意，并且积极为客户提供解决或补偿的方案，耐心安抚客户的情绪。</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分析五： 在遇到客户购买的产品一直没有配送时，应该第一时间去查看物流信息，并且安抚好客户的情绪，站在客户的角度去理解客户的心情，用文字表达出真诚的歉意。</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分析六： 客户不了解店铺和商品信息，在向客服询问关于商品规格等详细信息时，客服需对商品有一定的了解，及时回复客户的问题。</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分析七：客户因为买过本店的产品，会再次找到客服推荐其他产品，对于店内的服务相对还是比较满意的，在问道是否有优惠券时，应该根据具体的产品需求提供优惠券。</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分析八：当遇到客户反馈属于店方的责任时，应该主动承认错误，向客户表示诚挚的歉意，安抚客户心情，并且积极为客户提供解决或补偿的方案，尽量解决客户需求。</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分析九：客户在第一句话表明要退货时，已经是对产品保持很不满意的态度了，客服首先不能害怕，要主动询问退货的原因，跟据客户所反映的问题原因，再为客户提供解决方案。</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分析十：在客户已经有所了解商品信息时，客服要做的就是打消客户的疑虑，耐心、热心的解答客户的问题，以此来促成交易。</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分析十一：对于突发的状况客服一定要调整心态，先向客户索要单号确认上面的信息，如果没办法改，告知客户原因，以此得到客户的理解。</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分析十二：在客户反应电脑包出现质量问题时，应向客户索要照片，再给到解决方案，对于抛出的其他问题，耐心一一解答即可。</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分析十三：客户提出对于产品的疑问，要以专业、简洁的话语跟客户沟通，不可长篇大论的说一通，可能原本想买，但是她看不懂介绍就不想买，客服是要为客户解决问题的。</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分析十四：当遇到客户反馈属于店方的责任时，应该主动承认错误，向客户表示诚挚的歉意，并且积极为客户提供解决或补偿的方案，耐心安抚客户的情绪。</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分析十五：客服在客户抛出的问题比较泛时，可以多问问具体的，才能有针对性的回答，说得话要专业有效，通俗易懂。</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任务操作</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操作一：发送优惠券</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第一步：在客户询问客服是否在线时积极响应。</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第二步：为客户详细热情地介绍ta感兴趣的商品。</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第三步：告知客户该商品正在参与店铺活动，并向客户发送优惠券。</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操作二：修改地址</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第一步：在客户询问是否需要重新下单时耐心进行解答。</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第二步：主动询问客户的新地址。</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第三步：发送修改好的地址订单进行核对。</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第四步：耐心告知查看物流信息的流程。</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操作三：发送商品</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第一步：在客户询问商品是否参加促销活动时积极热情耐心地进行解答。</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第二步： 询问客户的主要需求是什么，针对性的回答问题。</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第三步： 客户要求发送具体商品时为客户发送商品链接。</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操作四：申请直赔</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第一步：在客户反映商品出现漏发情况时首先请客户发送照片进行确认。</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第二步：确认问题后向客户表示诚挚的歉意，并为客户提供解决方案。</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第三步：选择补发之后如果客户还是出现负面的情绪，为客户申请小额直赔并言语安抚客户情绪。</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操作五：安抚情绪</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第一步：站在同理心的角度看待事情，用真诚的态度进行沟通。</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第二步：确认问题后向客户表示诚挚的歉意。</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第三布：告诉客户已经询问了其他部门，安抚客户情绪。</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操作六：推荐商品</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第一步：在客户询问商品是否参加促销活动时积极热情耐心地进行解答。</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第二步： 询问客户的主要需求是什么，针对性的回答问题。</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第三步： 客户询问是否可以开发票时，要告知客户可以开。</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操作七：发送优惠券</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第一步：在客户提出疑问时为客户进行详细的介绍和耐心解答。</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第二步：当客户对促销活动不明白的情况下，用通俗易懂的语言进行讲解。</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第三步：向客户发送优惠券。</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操作八：退换货</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第一步：确认问题后向客户表示诚挚的歉意，并为客户提供解决方案。</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第二步：通过沟通明确客户的需求。</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第三步：真诚的告诉顾客费用都由本店承担。</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操作九：取消订单</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第一步：在客户希望取消订单的情况下，礼貌询问客户取消订单的原因。</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第二步：得知客户取消订单的原因为个人信息填写错误之后为客户在后台进行修改。</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第三步：修改完毕后再次发送订单信息让客户核对，避免出现错误。</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操作十：介绍商品</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第一步：在客户询问商品是否参加促销活动时积极热情耐心地进行解答。</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第二步： 询问客户的主要需求是什么，针对性的回答问题。</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第三步： 专业的话语回答客户，询问的快递时间也要回答得尽量准确。</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操作十一：修改地址</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第一步：主动向客户询问快递单号，查明信息。</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第二步：耐心告知不能修改的原因，得到客户的理解。</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操作十二：重发商品</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第一步：在客户反映商品出现开线情况时首先请客户发送照片进行确认。</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第二步：确认问题后向客户表示诚挚的歉意，并为客户提供解决方案。</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第三步：选择重发后，告知电脑包已做升级处理，客户理解后安排发货。</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操作十三：介绍商品</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第一步：在客户询问商品是否参加促销活动时积极热情耐心地进行解答。</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第二步： 询问客户的主要需求是什么，针对性的回答问题。</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第三步： 客户要求发送具体商品时为客户发送商品图片。</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操作十四：重发商品</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第一步：在客户反映商品漏发的时候向客户要订单单号查信息及图片。</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第二步：确认问题后向客户表示诚挚的歉意，并为客户提供解决方案。</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第三步：客户询问补发之后多久能到，耐心告知。</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操作十五：优惠活动</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第一步：站在客户的角度上为客户推荐合适的商品。</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第二步：对该商品进行详细的介绍。</w:t>
      </w:r>
    </w:p>
    <w:p>
      <w:pPr>
        <w:spacing w:line="492" w:lineRule="exact"/>
        <w:ind w:firstLine="560" w:firstLineChars="200"/>
        <w:rPr>
          <w:rFonts w:ascii="仿宋_GB2312" w:eastAsia="仿宋_GB2312"/>
          <w:sz w:val="28"/>
          <w:szCs w:val="28"/>
        </w:rPr>
      </w:pPr>
      <w:r>
        <w:rPr>
          <w:rFonts w:hint="eastAsia" w:ascii="仿宋" w:hAnsi="仿宋" w:eastAsia="仿宋" w:cs="仿宋"/>
          <w:sz w:val="28"/>
          <w:szCs w:val="28"/>
          <w:lang w:bidi="zh-CN"/>
        </w:rPr>
        <w:t>第三步：告知客户该商品可能会有优惠活动，让客户进行关注。</w:t>
      </w:r>
    </w:p>
    <w:p>
      <w:pPr>
        <w:pStyle w:val="12"/>
        <w:ind w:firstLine="560" w:firstLineChars="200"/>
        <w:jc w:val="both"/>
        <w:rPr>
          <w:rFonts w:ascii="仿宋" w:hAnsi="仿宋" w:eastAsia="仿宋" w:cs="仿宋"/>
          <w:sz w:val="28"/>
          <w:szCs w:val="28"/>
          <w:lang w:bidi="zh-CN"/>
        </w:rPr>
      </w:pPr>
    </w:p>
    <w:p>
      <w:pPr>
        <w:pStyle w:val="12"/>
        <w:ind w:firstLine="560" w:firstLineChars="200"/>
        <w:jc w:val="both"/>
        <w:rPr>
          <w:rFonts w:ascii="仿宋" w:hAnsi="仿宋" w:eastAsia="仿宋" w:cs="仿宋"/>
          <w:sz w:val="28"/>
          <w:szCs w:val="28"/>
          <w:lang w:bidi="zh-CN"/>
        </w:rPr>
      </w:pPr>
      <w:r>
        <w:rPr>
          <w:rFonts w:hint="eastAsia" w:ascii="仿宋" w:hAnsi="仿宋" w:eastAsia="仿宋" w:cs="仿宋"/>
          <w:sz w:val="28"/>
          <w:szCs w:val="28"/>
          <w:lang w:val="en-US" w:bidi="zh-CN"/>
        </w:rPr>
        <w:t>2</w:t>
      </w:r>
      <w:r>
        <w:rPr>
          <w:rFonts w:hint="eastAsia" w:ascii="仿宋" w:hAnsi="仿宋" w:eastAsia="仿宋" w:cs="仿宋"/>
          <w:sz w:val="28"/>
          <w:szCs w:val="28"/>
          <w:lang w:bidi="zh-CN"/>
        </w:rPr>
        <w:t>.店铺数据分析与运营推广</w:t>
      </w:r>
    </w:p>
    <w:p>
      <w:pPr>
        <w:pStyle w:val="12"/>
        <w:rPr>
          <w:rFonts w:ascii="仿宋" w:hAnsi="仿宋" w:eastAsia="仿宋" w:cs="仿宋"/>
          <w:sz w:val="28"/>
          <w:szCs w:val="28"/>
          <w:lang w:bidi="zh-CN"/>
        </w:rPr>
      </w:pPr>
      <w:r>
        <w:rPr>
          <w:rFonts w:hint="eastAsia" w:ascii="仿宋" w:hAnsi="仿宋" w:eastAsia="仿宋" w:cs="仿宋"/>
          <w:sz w:val="28"/>
          <w:szCs w:val="28"/>
          <w:lang w:bidi="zh-CN"/>
        </w:rPr>
        <w:t>赛题立意：</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2021年10月，中共中央办公厅、国务院办公厅印发了《关于推动现代职业教育高质量发展的意见》，提出了坚持立德树人、德技并修，推动思想政治教育与技术技能培养融合统一。如今新趋势、新业态、新职业层出不穷，推广人员必须要主动转型，顺应时代潮流，努力使自己成为具有多种维度思维和综合型能力的创新型、应用型、技能型人才。</w:t>
      </w:r>
    </w:p>
    <w:p>
      <w:pPr>
        <w:pStyle w:val="12"/>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以习近平总书记新时代中国特色社会主义思想为指导，全面贯彻落实党的二十大全会精神，努力把握全国数字经济发展趋势，传统企业借助电子商务实现转型升级，推动数字经济与实体经济深度融合，加快构建以国内大循环为主体、国内国际双循环相互促进的新发展格局，加快数字化发展，打造数字经济新优势，以“双融合”全面支撑“双循环”，为构建新发展格局提供强大的支撑。本模块紧跟产业发展趋势和行业人才需求，及时将电子商务产业发展的运营推广技术纳入竞赛内容，对接搜索引擎推广、信息流推广相关岗位（群）；并立足课堂教学，通过大赛资源转化补充课堂教学内容，将课程教学和职业技能竞赛进行融合,以赛促教、以赛促学，完善教学评价考核方式。</w:t>
      </w:r>
    </w:p>
    <w:p>
      <w:pPr>
        <w:pStyle w:val="12"/>
        <w:rPr>
          <w:rFonts w:ascii="仿宋" w:hAnsi="仿宋" w:eastAsia="仿宋" w:cs="仿宋"/>
          <w:sz w:val="28"/>
          <w:szCs w:val="28"/>
          <w:lang w:bidi="zh-CN"/>
        </w:rPr>
      </w:pPr>
      <w:r>
        <w:rPr>
          <w:rFonts w:hint="eastAsia" w:ascii="仿宋" w:hAnsi="仿宋" w:eastAsia="仿宋" w:cs="仿宋"/>
          <w:sz w:val="28"/>
          <w:szCs w:val="28"/>
          <w:lang w:bidi="zh-CN"/>
        </w:rPr>
        <w:t>考核内容：</w:t>
      </w:r>
    </w:p>
    <w:p>
      <w:pPr>
        <w:rPr>
          <w:b/>
          <w:bCs/>
          <w:sz w:val="28"/>
          <w:szCs w:val="36"/>
          <w:highlight w:val="yellow"/>
        </w:rPr>
      </w:pPr>
      <w:bookmarkStart w:id="39" w:name="_Toc14966"/>
      <w:r>
        <w:rPr>
          <w:rFonts w:hint="eastAsia"/>
          <w:b/>
          <w:bCs/>
          <w:sz w:val="28"/>
          <w:szCs w:val="36"/>
        </w:rPr>
        <w:t>①任务目标</w:t>
      </w:r>
      <w:bookmarkEnd w:id="39"/>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确定商务数据分析目标；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根据数据分析目标制定数据采集与处理方案；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能制定市场调研计划；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能根据行业数据等进行行业的发展现状和趋势分析；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能根据消费者需求的特点，确定消费者需求的类型；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能根据消费者需求的类型，确定消费者的购买偏好；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能对消费者购买的影响因素进行分析，锁定需求；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能利用选品分析工具，筛选并确定目标商品；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能利用商品定价模型，对商品进行定价；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能利用数据分析选品；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能通过单品分析，选择销售表现差的商品，进行商品优化；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能根据店铺的运营策略，完成售后服务设置；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通过店铺流量数据分析提升店铺流量；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能制定店铺营销推广方案；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能根据品牌定位，制定品牌推广计划；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能根据推广策略，制定推广计划、推广组、推广创意、落地页等执行策略；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能根据推广策略进行推广计划搭建；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能对营销推广效果进行分析与评估；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能根据分析与评估结果，调整推广计划；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能根据营销定位制定营销目标；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能根据网络营销目标选择推广渠道；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000" w:type="pct"/>
            <w:vAlign w:val="center"/>
          </w:tcPr>
          <w:p>
            <w:pPr>
              <w:adjustRightInd w:val="0"/>
              <w:jc w:val="left"/>
              <w:rPr>
                <w:rFonts w:ascii="仿宋" w:hAnsi="仿宋" w:eastAsia="仿宋" w:cs="仿宋"/>
                <w:sz w:val="28"/>
                <w:szCs w:val="28"/>
              </w:rPr>
            </w:pPr>
            <w:r>
              <w:rPr>
                <w:rFonts w:hint="eastAsia" w:ascii="仿宋" w:hAnsi="仿宋" w:eastAsia="仿宋" w:cs="仿宋"/>
                <w:sz w:val="28"/>
                <w:szCs w:val="28"/>
              </w:rPr>
              <w:t>能根据店铺运营策略设置店铺促销方案。</w:t>
            </w:r>
          </w:p>
        </w:tc>
      </w:tr>
    </w:tbl>
    <w:p>
      <w:pPr>
        <w:rPr>
          <w:b/>
          <w:bCs/>
          <w:sz w:val="28"/>
          <w:szCs w:val="36"/>
          <w:lang w:bidi="zh-CN"/>
        </w:rPr>
      </w:pPr>
      <w:bookmarkStart w:id="40" w:name="_Toc7212"/>
      <w:r>
        <w:rPr>
          <w:rFonts w:hint="eastAsia"/>
          <w:b/>
          <w:bCs/>
          <w:sz w:val="28"/>
          <w:szCs w:val="36"/>
        </w:rPr>
        <w:t>②任务背景</w:t>
      </w:r>
      <w:bookmarkEnd w:id="40"/>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在给定的推广资金内，为一家经营毛绒玩具的店铺进行一个周期的推广活动。需根据系统给定的数据分析，分析买家搜索关键词、客户品牌购买偏好、成交金额指数、成交单量指数，根据分析结果与掌握的专业知识制定商品的标题优化、展位广告、搜索广告，进行标题优化时，选择合适的关键词进行结合，通过标题优化提高商品的转化量，获得更多的出售，提高商品的利润。</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标题优化结束后，需要制作搜索广告、展位广告。</w:t>
      </w:r>
    </w:p>
    <w:p>
      <w:pPr>
        <w:rPr>
          <w:b/>
          <w:bCs/>
          <w:sz w:val="28"/>
          <w:szCs w:val="36"/>
        </w:rPr>
      </w:pPr>
      <w:bookmarkStart w:id="41" w:name="_Toc699"/>
      <w:r>
        <w:rPr>
          <w:rFonts w:hint="eastAsia"/>
          <w:b/>
          <w:bCs/>
          <w:sz w:val="28"/>
          <w:szCs w:val="36"/>
        </w:rPr>
        <w:t>③任务分析</w:t>
      </w:r>
      <w:bookmarkEnd w:id="41"/>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展位广告通过展现次数计费，按照千次展现来计算收费。按照出价高低顺序展现，系统将各时间段的出价，按照竞价高低进行排名，价高者优先展现，出价最高的预算消耗完后，轮到下一位，以此类推，直到该小时流量全部消耗，排在后面的无法展现。通过搜索广告获得竞价排名，获得更多的展现数、点击数、转化数，在推广过程中能够采用合理的关键词提高展现量、点击量，降低关键词花费。通过展位广告精准定位人群，锁定优质资源位，为店铺带来精准流量，增加商品的展现数、点击数、转化量。搜索广告与展位广告的目的是通过有限的花费获得更多的点击数与转化量。</w:t>
      </w:r>
    </w:p>
    <w:p>
      <w:pPr>
        <w:rPr>
          <w:b/>
          <w:bCs/>
          <w:sz w:val="28"/>
          <w:szCs w:val="36"/>
        </w:rPr>
      </w:pPr>
      <w:bookmarkStart w:id="42" w:name="_Toc10925"/>
      <w:r>
        <w:rPr>
          <w:rFonts w:hint="eastAsia"/>
          <w:b/>
          <w:bCs/>
          <w:sz w:val="28"/>
          <w:szCs w:val="36"/>
        </w:rPr>
        <w:fldChar w:fldCharType="begin"/>
      </w:r>
      <w:r>
        <w:rPr>
          <w:rFonts w:hint="eastAsia"/>
          <w:b/>
          <w:bCs/>
          <w:sz w:val="28"/>
          <w:szCs w:val="36"/>
        </w:rPr>
        <w:instrText xml:space="preserve"> = 4 \* GB3 </w:instrText>
      </w:r>
      <w:r>
        <w:rPr>
          <w:rFonts w:hint="eastAsia"/>
          <w:b/>
          <w:bCs/>
          <w:sz w:val="28"/>
          <w:szCs w:val="36"/>
        </w:rPr>
        <w:fldChar w:fldCharType="separate"/>
      </w:r>
      <w:r>
        <w:rPr>
          <w:rFonts w:hint="eastAsia"/>
          <w:b/>
          <w:bCs/>
          <w:sz w:val="28"/>
          <w:szCs w:val="36"/>
        </w:rPr>
        <w:t>④</w:t>
      </w:r>
      <w:r>
        <w:rPr>
          <w:rFonts w:hint="eastAsia"/>
          <w:b/>
          <w:bCs/>
          <w:sz w:val="28"/>
          <w:szCs w:val="36"/>
        </w:rPr>
        <w:fldChar w:fldCharType="end"/>
      </w:r>
      <w:r>
        <w:rPr>
          <w:rFonts w:hint="eastAsia"/>
          <w:b/>
          <w:bCs/>
          <w:sz w:val="28"/>
          <w:szCs w:val="36"/>
        </w:rPr>
        <w:t>任务操作</w:t>
      </w:r>
      <w:bookmarkEnd w:id="42"/>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w:t>
      </w:r>
      <w:r>
        <w:rPr>
          <w:rFonts w:hint="eastAsia" w:ascii="仿宋" w:hAnsi="仿宋" w:eastAsia="仿宋" w:cs="仿宋"/>
          <w:sz w:val="28"/>
          <w:szCs w:val="28"/>
          <w:lang w:val="en-US" w:bidi="zh-CN"/>
        </w:rPr>
        <w:t>1</w:t>
      </w:r>
      <w:r>
        <w:rPr>
          <w:rFonts w:hint="eastAsia" w:ascii="仿宋" w:hAnsi="仿宋" w:eastAsia="仿宋" w:cs="仿宋"/>
          <w:sz w:val="28"/>
          <w:szCs w:val="28"/>
          <w:lang w:bidi="zh-CN"/>
        </w:rPr>
        <w:t>) 推广环境</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1) 数据分析</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①行业数据</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购买力：系统展示该行业产品的购买金额区间和占比。</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成交金额指数：交易成交金额的系数。</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成交单量指数：交易成交单量的系数。</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点击指数：所展示的商品类目、商品的被点击的系数。</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成交转化率：该类目、商品的成交转化百分比（转化率=成交量/点击量）。</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品牌： 客户品牌购买偏好，该类目的品牌分类占比。</w:t>
      </w:r>
    </w:p>
    <w:p>
      <w:pPr>
        <w:ind w:firstLine="560" w:firstLineChars="200"/>
        <w:rPr>
          <w:rFonts w:ascii="仿宋" w:hAnsi="仿宋" w:eastAsia="仿宋" w:cs="仿宋"/>
          <w:sz w:val="28"/>
          <w:szCs w:val="28"/>
        </w:rPr>
      </w:pPr>
      <w:r>
        <w:rPr>
          <w:rFonts w:hint="eastAsia" w:ascii="仿宋" w:hAnsi="仿宋" w:eastAsia="仿宋" w:cs="仿宋"/>
          <w:sz w:val="28"/>
          <w:szCs w:val="28"/>
          <w:lang w:bidi="zh-CN"/>
        </w:rPr>
        <w:t>趋势图：该商品、类目一年内各项数据的走势。</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②商品榜单</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交易榜单：该类目下商品的交易情况排序</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人气榜单：该类目下商品的搜索情况排序</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品牌榜单：该类目下品牌榜单排序</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金额指数：该类目下该商品价格指数</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单量指数：该类目下该商品成交订单指数</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点击指数：该类目下该商品的被点击的系数</w:t>
      </w:r>
    </w:p>
    <w:p>
      <w:pPr>
        <w:ind w:firstLine="560" w:firstLineChars="200"/>
        <w:rPr>
          <w:rFonts w:ascii="仿宋" w:hAnsi="仿宋" w:eastAsia="仿宋" w:cs="仿宋"/>
          <w:kern w:val="0"/>
          <w:sz w:val="28"/>
          <w:szCs w:val="28"/>
          <w:lang w:bidi="ar"/>
        </w:rPr>
      </w:pPr>
      <w:r>
        <w:rPr>
          <w:rFonts w:hint="eastAsia" w:ascii="仿宋" w:hAnsi="仿宋" w:eastAsia="仿宋" w:cs="仿宋"/>
          <w:sz w:val="28"/>
          <w:szCs w:val="28"/>
          <w:lang w:bidi="zh-CN"/>
        </w:rPr>
        <w:t>转化指数：该类目下该商品的成交转化系数</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③热门关键词分析</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关键词：相关类目下相应热门的搜索词汇。</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搜索量：相关类目下相应热门的搜索词汇的数量。</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点击率：点击率= 点击量/展现量*100%，即关键词带来的点击率。</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转化率：转化率= 订单数/点击量*100%，关键词带来的成交转化率。</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关键词竞争指数：反应该关键词的竞争热度。其中付费推广得到的流量为关键词总流量的 50%。</w:t>
      </w:r>
    </w:p>
    <w:p>
      <w:pPr>
        <w:ind w:firstLine="560" w:firstLineChars="200"/>
        <w:rPr>
          <w:rFonts w:ascii="仿宋" w:hAnsi="仿宋" w:eastAsia="仿宋" w:cs="仿宋"/>
          <w:kern w:val="0"/>
          <w:sz w:val="28"/>
          <w:szCs w:val="28"/>
          <w:lang w:bidi="ar"/>
        </w:rPr>
      </w:pPr>
      <w:r>
        <w:rPr>
          <w:rFonts w:hint="eastAsia" w:ascii="仿宋" w:hAnsi="仿宋" w:eastAsia="仿宋" w:cs="仿宋"/>
          <w:sz w:val="28"/>
          <w:szCs w:val="28"/>
          <w:lang w:bidi="zh-CN"/>
        </w:rPr>
        <w:t>注：系统内所有计算，均遵循四舍五入原则。</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④时间流量分析</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展现次数：查询一天内每个时间段的展现指数，查看每天展现次数的变化趋势，次数越高，展现量越高。</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点击率转化率指数：查询一天内每个时间段的点击率指数和转化率指数，查看每天展现指数的变化趋势，指数越大，点击率和转化率越高。</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⑤地域成交量解析</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查看不同地域的点击率转化率指数，点击率转化率指数越大，展现量越大。 可以通过占比进行查看，占比越高，成交单量越多。</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⑥广告出价分析</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展位广告：推广整个店铺时的资源位。</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搜索广告：单个商品推广时的资源位。</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CPM：千次展现计费，依据展现次数进行收费，适合品牌曝光和活动推广。</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CPC：点击计费，依据点击次数收费，适合品牌曝光和活动推广。</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按照不同类型展位不同付费方式查询最低出价、平均出价、建议出价。</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最低出价：该展位按 CPC 或 CPM 付费时所有卖家的最低出价。</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平均出价：该展位按 CPC 或 CPM 付费时所有卖家的平均出价。</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 xml:space="preserve"> 2) 引流推广环境</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①展位广告</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店铺推广：用于推广自己的店铺，以提高店铺的商品销量。</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每日预算：不限预算或自定义预算不能低于当前已花费的金额</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时段设置：设置投放时间，在设置的时间段内展示广告，其余时间不会展示。</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投放策略:匀速投放：时间段内的广告曝光趋于平滑和均匀；尽快投放：预算尽快消耗。</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地域设置：实现特定区域定向不同的地域设置会影响最终的【整体曝光人数预估】和【整体曝光量预估】。</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通投出价：推广出价</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整体曝光量预估：预估启用人群第二天可能带来的最大去重曝光量，预估值仅供参考，实际数据还会受到出价、投放时段等因素的影响。</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整体曝光人数预估：预估启用人群第二天可能带来的最大去重曝光访客数，预估值仅供参考，实际数据还会受到出价、投放时段等因素的影响。</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原生广告位：位于搜索推荐页的自然结果中，根据系统规则展现，右下角带有“广告”字样；一般情况每10个自然结果出一个广告</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商品精选：位于搜索结果页左侧19个及底部5个位置。</w:t>
      </w:r>
    </w:p>
    <w:p>
      <w:pPr>
        <w:ind w:firstLine="560" w:firstLineChars="200"/>
        <w:rPr>
          <w:rFonts w:ascii="仿宋" w:hAnsi="仿宋" w:eastAsia="仿宋" w:cs="仿宋"/>
          <w:sz w:val="28"/>
          <w:szCs w:val="28"/>
        </w:rPr>
      </w:pPr>
      <w:r>
        <w:rPr>
          <w:rFonts w:hint="eastAsia" w:ascii="仿宋" w:hAnsi="仿宋" w:eastAsia="仿宋" w:cs="仿宋"/>
          <w:sz w:val="28"/>
          <w:szCs w:val="28"/>
          <w:lang w:bidi="zh-CN"/>
        </w:rPr>
        <w:t>商家精选：位于搜索结果页左侧1-2个位置。</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②搜索广告</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商品推广：用于推广店铺下的商品，适用于打造爆款、推广新品及日常销售等</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选择商品：选择推广的商品。</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pc出价系数：关键词PC的出价</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溢价：该人群在原来推广计划的出价的基础上加价多少</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核心人群：购买过该宝贝、店铺的人群</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认知人群：对商品或同类型的商品有一定认知的人群</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意向人群：浏览过商品或同类型的商品的人群</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竞品人群：在其他店铺浏览或购买过同类型的商品的人群</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店铺人群：浏览过店铺的人群</w:t>
      </w:r>
    </w:p>
    <w:p>
      <w:pPr>
        <w:ind w:firstLine="560" w:firstLineChars="200"/>
        <w:rPr>
          <w:rFonts w:ascii="仿宋" w:hAnsi="仿宋" w:eastAsia="仿宋" w:cs="仿宋"/>
          <w:kern w:val="0"/>
          <w:sz w:val="28"/>
          <w:szCs w:val="28"/>
          <w:lang w:bidi="ar"/>
        </w:rPr>
      </w:pPr>
      <w:r>
        <w:rPr>
          <w:rFonts w:hint="eastAsia" w:ascii="仿宋" w:hAnsi="仿宋" w:eastAsia="仿宋" w:cs="仿宋"/>
          <w:sz w:val="28"/>
          <w:szCs w:val="28"/>
          <w:lang w:bidi="zh-CN"/>
        </w:rPr>
        <w:t>类目人群：浏览过相关类目的人群</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③关键词</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搜索广告关键词添加个数：400 个。</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搜索量：系统展示该关键词的搜索数量</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平均出价：当前该关键词的市场平均价（即系统根据该关键词的市场价综合分析得出的平均值）</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点击率（%）：关键词带来的点击率，点击率=点击量/展现量*100%</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转化率（%）：关键词到来的转化率，转化率=订单数/点击量*100%</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推荐买词热度：系统对关键词推荐系数</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pc出价：当前该关键词PC的出价</w:t>
      </w:r>
    </w:p>
    <w:p>
      <w:pPr>
        <w:ind w:firstLine="560" w:firstLineChars="200"/>
        <w:rPr>
          <w:rFonts w:ascii="仿宋" w:hAnsi="仿宋" w:eastAsia="仿宋" w:cs="仿宋"/>
          <w:sz w:val="28"/>
          <w:szCs w:val="28"/>
          <w:lang w:bidi="zh-CN"/>
        </w:rPr>
      </w:pPr>
      <w:r>
        <w:rPr>
          <w:rFonts w:hint="eastAsia" w:ascii="仿宋" w:hAnsi="仿宋" w:eastAsia="仿宋" w:cs="仿宋"/>
          <w:sz w:val="28"/>
          <w:szCs w:val="28"/>
          <w:lang w:bidi="zh-CN"/>
        </w:rPr>
        <w:t>竞争力指数：该关键词所展示的竞争系数</w:t>
      </w:r>
    </w:p>
    <w:p>
      <w:pPr>
        <w:ind w:firstLine="560" w:firstLineChars="200"/>
        <w:rPr>
          <w:rFonts w:ascii="仿宋" w:hAnsi="仿宋" w:eastAsia="仿宋" w:cs="仿宋"/>
          <w:kern w:val="0"/>
          <w:sz w:val="28"/>
          <w:szCs w:val="28"/>
          <w:lang w:bidi="ar"/>
        </w:rPr>
      </w:pPr>
      <w:r>
        <w:rPr>
          <w:rFonts w:hint="eastAsia" w:ascii="仿宋" w:hAnsi="仿宋" w:eastAsia="仿宋" w:cs="仿宋"/>
          <w:sz w:val="28"/>
          <w:szCs w:val="28"/>
          <w:lang w:bidi="zh-CN"/>
        </w:rPr>
        <w:t>出价排名：系统根据该关键词的出价的排名情况</w:t>
      </w:r>
    </w:p>
    <w:p>
      <w:pPr>
        <w:pStyle w:val="2"/>
        <w:adjustRightInd w:val="0"/>
        <w:snapToGrid w:val="0"/>
        <w:spacing w:line="360" w:lineRule="auto"/>
        <w:ind w:firstLine="480" w:firstLineChars="200"/>
        <w:jc w:val="both"/>
      </w:pPr>
    </w:p>
    <w:sectPr>
      <w:footerReference r:id="rId8" w:type="default"/>
      <w:pgSz w:w="11900" w:h="16840"/>
      <w:pgMar w:top="1440" w:right="1800" w:bottom="1440" w:left="1800" w:header="851" w:footer="992" w:gutter="0"/>
      <w:pgNumType w:start="1"/>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ABB70B-6AB7-48E6-A5B1-3951E9C5D7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9D37AC02-A70B-4F0D-8400-7845972C374E}"/>
  </w:font>
  <w:font w:name="Baoli SC">
    <w:altName w:val="宋体"/>
    <w:panose1 w:val="00000000000000000000"/>
    <w:charset w:val="86"/>
    <w:family w:val="roman"/>
    <w:pitch w:val="default"/>
    <w:sig w:usb0="00000000" w:usb1="00000000" w:usb2="00000016" w:usb3="00000000" w:csb0="0004001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embedRegular r:id="rId3" w:fontKey="{20DFD44F-849E-4301-B90C-29074E984C1E}"/>
  </w:font>
  <w:font w:name="方正小标宋简体">
    <w:panose1 w:val="02000000000000000000"/>
    <w:charset w:val="86"/>
    <w:family w:val="auto"/>
    <w:pitch w:val="default"/>
    <w:sig w:usb0="00000001" w:usb1="08000000" w:usb2="00000000" w:usb3="00000000" w:csb0="00040000" w:csb1="00000000"/>
    <w:embedRegular r:id="rId4" w:fontKey="{CC028E19-D04A-4EA2-A90C-A0C9C41AB4C0}"/>
  </w:font>
  <w:font w:name="仿宋_GB2312">
    <w:altName w:val="仿宋"/>
    <w:panose1 w:val="00000000000000000000"/>
    <w:charset w:val="86"/>
    <w:family w:val="modern"/>
    <w:pitch w:val="default"/>
    <w:sig w:usb0="00000000" w:usb1="00000000" w:usb2="00000010" w:usb3="00000000" w:csb0="00040000" w:csb1="00000000"/>
    <w:embedRegular r:id="rId5" w:fontKey="{8AD8C0CC-3A75-4564-AC70-47EB02405F1E}"/>
  </w:font>
  <w:font w:name="楷体">
    <w:panose1 w:val="02010609060101010101"/>
    <w:charset w:val="86"/>
    <w:family w:val="modern"/>
    <w:pitch w:val="default"/>
    <w:sig w:usb0="800002BF" w:usb1="38CF7CFA" w:usb2="00000016" w:usb3="00000000" w:csb0="00040001" w:csb1="00000000"/>
    <w:embedRegular r:id="rId6" w:fontKey="{9AA91AA4-06EF-44FE-A5C8-FC0B9B706E8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3"/>
      </w:rPr>
    </w:pPr>
    <w:r>
      <w:fldChar w:fldCharType="begin"/>
    </w:r>
    <w:r>
      <w:rPr>
        <w:rStyle w:val="23"/>
      </w:rPr>
      <w:instrText xml:space="preserve">PAGE  </w:instrText>
    </w:r>
    <w:r>
      <w:fldChar w:fldCharType="separate"/>
    </w:r>
    <w:r>
      <w:rPr>
        <w:rStyle w:val="23"/>
      </w:rPr>
      <w:t>1</w:t>
    </w:r>
    <w:r>
      <w:fldChar w:fldCharType="end"/>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3"/>
      </w:rPr>
    </w:pPr>
    <w:r>
      <w:fldChar w:fldCharType="begin"/>
    </w:r>
    <w:r>
      <w:rPr>
        <w:rStyle w:val="23"/>
      </w:rPr>
      <w:instrText xml:space="preserve">PAGE  </w:instrText>
    </w:r>
    <w:r>
      <w:fldChar w:fldCharType="end"/>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I</w:t>
    </w:r>
    <w:r>
      <w:rPr>
        <w:lang w:val="zh-CN"/>
      </w:rP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412002710"/>
                          </w:sdtPr>
                          <w:sdtContent>
                            <w:p>
                              <w:pPr>
                                <w:pStyle w:val="12"/>
                                <w:jc w:val="center"/>
                              </w:pPr>
                              <w:r>
                                <w:fldChar w:fldCharType="begin"/>
                              </w:r>
                              <w:r>
                                <w:instrText xml:space="preserve">PAGE   \* MERGEFORMAT</w:instrText>
                              </w:r>
                              <w:r>
                                <w:fldChar w:fldCharType="separate"/>
                              </w:r>
                              <w:r>
                                <w:rPr>
                                  <w:lang w:val="zh-CN"/>
                                </w:rPr>
                                <w:t>10</w:t>
                              </w:r>
                              <w:r>
                                <w:rPr>
                                  <w:lang w:val="zh-CN"/>
                                </w:rP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sdt>
                    <w:sdtPr>
                      <w:id w:val="-412002710"/>
                    </w:sdtPr>
                    <w:sdtContent>
                      <w:p>
                        <w:pPr>
                          <w:pStyle w:val="12"/>
                          <w:jc w:val="center"/>
                        </w:pPr>
                        <w:r>
                          <w:fldChar w:fldCharType="begin"/>
                        </w:r>
                        <w:r>
                          <w:instrText xml:space="preserve">PAGE   \* MERGEFORMAT</w:instrText>
                        </w:r>
                        <w:r>
                          <w:fldChar w:fldCharType="separate"/>
                        </w:r>
                        <w:r>
                          <w:rPr>
                            <w:lang w:val="zh-CN"/>
                          </w:rPr>
                          <w:t>10</w:t>
                        </w:r>
                        <w:r>
                          <w:rPr>
                            <w:lang w:val="zh-CN"/>
                          </w:rPr>
                          <w:fldChar w:fldCharType="end"/>
                        </w:r>
                      </w:p>
                    </w:sdtContent>
                  </w:sdt>
                  <w:p/>
                </w:txbxContent>
              </v:textbox>
            </v:shape>
          </w:pict>
        </mc:Fallback>
      </mc:AlternateContent>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86EEE5"/>
    <w:multiLevelType w:val="singleLevel"/>
    <w:tmpl w:val="B386EEE5"/>
    <w:lvl w:ilvl="0" w:tentative="0">
      <w:start w:val="1"/>
      <w:numFmt w:val="decimal"/>
      <w:suff w:val="nothing"/>
      <w:lvlText w:val="（%1）"/>
      <w:lvlJc w:val="left"/>
    </w:lvl>
  </w:abstractNum>
  <w:abstractNum w:abstractNumId="1">
    <w:nsid w:val="3B78780B"/>
    <w:multiLevelType w:val="singleLevel"/>
    <w:tmpl w:val="3B78780B"/>
    <w:lvl w:ilvl="0" w:tentative="0">
      <w:start w:val="4"/>
      <w:numFmt w:val="chineseCounting"/>
      <w:suff w:val="nothing"/>
      <w:lvlText w:val="%1、"/>
      <w:lvlJc w:val="left"/>
      <w:rPr>
        <w:rFonts w:hint="eastAsia"/>
      </w:rPr>
    </w:lvl>
  </w:abstractNum>
  <w:abstractNum w:abstractNumId="2">
    <w:nsid w:val="41052020"/>
    <w:multiLevelType w:val="multilevel"/>
    <w:tmpl w:val="41052020"/>
    <w:lvl w:ilvl="0" w:tentative="0">
      <w:start w:val="1"/>
      <w:numFmt w:val="chineseCountingThousand"/>
      <w:pStyle w:val="4"/>
      <w:lvlText w:val="%1、"/>
      <w:lvlJc w:val="left"/>
      <w:pPr>
        <w:ind w:left="425" w:hanging="425"/>
      </w:pPr>
      <w:rPr>
        <w:rFonts w:hint="eastAsia"/>
      </w:rPr>
    </w:lvl>
    <w:lvl w:ilvl="1" w:tentative="0">
      <w:start w:val="1"/>
      <w:numFmt w:val="chineseCountingThousand"/>
      <w:pStyle w:val="5"/>
      <w:lvlText w:val="（%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tentative="0">
      <w:start w:val="1"/>
      <w:numFmt w:val="decimal"/>
      <w:lvlText w:val="%3、"/>
      <w:lvlJc w:val="left"/>
      <w:pPr>
        <w:ind w:left="1418" w:hanging="567"/>
      </w:pPr>
      <w:rPr>
        <w:rFonts w:hint="eastAsia"/>
      </w:rPr>
    </w:lvl>
    <w:lvl w:ilvl="3" w:tentative="0">
      <w:start w:val="1"/>
      <w:numFmt w:val="decimal"/>
      <w:lvlText w:val="（%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200"/>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zMTY5ZjNhYjI4YWRjMjYxYWI4YTI0ZDU5NGI2MjMifQ=="/>
  </w:docVars>
  <w:rsids>
    <w:rsidRoot w:val="00961977"/>
    <w:rsid w:val="0000084C"/>
    <w:rsid w:val="0000457C"/>
    <w:rsid w:val="00011FB9"/>
    <w:rsid w:val="000120BC"/>
    <w:rsid w:val="000229D6"/>
    <w:rsid w:val="000262A1"/>
    <w:rsid w:val="0003693A"/>
    <w:rsid w:val="000532E8"/>
    <w:rsid w:val="00076B6C"/>
    <w:rsid w:val="0008659D"/>
    <w:rsid w:val="000A3929"/>
    <w:rsid w:val="000C1A4A"/>
    <w:rsid w:val="000D5605"/>
    <w:rsid w:val="000E3517"/>
    <w:rsid w:val="001416A3"/>
    <w:rsid w:val="00141D82"/>
    <w:rsid w:val="0014296F"/>
    <w:rsid w:val="00172333"/>
    <w:rsid w:val="00175789"/>
    <w:rsid w:val="0018102A"/>
    <w:rsid w:val="00184A4F"/>
    <w:rsid w:val="001B6E33"/>
    <w:rsid w:val="001E2584"/>
    <w:rsid w:val="001E4497"/>
    <w:rsid w:val="001F575F"/>
    <w:rsid w:val="001F7126"/>
    <w:rsid w:val="00220505"/>
    <w:rsid w:val="002308D1"/>
    <w:rsid w:val="00236CE8"/>
    <w:rsid w:val="0026531F"/>
    <w:rsid w:val="00270EB1"/>
    <w:rsid w:val="002864DA"/>
    <w:rsid w:val="00291E5D"/>
    <w:rsid w:val="002B57E8"/>
    <w:rsid w:val="002C01CC"/>
    <w:rsid w:val="002C03F1"/>
    <w:rsid w:val="002C33A2"/>
    <w:rsid w:val="002D05DC"/>
    <w:rsid w:val="002F7D13"/>
    <w:rsid w:val="003057C6"/>
    <w:rsid w:val="00316B95"/>
    <w:rsid w:val="00346777"/>
    <w:rsid w:val="003567BE"/>
    <w:rsid w:val="003878EF"/>
    <w:rsid w:val="00387A5D"/>
    <w:rsid w:val="003A3C7B"/>
    <w:rsid w:val="003B2F90"/>
    <w:rsid w:val="003B5FF0"/>
    <w:rsid w:val="003C7CA6"/>
    <w:rsid w:val="003D2B3C"/>
    <w:rsid w:val="003E6FDF"/>
    <w:rsid w:val="003F1524"/>
    <w:rsid w:val="00412919"/>
    <w:rsid w:val="00440E15"/>
    <w:rsid w:val="004529A2"/>
    <w:rsid w:val="00456400"/>
    <w:rsid w:val="00456D4E"/>
    <w:rsid w:val="00460602"/>
    <w:rsid w:val="00480536"/>
    <w:rsid w:val="004822F5"/>
    <w:rsid w:val="004960D5"/>
    <w:rsid w:val="004A0074"/>
    <w:rsid w:val="004B38CF"/>
    <w:rsid w:val="004B6A1E"/>
    <w:rsid w:val="004B6C07"/>
    <w:rsid w:val="004C33CC"/>
    <w:rsid w:val="004E4B29"/>
    <w:rsid w:val="004F0A0F"/>
    <w:rsid w:val="00507911"/>
    <w:rsid w:val="00521318"/>
    <w:rsid w:val="00521E44"/>
    <w:rsid w:val="00545935"/>
    <w:rsid w:val="005459BE"/>
    <w:rsid w:val="005472FE"/>
    <w:rsid w:val="00584665"/>
    <w:rsid w:val="00585AF7"/>
    <w:rsid w:val="005A2BB6"/>
    <w:rsid w:val="005C099D"/>
    <w:rsid w:val="005C43F7"/>
    <w:rsid w:val="005E5E79"/>
    <w:rsid w:val="006129C9"/>
    <w:rsid w:val="00627D26"/>
    <w:rsid w:val="0063737F"/>
    <w:rsid w:val="00647FD1"/>
    <w:rsid w:val="00674101"/>
    <w:rsid w:val="00696407"/>
    <w:rsid w:val="006A061E"/>
    <w:rsid w:val="006A1066"/>
    <w:rsid w:val="00706DD7"/>
    <w:rsid w:val="00725A63"/>
    <w:rsid w:val="0074136F"/>
    <w:rsid w:val="00744273"/>
    <w:rsid w:val="00746E7E"/>
    <w:rsid w:val="007538E1"/>
    <w:rsid w:val="007B5632"/>
    <w:rsid w:val="007B686C"/>
    <w:rsid w:val="007D4830"/>
    <w:rsid w:val="007D704F"/>
    <w:rsid w:val="007F03BD"/>
    <w:rsid w:val="007F24D2"/>
    <w:rsid w:val="00802AE1"/>
    <w:rsid w:val="008335C9"/>
    <w:rsid w:val="00846640"/>
    <w:rsid w:val="00861BC8"/>
    <w:rsid w:val="008C3DA0"/>
    <w:rsid w:val="008C49E6"/>
    <w:rsid w:val="008C5BDF"/>
    <w:rsid w:val="008D1703"/>
    <w:rsid w:val="008D4420"/>
    <w:rsid w:val="008D76C4"/>
    <w:rsid w:val="008E00AD"/>
    <w:rsid w:val="008E60F4"/>
    <w:rsid w:val="008F45F2"/>
    <w:rsid w:val="009238E4"/>
    <w:rsid w:val="009347C2"/>
    <w:rsid w:val="00934DA3"/>
    <w:rsid w:val="00953E7F"/>
    <w:rsid w:val="009560D0"/>
    <w:rsid w:val="00961977"/>
    <w:rsid w:val="00966430"/>
    <w:rsid w:val="00975637"/>
    <w:rsid w:val="009962A2"/>
    <w:rsid w:val="00997350"/>
    <w:rsid w:val="009B1811"/>
    <w:rsid w:val="009D0EEB"/>
    <w:rsid w:val="009E496C"/>
    <w:rsid w:val="009E5513"/>
    <w:rsid w:val="009F0E74"/>
    <w:rsid w:val="00A0608A"/>
    <w:rsid w:val="00A10206"/>
    <w:rsid w:val="00A121D3"/>
    <w:rsid w:val="00A2096B"/>
    <w:rsid w:val="00A5111B"/>
    <w:rsid w:val="00A616BE"/>
    <w:rsid w:val="00A62324"/>
    <w:rsid w:val="00A726E0"/>
    <w:rsid w:val="00A76B7B"/>
    <w:rsid w:val="00A8330A"/>
    <w:rsid w:val="00AA5BBB"/>
    <w:rsid w:val="00AB14D0"/>
    <w:rsid w:val="00AB79DC"/>
    <w:rsid w:val="00AC0070"/>
    <w:rsid w:val="00AC0234"/>
    <w:rsid w:val="00AE3E27"/>
    <w:rsid w:val="00B01788"/>
    <w:rsid w:val="00B03A41"/>
    <w:rsid w:val="00B13CAE"/>
    <w:rsid w:val="00B14130"/>
    <w:rsid w:val="00B176E6"/>
    <w:rsid w:val="00B553A4"/>
    <w:rsid w:val="00B62B52"/>
    <w:rsid w:val="00BA5B9E"/>
    <w:rsid w:val="00BB1732"/>
    <w:rsid w:val="00BB1779"/>
    <w:rsid w:val="00BB657B"/>
    <w:rsid w:val="00BC3BC4"/>
    <w:rsid w:val="00BC629B"/>
    <w:rsid w:val="00BE6C1A"/>
    <w:rsid w:val="00C074E1"/>
    <w:rsid w:val="00C168BA"/>
    <w:rsid w:val="00C443E1"/>
    <w:rsid w:val="00C53A01"/>
    <w:rsid w:val="00C56B75"/>
    <w:rsid w:val="00C56F88"/>
    <w:rsid w:val="00C71861"/>
    <w:rsid w:val="00C77082"/>
    <w:rsid w:val="00C93F88"/>
    <w:rsid w:val="00CC6CB4"/>
    <w:rsid w:val="00CE14F6"/>
    <w:rsid w:val="00CE2744"/>
    <w:rsid w:val="00CE2C1A"/>
    <w:rsid w:val="00D14BD2"/>
    <w:rsid w:val="00D4067F"/>
    <w:rsid w:val="00D516BF"/>
    <w:rsid w:val="00D5632A"/>
    <w:rsid w:val="00D603AB"/>
    <w:rsid w:val="00DB1A88"/>
    <w:rsid w:val="00DC5C4E"/>
    <w:rsid w:val="00DC6DEF"/>
    <w:rsid w:val="00DE39D9"/>
    <w:rsid w:val="00DE49EE"/>
    <w:rsid w:val="00E07B2B"/>
    <w:rsid w:val="00E177D0"/>
    <w:rsid w:val="00E32FE6"/>
    <w:rsid w:val="00E35C13"/>
    <w:rsid w:val="00E8404C"/>
    <w:rsid w:val="00E95355"/>
    <w:rsid w:val="00EC5C36"/>
    <w:rsid w:val="00EC7808"/>
    <w:rsid w:val="00F115C4"/>
    <w:rsid w:val="00F40147"/>
    <w:rsid w:val="00F617D2"/>
    <w:rsid w:val="00FA4324"/>
    <w:rsid w:val="00FA50E3"/>
    <w:rsid w:val="00FB4532"/>
    <w:rsid w:val="014D1317"/>
    <w:rsid w:val="0184307A"/>
    <w:rsid w:val="0285254E"/>
    <w:rsid w:val="02953BD7"/>
    <w:rsid w:val="02B8743B"/>
    <w:rsid w:val="036F35B2"/>
    <w:rsid w:val="0383336E"/>
    <w:rsid w:val="042174A7"/>
    <w:rsid w:val="06143050"/>
    <w:rsid w:val="062E4A77"/>
    <w:rsid w:val="06334007"/>
    <w:rsid w:val="06857060"/>
    <w:rsid w:val="074058BD"/>
    <w:rsid w:val="07FD25E9"/>
    <w:rsid w:val="094E5A7B"/>
    <w:rsid w:val="09EB1A96"/>
    <w:rsid w:val="0A025132"/>
    <w:rsid w:val="0A814DC3"/>
    <w:rsid w:val="0ADB4AB9"/>
    <w:rsid w:val="0ADC2B8F"/>
    <w:rsid w:val="0AFF5B62"/>
    <w:rsid w:val="0BF26547"/>
    <w:rsid w:val="0C4E2A81"/>
    <w:rsid w:val="0C9857C0"/>
    <w:rsid w:val="0E95526B"/>
    <w:rsid w:val="0EB76070"/>
    <w:rsid w:val="10173CC0"/>
    <w:rsid w:val="102C04F1"/>
    <w:rsid w:val="10D764C7"/>
    <w:rsid w:val="116A0DAD"/>
    <w:rsid w:val="129B053E"/>
    <w:rsid w:val="142E57E0"/>
    <w:rsid w:val="145A1CE2"/>
    <w:rsid w:val="1508650A"/>
    <w:rsid w:val="15C038E1"/>
    <w:rsid w:val="17542832"/>
    <w:rsid w:val="17EA25AC"/>
    <w:rsid w:val="1813479A"/>
    <w:rsid w:val="19E41BC5"/>
    <w:rsid w:val="19ED13E7"/>
    <w:rsid w:val="1A801F9C"/>
    <w:rsid w:val="1A9056D0"/>
    <w:rsid w:val="1AFA27EC"/>
    <w:rsid w:val="1C1E48C5"/>
    <w:rsid w:val="1C7525E2"/>
    <w:rsid w:val="1CA05BB9"/>
    <w:rsid w:val="1DBE7D8F"/>
    <w:rsid w:val="1EF9780E"/>
    <w:rsid w:val="1FD25F54"/>
    <w:rsid w:val="21D01DA3"/>
    <w:rsid w:val="22C73E32"/>
    <w:rsid w:val="22E47DF4"/>
    <w:rsid w:val="238A34B9"/>
    <w:rsid w:val="24915924"/>
    <w:rsid w:val="25330500"/>
    <w:rsid w:val="25A718F0"/>
    <w:rsid w:val="268C6062"/>
    <w:rsid w:val="26A65ABB"/>
    <w:rsid w:val="27A34762"/>
    <w:rsid w:val="27DA2D6F"/>
    <w:rsid w:val="281851C1"/>
    <w:rsid w:val="28477CE6"/>
    <w:rsid w:val="286C567C"/>
    <w:rsid w:val="29031963"/>
    <w:rsid w:val="29CA4960"/>
    <w:rsid w:val="29F03E8D"/>
    <w:rsid w:val="29F90254"/>
    <w:rsid w:val="2A4B3BF4"/>
    <w:rsid w:val="2A4C515B"/>
    <w:rsid w:val="2A7F0333"/>
    <w:rsid w:val="2ABF1AD5"/>
    <w:rsid w:val="2AC11AAE"/>
    <w:rsid w:val="2B3A0A48"/>
    <w:rsid w:val="2B6E3725"/>
    <w:rsid w:val="2B9F1A31"/>
    <w:rsid w:val="2C2C06DB"/>
    <w:rsid w:val="2CD20350"/>
    <w:rsid w:val="2D7918F3"/>
    <w:rsid w:val="2DA75960"/>
    <w:rsid w:val="2DAF093B"/>
    <w:rsid w:val="2E257E24"/>
    <w:rsid w:val="2E6C46DB"/>
    <w:rsid w:val="2F283241"/>
    <w:rsid w:val="300D5966"/>
    <w:rsid w:val="300E46C9"/>
    <w:rsid w:val="30B90E04"/>
    <w:rsid w:val="31175F84"/>
    <w:rsid w:val="31CF2D03"/>
    <w:rsid w:val="32715B68"/>
    <w:rsid w:val="32DE47BC"/>
    <w:rsid w:val="33533A5B"/>
    <w:rsid w:val="34371ADE"/>
    <w:rsid w:val="355D57E7"/>
    <w:rsid w:val="35C21EAF"/>
    <w:rsid w:val="35E059D5"/>
    <w:rsid w:val="36093D1E"/>
    <w:rsid w:val="362C1A2C"/>
    <w:rsid w:val="366C5CF1"/>
    <w:rsid w:val="36765B34"/>
    <w:rsid w:val="36FE5CBF"/>
    <w:rsid w:val="37113D63"/>
    <w:rsid w:val="37F5353E"/>
    <w:rsid w:val="385C6972"/>
    <w:rsid w:val="39E6508D"/>
    <w:rsid w:val="3A361558"/>
    <w:rsid w:val="3A6928D9"/>
    <w:rsid w:val="3BCB17C0"/>
    <w:rsid w:val="3C2B0F4A"/>
    <w:rsid w:val="3C622D13"/>
    <w:rsid w:val="3C7474B8"/>
    <w:rsid w:val="3D035DB1"/>
    <w:rsid w:val="3D126735"/>
    <w:rsid w:val="3D8615C0"/>
    <w:rsid w:val="3D9B07C2"/>
    <w:rsid w:val="3DD86AA8"/>
    <w:rsid w:val="3E2A34A4"/>
    <w:rsid w:val="3E874DE3"/>
    <w:rsid w:val="3ED27801"/>
    <w:rsid w:val="3EF43791"/>
    <w:rsid w:val="3F7B0026"/>
    <w:rsid w:val="3F7B0560"/>
    <w:rsid w:val="3F7C4041"/>
    <w:rsid w:val="3F7D4CC3"/>
    <w:rsid w:val="3FAE4321"/>
    <w:rsid w:val="402E132F"/>
    <w:rsid w:val="405235BD"/>
    <w:rsid w:val="415E158E"/>
    <w:rsid w:val="424A40C5"/>
    <w:rsid w:val="42E83581"/>
    <w:rsid w:val="444E1779"/>
    <w:rsid w:val="451047E2"/>
    <w:rsid w:val="452805AD"/>
    <w:rsid w:val="4529605B"/>
    <w:rsid w:val="45434779"/>
    <w:rsid w:val="454C51FD"/>
    <w:rsid w:val="46B01571"/>
    <w:rsid w:val="47AD00C8"/>
    <w:rsid w:val="482C0523"/>
    <w:rsid w:val="483C54DF"/>
    <w:rsid w:val="48D070B0"/>
    <w:rsid w:val="49CA28AC"/>
    <w:rsid w:val="49FA0399"/>
    <w:rsid w:val="4B0A5A77"/>
    <w:rsid w:val="4B8D6B8C"/>
    <w:rsid w:val="4BB33AA2"/>
    <w:rsid w:val="4D0D5F64"/>
    <w:rsid w:val="4DDA685F"/>
    <w:rsid w:val="4E2A2A1E"/>
    <w:rsid w:val="4EAB0DAA"/>
    <w:rsid w:val="4EBD03BB"/>
    <w:rsid w:val="4F4A3DEB"/>
    <w:rsid w:val="4F4C686B"/>
    <w:rsid w:val="4FDA3314"/>
    <w:rsid w:val="51226DA0"/>
    <w:rsid w:val="52A92D00"/>
    <w:rsid w:val="52BC1599"/>
    <w:rsid w:val="537C3CED"/>
    <w:rsid w:val="54380564"/>
    <w:rsid w:val="549C60EC"/>
    <w:rsid w:val="549E4165"/>
    <w:rsid w:val="549F636F"/>
    <w:rsid w:val="54A92154"/>
    <w:rsid w:val="55232652"/>
    <w:rsid w:val="56677FFC"/>
    <w:rsid w:val="56B62520"/>
    <w:rsid w:val="571A6C03"/>
    <w:rsid w:val="57263664"/>
    <w:rsid w:val="579B217F"/>
    <w:rsid w:val="57B13514"/>
    <w:rsid w:val="58140165"/>
    <w:rsid w:val="586461BA"/>
    <w:rsid w:val="59066852"/>
    <w:rsid w:val="598202AC"/>
    <w:rsid w:val="59BD4BF4"/>
    <w:rsid w:val="5A1D625F"/>
    <w:rsid w:val="5A33376A"/>
    <w:rsid w:val="5A833104"/>
    <w:rsid w:val="5A99128A"/>
    <w:rsid w:val="5BAE1443"/>
    <w:rsid w:val="5BDA1875"/>
    <w:rsid w:val="5C2233A1"/>
    <w:rsid w:val="5C3B6DC8"/>
    <w:rsid w:val="5D501FA3"/>
    <w:rsid w:val="5EF241B7"/>
    <w:rsid w:val="5F130DCE"/>
    <w:rsid w:val="5F7657D5"/>
    <w:rsid w:val="5F92770A"/>
    <w:rsid w:val="608D150F"/>
    <w:rsid w:val="60E4146D"/>
    <w:rsid w:val="60F32560"/>
    <w:rsid w:val="61006727"/>
    <w:rsid w:val="613952DB"/>
    <w:rsid w:val="61783A29"/>
    <w:rsid w:val="628D2625"/>
    <w:rsid w:val="635057D7"/>
    <w:rsid w:val="636241A2"/>
    <w:rsid w:val="63680A5A"/>
    <w:rsid w:val="63E03AA2"/>
    <w:rsid w:val="63F1249E"/>
    <w:rsid w:val="64713501"/>
    <w:rsid w:val="64C54988"/>
    <w:rsid w:val="65144F69"/>
    <w:rsid w:val="667849BC"/>
    <w:rsid w:val="677C5B75"/>
    <w:rsid w:val="67FA7F19"/>
    <w:rsid w:val="682B2230"/>
    <w:rsid w:val="689B3068"/>
    <w:rsid w:val="69294466"/>
    <w:rsid w:val="69C34040"/>
    <w:rsid w:val="69CF12F0"/>
    <w:rsid w:val="6A3F7D1E"/>
    <w:rsid w:val="6A6C483F"/>
    <w:rsid w:val="6AD45B74"/>
    <w:rsid w:val="6AF85F09"/>
    <w:rsid w:val="6B15271A"/>
    <w:rsid w:val="6BEC3E5C"/>
    <w:rsid w:val="6D7F7D4C"/>
    <w:rsid w:val="6E2C1820"/>
    <w:rsid w:val="6EB26320"/>
    <w:rsid w:val="6F080FB9"/>
    <w:rsid w:val="6FB533FC"/>
    <w:rsid w:val="6FF52CC7"/>
    <w:rsid w:val="705649C0"/>
    <w:rsid w:val="716920F7"/>
    <w:rsid w:val="717B33F2"/>
    <w:rsid w:val="72A025D3"/>
    <w:rsid w:val="73F51308"/>
    <w:rsid w:val="74E25E76"/>
    <w:rsid w:val="751F25A5"/>
    <w:rsid w:val="75271290"/>
    <w:rsid w:val="75424876"/>
    <w:rsid w:val="75A91C95"/>
    <w:rsid w:val="76BF646F"/>
    <w:rsid w:val="76C70EA9"/>
    <w:rsid w:val="76ED3F98"/>
    <w:rsid w:val="77296904"/>
    <w:rsid w:val="7754330A"/>
    <w:rsid w:val="779D1F84"/>
    <w:rsid w:val="77CD55A2"/>
    <w:rsid w:val="79017606"/>
    <w:rsid w:val="794105D9"/>
    <w:rsid w:val="79823784"/>
    <w:rsid w:val="79BF0F24"/>
    <w:rsid w:val="7C340AB7"/>
    <w:rsid w:val="7C5D0C9A"/>
    <w:rsid w:val="7C79281B"/>
    <w:rsid w:val="7D260A45"/>
    <w:rsid w:val="7D2B5C6D"/>
    <w:rsid w:val="7DE014D9"/>
    <w:rsid w:val="7E111221"/>
    <w:rsid w:val="7E304131"/>
    <w:rsid w:val="7E3E5331"/>
    <w:rsid w:val="7F0D2A89"/>
    <w:rsid w:val="7F3537CE"/>
    <w:rsid w:val="7F5235B6"/>
    <w:rsid w:val="7F645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2"/>
    <w:qFormat/>
    <w:uiPriority w:val="9"/>
    <w:pPr>
      <w:keepNext/>
      <w:keepLines/>
      <w:numPr>
        <w:ilvl w:val="0"/>
        <w:numId w:val="1"/>
      </w:numPr>
      <w:spacing w:before="340" w:after="330" w:line="578" w:lineRule="auto"/>
      <w:outlineLvl w:val="0"/>
    </w:pPr>
    <w:rPr>
      <w:b/>
      <w:bCs/>
      <w:kern w:val="44"/>
      <w:sz w:val="44"/>
      <w:szCs w:val="44"/>
    </w:rPr>
  </w:style>
  <w:style w:type="paragraph" w:styleId="5">
    <w:name w:val="heading 2"/>
    <w:basedOn w:val="1"/>
    <w:next w:val="1"/>
    <w:link w:val="34"/>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unhideWhenUsed/>
    <w:qFormat/>
    <w:uiPriority w:val="0"/>
    <w:pPr>
      <w:spacing w:beforeLines="50" w:afterLines="50"/>
      <w:outlineLvl w:val="3"/>
    </w:pPr>
    <w:rPr>
      <w:rFonts w:hint="eastAsia" w:ascii="仿宋" w:hAnsi="仿宋"/>
      <w:b/>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8"/>
    <w:qFormat/>
    <w:uiPriority w:val="1"/>
    <w:pPr>
      <w:jc w:val="left"/>
    </w:pPr>
    <w:rPr>
      <w:rFonts w:ascii="Baoli SC" w:hAnsi="Baoli SC" w:eastAsia="Baoli SC" w:cstheme="minorBidi"/>
      <w:kern w:val="0"/>
      <w:sz w:val="24"/>
    </w:rPr>
  </w:style>
  <w:style w:type="paragraph" w:customStyle="1" w:styleId="3">
    <w:name w:val="Default"/>
    <w:unhideWhenUsed/>
    <w:qFormat/>
    <w:uiPriority w:val="0"/>
    <w:pPr>
      <w:widowControl w:val="0"/>
      <w:autoSpaceDE w:val="0"/>
      <w:autoSpaceDN w:val="0"/>
      <w:adjustRightInd w:val="0"/>
    </w:pPr>
    <w:rPr>
      <w:rFonts w:hint="eastAsia" w:ascii="Calibri" w:hAnsi="Calibri" w:eastAsia="宋体" w:cstheme="minorBidi"/>
      <w:color w:val="000000"/>
      <w:sz w:val="24"/>
      <w:szCs w:val="22"/>
      <w:lang w:val="en-US" w:eastAsia="zh-CN" w:bidi="ar-SA"/>
    </w:rPr>
  </w:style>
  <w:style w:type="paragraph" w:styleId="7">
    <w:name w:val="toc 7"/>
    <w:basedOn w:val="1"/>
    <w:next w:val="1"/>
    <w:unhideWhenUsed/>
    <w:qFormat/>
    <w:uiPriority w:val="39"/>
    <w:pPr>
      <w:ind w:left="1260"/>
      <w:jc w:val="left"/>
    </w:pPr>
    <w:rPr>
      <w:rFonts w:asciiTheme="minorHAnsi" w:eastAsiaTheme="minorHAnsi"/>
      <w:sz w:val="20"/>
      <w:szCs w:val="20"/>
    </w:rPr>
  </w:style>
  <w:style w:type="paragraph" w:styleId="8">
    <w:name w:val="toc 5"/>
    <w:basedOn w:val="1"/>
    <w:next w:val="1"/>
    <w:unhideWhenUsed/>
    <w:qFormat/>
    <w:uiPriority w:val="39"/>
    <w:pPr>
      <w:ind w:left="840"/>
      <w:jc w:val="left"/>
    </w:pPr>
    <w:rPr>
      <w:rFonts w:asciiTheme="minorHAnsi" w:eastAsiaTheme="minorHAnsi"/>
      <w:sz w:val="20"/>
      <w:szCs w:val="20"/>
    </w:rPr>
  </w:style>
  <w:style w:type="paragraph" w:styleId="9">
    <w:name w:val="toc 3"/>
    <w:basedOn w:val="1"/>
    <w:next w:val="1"/>
    <w:unhideWhenUsed/>
    <w:qFormat/>
    <w:uiPriority w:val="39"/>
    <w:pPr>
      <w:ind w:left="420"/>
      <w:jc w:val="left"/>
    </w:pPr>
    <w:rPr>
      <w:rFonts w:asciiTheme="minorHAnsi" w:eastAsiaTheme="minorHAnsi"/>
      <w:sz w:val="22"/>
      <w:szCs w:val="22"/>
    </w:rPr>
  </w:style>
  <w:style w:type="paragraph" w:styleId="10">
    <w:name w:val="toc 8"/>
    <w:basedOn w:val="1"/>
    <w:next w:val="1"/>
    <w:unhideWhenUsed/>
    <w:qFormat/>
    <w:uiPriority w:val="39"/>
    <w:pPr>
      <w:ind w:left="1470"/>
      <w:jc w:val="left"/>
    </w:pPr>
    <w:rPr>
      <w:rFonts w:asciiTheme="minorHAnsi" w:eastAsiaTheme="minorHAnsi"/>
      <w:sz w:val="20"/>
      <w:szCs w:val="20"/>
    </w:rPr>
  </w:style>
  <w:style w:type="paragraph" w:styleId="11">
    <w:name w:val="Balloon Text"/>
    <w:basedOn w:val="1"/>
    <w:link w:val="35"/>
    <w:semiHidden/>
    <w:unhideWhenUsed/>
    <w:qFormat/>
    <w:uiPriority w:val="99"/>
    <w:rPr>
      <w:sz w:val="18"/>
      <w:szCs w:val="18"/>
    </w:rPr>
  </w:style>
  <w:style w:type="paragraph" w:styleId="12">
    <w:name w:val="footer"/>
    <w:basedOn w:val="1"/>
    <w:link w:val="26"/>
    <w:qFormat/>
    <w:uiPriority w:val="99"/>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spacing w:before="120"/>
      <w:jc w:val="left"/>
    </w:pPr>
    <w:rPr>
      <w:rFonts w:asciiTheme="minorHAnsi" w:eastAsiaTheme="minorHAnsi"/>
      <w:b/>
      <w:bCs/>
      <w:sz w:val="24"/>
    </w:rPr>
  </w:style>
  <w:style w:type="paragraph" w:styleId="15">
    <w:name w:val="toc 4"/>
    <w:basedOn w:val="1"/>
    <w:next w:val="1"/>
    <w:unhideWhenUsed/>
    <w:qFormat/>
    <w:uiPriority w:val="39"/>
    <w:pPr>
      <w:ind w:left="630"/>
      <w:jc w:val="left"/>
    </w:pPr>
    <w:rPr>
      <w:rFonts w:asciiTheme="minorHAnsi" w:eastAsiaTheme="minorHAnsi"/>
      <w:sz w:val="20"/>
      <w:szCs w:val="20"/>
    </w:rPr>
  </w:style>
  <w:style w:type="paragraph" w:styleId="16">
    <w:name w:val="toc 6"/>
    <w:basedOn w:val="1"/>
    <w:next w:val="1"/>
    <w:unhideWhenUsed/>
    <w:qFormat/>
    <w:uiPriority w:val="39"/>
    <w:pPr>
      <w:ind w:left="1050"/>
      <w:jc w:val="left"/>
    </w:pPr>
    <w:rPr>
      <w:rFonts w:asciiTheme="minorHAnsi" w:eastAsiaTheme="minorHAnsi"/>
      <w:sz w:val="20"/>
      <w:szCs w:val="20"/>
    </w:rPr>
  </w:style>
  <w:style w:type="paragraph" w:styleId="17">
    <w:name w:val="toc 2"/>
    <w:basedOn w:val="1"/>
    <w:next w:val="1"/>
    <w:qFormat/>
    <w:uiPriority w:val="39"/>
    <w:pPr>
      <w:ind w:left="210"/>
      <w:jc w:val="left"/>
    </w:pPr>
    <w:rPr>
      <w:rFonts w:asciiTheme="minorHAnsi" w:eastAsiaTheme="minorHAnsi"/>
      <w:b/>
      <w:bCs/>
      <w:sz w:val="22"/>
      <w:szCs w:val="22"/>
    </w:rPr>
  </w:style>
  <w:style w:type="paragraph" w:styleId="18">
    <w:name w:val="toc 9"/>
    <w:basedOn w:val="1"/>
    <w:next w:val="1"/>
    <w:unhideWhenUsed/>
    <w:qFormat/>
    <w:uiPriority w:val="39"/>
    <w:pPr>
      <w:ind w:left="1680"/>
      <w:jc w:val="left"/>
    </w:pPr>
    <w:rPr>
      <w:rFonts w:asciiTheme="minorHAnsi" w:eastAsiaTheme="minorHAnsi"/>
      <w:sz w:val="20"/>
      <w:szCs w:val="20"/>
    </w:rPr>
  </w:style>
  <w:style w:type="paragraph" w:styleId="19">
    <w:name w:val="Normal (Web)"/>
    <w:basedOn w:val="1"/>
    <w:semiHidden/>
    <w:unhideWhenUsed/>
    <w:qFormat/>
    <w:uiPriority w:val="99"/>
    <w:rPr>
      <w:sz w:val="24"/>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style>
  <w:style w:type="character" w:styleId="24">
    <w:name w:val="Emphasis"/>
    <w:basedOn w:val="22"/>
    <w:qFormat/>
    <w:uiPriority w:val="20"/>
    <w:rPr>
      <w:i/>
    </w:rPr>
  </w:style>
  <w:style w:type="character" w:styleId="25">
    <w:name w:val="Hyperlink"/>
    <w:unhideWhenUsed/>
    <w:qFormat/>
    <w:uiPriority w:val="99"/>
    <w:rPr>
      <w:color w:val="0000FF"/>
      <w:u w:val="single"/>
    </w:rPr>
  </w:style>
  <w:style w:type="character" w:customStyle="1" w:styleId="26">
    <w:name w:val="页脚 字符"/>
    <w:basedOn w:val="22"/>
    <w:link w:val="12"/>
    <w:qFormat/>
    <w:uiPriority w:val="99"/>
    <w:rPr>
      <w:rFonts w:ascii="Times New Roman" w:hAnsi="Times New Roman" w:eastAsia="宋体" w:cs="Times New Roman"/>
      <w:sz w:val="18"/>
      <w:szCs w:val="18"/>
    </w:rPr>
  </w:style>
  <w:style w:type="character" w:customStyle="1" w:styleId="27">
    <w:name w:val="页眉 字符"/>
    <w:basedOn w:val="22"/>
    <w:link w:val="13"/>
    <w:qFormat/>
    <w:uiPriority w:val="0"/>
    <w:rPr>
      <w:rFonts w:ascii="Times New Roman" w:hAnsi="Times New Roman" w:eastAsia="宋体" w:cs="Times New Roman"/>
      <w:sz w:val="18"/>
      <w:szCs w:val="18"/>
    </w:rPr>
  </w:style>
  <w:style w:type="character" w:customStyle="1" w:styleId="28">
    <w:name w:val="正文文本 字符"/>
    <w:basedOn w:val="22"/>
    <w:link w:val="2"/>
    <w:qFormat/>
    <w:uiPriority w:val="1"/>
    <w:rPr>
      <w:rFonts w:ascii="Baoli SC" w:hAnsi="Baoli SC" w:eastAsia="Baoli SC"/>
      <w:kern w:val="0"/>
    </w:rPr>
  </w:style>
  <w:style w:type="paragraph" w:styleId="29">
    <w:name w:val="List Paragraph"/>
    <w:basedOn w:val="1"/>
    <w:qFormat/>
    <w:uiPriority w:val="34"/>
    <w:pPr>
      <w:ind w:firstLine="420" w:firstLineChars="200"/>
    </w:pPr>
  </w:style>
  <w:style w:type="character" w:customStyle="1" w:styleId="30">
    <w:name w:val="列出段落 Char"/>
    <w:link w:val="31"/>
    <w:qFormat/>
    <w:uiPriority w:val="99"/>
    <w:rPr>
      <w:sz w:val="21"/>
      <w:szCs w:val="22"/>
    </w:rPr>
  </w:style>
  <w:style w:type="paragraph" w:customStyle="1" w:styleId="31">
    <w:name w:val="列出段落5"/>
    <w:basedOn w:val="1"/>
    <w:link w:val="30"/>
    <w:qFormat/>
    <w:uiPriority w:val="99"/>
    <w:pPr>
      <w:ind w:firstLine="420" w:firstLineChars="200"/>
    </w:pPr>
    <w:rPr>
      <w:rFonts w:asciiTheme="minorHAnsi" w:hAnsiTheme="minorHAnsi" w:eastAsiaTheme="minorEastAsia" w:cstheme="minorBidi"/>
      <w:szCs w:val="22"/>
    </w:rPr>
  </w:style>
  <w:style w:type="character" w:customStyle="1" w:styleId="32">
    <w:name w:val="标题 1 字符"/>
    <w:basedOn w:val="22"/>
    <w:link w:val="4"/>
    <w:qFormat/>
    <w:uiPriority w:val="9"/>
    <w:rPr>
      <w:b/>
      <w:bCs/>
      <w:kern w:val="44"/>
      <w:sz w:val="44"/>
      <w:szCs w:val="44"/>
    </w:rPr>
  </w:style>
  <w:style w:type="paragraph" w:customStyle="1" w:styleId="33">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34">
    <w:name w:val="标题 2 字符"/>
    <w:basedOn w:val="22"/>
    <w:link w:val="5"/>
    <w:qFormat/>
    <w:uiPriority w:val="9"/>
    <w:rPr>
      <w:rFonts w:asciiTheme="majorHAnsi" w:hAnsiTheme="majorHAnsi" w:eastAsiaTheme="majorEastAsia" w:cstheme="majorBidi"/>
      <w:b/>
      <w:bCs/>
      <w:kern w:val="2"/>
      <w:sz w:val="32"/>
      <w:szCs w:val="32"/>
    </w:rPr>
  </w:style>
  <w:style w:type="character" w:customStyle="1" w:styleId="35">
    <w:name w:val="批注框文本 字符"/>
    <w:basedOn w:val="22"/>
    <w:link w:val="11"/>
    <w:semiHidden/>
    <w:qFormat/>
    <w:uiPriority w:val="99"/>
    <w:rPr>
      <w:rFonts w:ascii="Times New Roman" w:hAnsi="Times New Roman" w:eastAsia="宋体" w:cs="Times New Roman"/>
      <w:sz w:val="18"/>
      <w:szCs w:val="18"/>
    </w:rPr>
  </w:style>
  <w:style w:type="paragraph" w:customStyle="1" w:styleId="36">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标题排序"/>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0894C3-1314-49F2-A595-89A166287152}">
  <ds:schemaRefs/>
</ds:datastoreItem>
</file>

<file path=docProps/app.xml><?xml version="1.0" encoding="utf-8"?>
<Properties xmlns="http://schemas.openxmlformats.org/officeDocument/2006/extended-properties" xmlns:vt="http://schemas.openxmlformats.org/officeDocument/2006/docPropsVTypes">
  <Template>Normal</Template>
  <Pages>37</Pages>
  <Words>2924</Words>
  <Characters>16667</Characters>
  <Lines>138</Lines>
  <Paragraphs>39</Paragraphs>
  <TotalTime>10</TotalTime>
  <ScaleCrop>false</ScaleCrop>
  <LinksUpToDate>false</LinksUpToDate>
  <CharactersWithSpaces>19552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2020-08-12T08:25:00Z</dcterms:created>
  <dc:creator>Microsoft Office 用户</dc:creator>
  <cp:lastModifiedBy>企鹅</cp:lastModifiedBy>
  <dcterms:modified xsi:type="dcterms:W3CDTF">2023-09-28T07:05:06Z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50F7AED19BF24C4C949D34C3EDA191DA_13</vt:lpwstr>
  </property>
</Properties>
</file>