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590" w:lineRule="exact"/>
        <w:rPr>
          <w:rFonts w:ascii="宋体" w:hAnsi="宋体"/>
          <w:b/>
          <w:kern w:val="32"/>
        </w:rPr>
      </w:pPr>
      <w:bookmarkStart w:id="0" w:name="_GoBack"/>
      <w:bookmarkEnd w:id="0"/>
    </w:p>
    <w:p>
      <w:pPr>
        <w:spacing w:line="600" w:lineRule="exact"/>
        <w:ind w:firstLine="0"/>
        <w:jc w:val="center"/>
        <w:rPr>
          <w:b/>
        </w:rPr>
      </w:pPr>
      <w:r>
        <w:rPr>
          <w:rFonts w:hint="eastAsia" w:eastAsia="方正小标宋_GBK"/>
          <w:b/>
          <w:sz w:val="44"/>
          <w:szCs w:val="44"/>
        </w:rPr>
        <w:t>《江苏省专利代理行政处罚裁量权基准</w:t>
      </w:r>
      <w:r>
        <w:rPr>
          <w:rFonts w:eastAsia="方正小标宋_GBK"/>
          <w:b/>
          <w:sz w:val="44"/>
          <w:szCs w:val="44"/>
        </w:rPr>
        <w:br w:type="textWrapping"/>
      </w:r>
      <w:r>
        <w:rPr>
          <w:rFonts w:hint="eastAsia" w:eastAsia="方正小标宋_GBK"/>
          <w:b/>
          <w:sz w:val="44"/>
          <w:szCs w:val="44"/>
        </w:rPr>
        <w:t>（征求意见稿）》起草</w:t>
      </w:r>
      <w:r>
        <w:rPr>
          <w:rFonts w:eastAsia="方正小标宋_GBK"/>
          <w:b/>
          <w:sz w:val="44"/>
          <w:szCs w:val="44"/>
        </w:rPr>
        <w:t>说明</w:t>
      </w:r>
    </w:p>
    <w:p>
      <w:pPr>
        <w:spacing w:line="560" w:lineRule="exact"/>
        <w:ind w:firstLine="476" w:firstLineChars="150"/>
        <w:rPr>
          <w:b/>
        </w:rPr>
      </w:pPr>
    </w:p>
    <w:p>
      <w:pPr>
        <w:spacing w:line="560" w:lineRule="exact"/>
        <w:ind w:firstLine="628" w:firstLineChars="198"/>
        <w:rPr>
          <w:b/>
        </w:rPr>
      </w:pPr>
      <w:r>
        <w:rPr>
          <w:b/>
        </w:rPr>
        <w:t>为进一步规范我省</w:t>
      </w:r>
      <w:r>
        <w:rPr>
          <w:rFonts w:hint="eastAsia"/>
          <w:b/>
        </w:rPr>
        <w:t>专利代理</w:t>
      </w:r>
      <w:r>
        <w:rPr>
          <w:b/>
        </w:rPr>
        <w:t>行政执法行为，提高执法质量和水平，切实做好规范</w:t>
      </w:r>
      <w:r>
        <w:rPr>
          <w:rFonts w:hint="eastAsia"/>
          <w:b/>
        </w:rPr>
        <w:t>专利代理</w:t>
      </w:r>
      <w:r>
        <w:rPr>
          <w:b/>
        </w:rPr>
        <w:t>行政处罚裁量权工作，</w:t>
      </w:r>
      <w:r>
        <w:rPr>
          <w:rFonts w:hint="eastAsia"/>
          <w:b/>
        </w:rPr>
        <w:t>我局起草了《江苏省专利代理行政处罚裁量权基准》（征求意见稿）（以下简称《基准》）。《基准》对专利代理系统行政处罚自由裁量权进行了细化和量化公开征求意见</w:t>
      </w:r>
      <w:r>
        <w:rPr>
          <w:b/>
        </w:rPr>
        <w:t>。现将有关情况说明如下：</w:t>
      </w:r>
    </w:p>
    <w:p>
      <w:pPr>
        <w:spacing w:line="560" w:lineRule="exact"/>
        <w:ind w:firstLine="634" w:firstLineChars="200"/>
        <w:rPr>
          <w:rFonts w:ascii="方正黑体_GBK" w:eastAsia="方正黑体_GBK"/>
          <w:b/>
        </w:rPr>
      </w:pPr>
      <w:r>
        <w:rPr>
          <w:rFonts w:hint="eastAsia" w:ascii="方正黑体_GBK" w:eastAsia="方正黑体_GBK"/>
          <w:b/>
        </w:rPr>
        <w:t>一、制定必要性</w:t>
      </w:r>
    </w:p>
    <w:p>
      <w:pPr>
        <w:spacing w:line="560" w:lineRule="exact"/>
        <w:ind w:firstLine="628" w:firstLineChars="198"/>
        <w:rPr>
          <w:b/>
        </w:rPr>
      </w:pPr>
      <w:r>
        <w:rPr>
          <w:rFonts w:hint="eastAsia"/>
          <w:b/>
        </w:rPr>
        <w:t>2</w:t>
      </w:r>
      <w:r>
        <w:rPr>
          <w:b/>
        </w:rPr>
        <w:t>022</w:t>
      </w:r>
      <w:r>
        <w:rPr>
          <w:rFonts w:hint="eastAsia"/>
          <w:b/>
        </w:rPr>
        <w:t>年</w:t>
      </w:r>
      <w:r>
        <w:rPr>
          <w:b/>
        </w:rPr>
        <w:t>7月，国务院常务会议审议通过、国办印发《关于进一步规范行政裁量权基准制定和管理工作的意见》，明确各级政府及其部门制定行政裁量权基准的职责权限，并规定将行政裁量权基准制定和管理工作纳入法治政府建设考评指标体系和法治政府建设督察内容。</w:t>
      </w:r>
      <w:r>
        <w:rPr>
          <w:rFonts w:hint="eastAsia"/>
          <w:b/>
        </w:rPr>
        <w:t>同时</w:t>
      </w:r>
      <w:r>
        <w:rPr>
          <w:b/>
        </w:rPr>
        <w:t>，省委全面依法治省委员会将行政裁量权基准制定和管理工作纳入法治政府建设考评指标体系，列入法治政府建设督察内容，要求各地、各相关部门出台本行业的行政处罚裁量</w:t>
      </w:r>
      <w:r>
        <w:rPr>
          <w:rFonts w:hint="eastAsia"/>
          <w:b/>
        </w:rPr>
        <w:t>权</w:t>
      </w:r>
      <w:r>
        <w:rPr>
          <w:b/>
        </w:rPr>
        <w:t>基准，制定后要按照行政规范性文件备案制度确定的程序和时限报送备案。</w:t>
      </w:r>
      <w:r>
        <w:rPr>
          <w:rFonts w:hint="eastAsia"/>
          <w:b/>
        </w:rPr>
        <w:t>2</w:t>
      </w:r>
      <w:r>
        <w:rPr>
          <w:b/>
        </w:rPr>
        <w:t>023年</w:t>
      </w:r>
      <w:r>
        <w:rPr>
          <w:rFonts w:hint="eastAsia"/>
          <w:b/>
        </w:rPr>
        <w:t>1</w:t>
      </w:r>
      <w:r>
        <w:rPr>
          <w:b/>
        </w:rPr>
        <w:t>月，</w:t>
      </w:r>
      <w:r>
        <w:rPr>
          <w:rFonts w:hint="eastAsia"/>
          <w:b/>
        </w:rPr>
        <w:t>省政府办公厅印发《关于统筹推进行政裁量权基准制定和管理工作的通知》，就推进行政裁量权基准制定和管理进一步提出明确要求，《基准》的制定，对于着力维护公民、法人和其他组织合法权益，促进知识产权部门依法行政、合理行政，保障法律法规规章的正确实施，提高专利代理领域执法水平和执法公信力，具有重要意义。</w:t>
      </w:r>
    </w:p>
    <w:p>
      <w:pPr>
        <w:spacing w:line="560" w:lineRule="exact"/>
        <w:ind w:firstLine="628" w:firstLineChars="198"/>
        <w:rPr>
          <w:rFonts w:eastAsia="方正黑体_GBK"/>
          <w:b/>
        </w:rPr>
      </w:pPr>
      <w:r>
        <w:rPr>
          <w:rFonts w:eastAsia="方正黑体_GBK"/>
          <w:b/>
        </w:rPr>
        <w:t>二、制定依据</w:t>
      </w:r>
    </w:p>
    <w:p>
      <w:pPr>
        <w:spacing w:line="560" w:lineRule="exact"/>
        <w:ind w:firstLine="628" w:firstLineChars="198"/>
        <w:rPr>
          <w:b/>
        </w:rPr>
      </w:pPr>
      <w:r>
        <w:rPr>
          <w:rFonts w:hint="eastAsia" w:ascii="方正仿宋_GBK" w:hAnsi="Calibri"/>
          <w:b/>
          <w:snapToGrid/>
          <w:color w:val="333333"/>
          <w:kern w:val="2"/>
          <w:szCs w:val="32"/>
        </w:rPr>
        <w:t>法律法规依据主要有：</w:t>
      </w:r>
      <w:r>
        <w:rPr>
          <w:rFonts w:hint="eastAsia"/>
          <w:b/>
        </w:rPr>
        <w:t>《行政处罚法》《专利代理条例》《专利代理管理办法》《江苏省知识产权促进和保护条例》等</w:t>
      </w:r>
      <w:r>
        <w:rPr>
          <w:b/>
        </w:rPr>
        <w:t>现行有效法律、行政法规、</w:t>
      </w:r>
      <w:r>
        <w:rPr>
          <w:rFonts w:hint="eastAsia"/>
          <w:b/>
        </w:rPr>
        <w:t>国务院部门规章</w:t>
      </w:r>
      <w:r>
        <w:rPr>
          <w:b/>
        </w:rPr>
        <w:t>以及省级地方性法规和</w:t>
      </w:r>
      <w:r>
        <w:rPr>
          <w:rFonts w:hint="eastAsia"/>
          <w:b/>
        </w:rPr>
        <w:t>省政府</w:t>
      </w:r>
      <w:r>
        <w:rPr>
          <w:b/>
        </w:rPr>
        <w:t>规章</w:t>
      </w:r>
      <w:r>
        <w:rPr>
          <w:rFonts w:hint="eastAsia"/>
          <w:b/>
        </w:rPr>
        <w:t>。</w:t>
      </w:r>
    </w:p>
    <w:p>
      <w:pPr>
        <w:spacing w:line="560" w:lineRule="exact"/>
        <w:ind w:firstLine="628" w:firstLineChars="198"/>
        <w:rPr>
          <w:b/>
        </w:rPr>
      </w:pPr>
      <w:r>
        <w:rPr>
          <w:rFonts w:hint="eastAsia"/>
          <w:b/>
        </w:rPr>
        <w:t>政策文件依据有：《全面推进依法行政实施纲要》《法治政府建设实施纲要（2021-2025年）》《国务院办公厅关于进一步规范行政裁量权基准制定和管理工作的意见》（国办发〔2022〕27号）《江苏省行政处罚听证程序规定》（苏政发〔2021〕68号）。</w:t>
      </w:r>
    </w:p>
    <w:p>
      <w:pPr>
        <w:spacing w:line="560" w:lineRule="exact"/>
        <w:ind w:firstLine="628" w:firstLineChars="198"/>
        <w:rPr>
          <w:rFonts w:eastAsia="方正黑体_GBK"/>
          <w:b/>
        </w:rPr>
      </w:pPr>
      <w:r>
        <w:rPr>
          <w:rFonts w:eastAsia="方正黑体_GBK"/>
          <w:b/>
        </w:rPr>
        <w:t>三、起草及征求意见情况</w:t>
      </w:r>
    </w:p>
    <w:p>
      <w:pPr>
        <w:spacing w:line="560" w:lineRule="exact"/>
        <w:ind w:firstLine="628" w:firstLineChars="198"/>
        <w:rPr>
          <w:b/>
        </w:rPr>
      </w:pPr>
      <w:r>
        <w:rPr>
          <w:rFonts w:hint="eastAsia"/>
          <w:b/>
        </w:rPr>
        <w:t>前期，我局</w:t>
      </w:r>
      <w:r>
        <w:rPr>
          <w:b/>
        </w:rPr>
        <w:t>就</w:t>
      </w:r>
      <w:r>
        <w:rPr>
          <w:rFonts w:hint="eastAsia"/>
          <w:b/>
        </w:rPr>
        <w:t>制定专利代理</w:t>
      </w:r>
      <w:r>
        <w:rPr>
          <w:b/>
        </w:rPr>
        <w:t>行政处罚裁量权基准，开展</w:t>
      </w:r>
      <w:r>
        <w:rPr>
          <w:rFonts w:hint="eastAsia"/>
          <w:b/>
        </w:rPr>
        <w:t>调查研究，学习借鉴上海、北京等兄弟省市知识产权部门好的经验做法</w:t>
      </w:r>
      <w:r>
        <w:rPr>
          <w:b/>
        </w:rPr>
        <w:t>，多次</w:t>
      </w:r>
      <w:r>
        <w:rPr>
          <w:rFonts w:hint="eastAsia"/>
          <w:b/>
        </w:rPr>
        <w:t>讨论</w:t>
      </w:r>
      <w:r>
        <w:rPr>
          <w:b/>
        </w:rPr>
        <w:t>修改，形成</w:t>
      </w:r>
      <w:r>
        <w:rPr>
          <w:rFonts w:hint="eastAsia"/>
          <w:b/>
        </w:rPr>
        <w:t>《基准》</w:t>
      </w:r>
      <w:r>
        <w:rPr>
          <w:b/>
        </w:rPr>
        <w:t>初稿后，9月，向设区市知识产权局以及省专利代理人协会书面征求意见</w:t>
      </w:r>
      <w:r>
        <w:rPr>
          <w:rFonts w:hint="eastAsia"/>
          <w:b/>
        </w:rPr>
        <w:t>，共收到反馈意见5条，采纳了有关意见并对征求意见稿进行了进一步修改。现在</w:t>
      </w:r>
      <w:r>
        <w:rPr>
          <w:b/>
        </w:rPr>
        <w:t>网站</w:t>
      </w:r>
      <w:r>
        <w:rPr>
          <w:rFonts w:hint="eastAsia"/>
          <w:b/>
        </w:rPr>
        <w:t>向社会公众</w:t>
      </w:r>
      <w:r>
        <w:rPr>
          <w:b/>
        </w:rPr>
        <w:t>征集意见。</w:t>
      </w:r>
    </w:p>
    <w:p>
      <w:pPr>
        <w:spacing w:line="560" w:lineRule="exact"/>
        <w:ind w:firstLine="628" w:firstLineChars="198"/>
        <w:rPr>
          <w:b/>
        </w:rPr>
      </w:pPr>
      <w:r>
        <w:rPr>
          <w:rFonts w:eastAsia="方正黑体_GBK"/>
          <w:b/>
        </w:rPr>
        <w:t>四、主要内容</w:t>
      </w:r>
    </w:p>
    <w:p>
      <w:pPr>
        <w:spacing w:line="560" w:lineRule="exact"/>
        <w:ind w:firstLine="634" w:firstLineChars="200"/>
        <w:rPr>
          <w:b/>
        </w:rPr>
      </w:pPr>
      <w:r>
        <w:rPr>
          <w:rFonts w:hint="eastAsia"/>
          <w:b/>
        </w:rPr>
        <w:t>《基准》包括这正文和处罚裁量基准表两部分。</w:t>
      </w:r>
    </w:p>
    <w:p>
      <w:pPr>
        <w:spacing w:line="560" w:lineRule="exact"/>
        <w:ind w:firstLine="634" w:firstLineChars="200"/>
        <w:rPr>
          <w:rFonts w:hint="eastAsia"/>
          <w:b/>
        </w:rPr>
      </w:pPr>
      <w:r>
        <w:rPr>
          <w:rFonts w:hint="eastAsia"/>
          <w:b/>
        </w:rPr>
        <w:t>正文对于《专利代理条例》有关条款中，提及的“情节严重”由国家专利行政部门给予行政处罚的情形进行了规定，明确地方知识产权部门在发现当事人的违法行为达到一定情形时，依法按有关程序报请国家知识产权局处理，同时，规定了涉及罚款行政处罚时候，从轻、一般和从重阶次的罚款计算方法。</w:t>
      </w:r>
    </w:p>
    <w:p>
      <w:pPr>
        <w:spacing w:line="560" w:lineRule="exact"/>
        <w:ind w:firstLine="634" w:firstLineChars="200"/>
        <w:rPr>
          <w:b/>
        </w:rPr>
      </w:pPr>
      <w:r>
        <w:rPr>
          <w:rFonts w:hint="eastAsia"/>
          <w:b/>
        </w:rPr>
        <w:t>处罚裁量基准表包括违法行为、违法行为依据、处罚依据、裁量阶次、裁量参考因素、裁量基准和备注七个部分。其中，裁量等级统一分为从轻、一般和从重阶次；裁量因素主要包括违法行为的持续情况、行为次数、行为规模、危害程度、危害后果、社会影响程度；裁量基准对应具体裁量等级进行了计算和细化。</w:t>
      </w:r>
    </w:p>
    <w:p>
      <w:pPr>
        <w:spacing w:line="560" w:lineRule="exact"/>
        <w:ind w:firstLine="628" w:firstLineChars="198"/>
        <w:rPr>
          <w:rFonts w:eastAsia="方正黑体_GBK"/>
          <w:b/>
        </w:rPr>
      </w:pPr>
      <w:r>
        <w:rPr>
          <w:rFonts w:hint="eastAsia" w:eastAsia="方正黑体_GBK"/>
          <w:b/>
        </w:rPr>
        <w:t>五、有关说明</w:t>
      </w:r>
    </w:p>
    <w:p>
      <w:pPr>
        <w:spacing w:line="590" w:lineRule="exact"/>
        <w:rPr>
          <w:rFonts w:ascii="宋体" w:hAnsi="宋体"/>
          <w:b/>
        </w:rPr>
      </w:pPr>
      <w:r>
        <w:rPr>
          <w:rFonts w:hint="eastAsia" w:ascii="方正楷体_GBK" w:hAnsi="方正楷体_GBK" w:eastAsia="方正楷体_GBK"/>
          <w:b/>
        </w:rPr>
        <w:t>（一）关于体例。</w:t>
      </w:r>
      <w:r>
        <w:rPr>
          <w:rFonts w:hint="eastAsia" w:ascii="宋体" w:hAnsi="宋体"/>
          <w:b/>
        </w:rPr>
        <w:t>目前，从全国知识产权系统来看，行政处罚裁量基准主要有两种体例格式。一种是表格模式，主要以上海、四川、重庆等局为代表，该模式下每一个行为对应一张裁量表；另一种是文本模式，主要以山东为代表，该模式下一个行为对应几段文字说明。综合考量第一种模式相对更清晰明了，便于查询适用，本《基准》选择了第一种模式进行拟定。</w:t>
      </w:r>
    </w:p>
    <w:p>
      <w:pPr>
        <w:spacing w:line="560" w:lineRule="exact"/>
        <w:ind w:firstLine="634" w:firstLineChars="200"/>
        <w:rPr>
          <w:rFonts w:hint="eastAsia"/>
          <w:b/>
        </w:rPr>
      </w:pPr>
      <w:r>
        <w:rPr>
          <w:rFonts w:hint="eastAsia" w:ascii="方正楷体_GBK" w:hAnsi="方正楷体_GBK" w:eastAsia="方正楷体_GBK"/>
          <w:b/>
        </w:rPr>
        <w:t>（二）关于违法行为和有关制定依据。</w:t>
      </w:r>
      <w:r>
        <w:rPr>
          <w:rFonts w:hint="eastAsia" w:ascii="宋体" w:hAnsi="宋体"/>
          <w:b/>
        </w:rPr>
        <w:t>《基准》只对处罚依据的法条中需要进行处罚裁量的违法行为进行收录，对不需裁量，如只有警告行政处罚的违法行为，未进行收录。</w:t>
      </w:r>
      <w:r>
        <w:rPr>
          <w:rFonts w:hint="eastAsia"/>
          <w:b/>
        </w:rPr>
        <w:t>此外，《基准》明确关于不予行政处罚、减轻行政处罚、从轻行政处罚、一般行政处罚、从重行政处罚五个阶次的情形及其适用，按照《江苏省市场监督管理行政处罚裁量权适用规定》（苏市监规〔2022〕10号，以下简称《规定》）执行，即保证了现有地方知识产权执法与市场监管系统执法的统一性，同时，也为后续动态调整提供修改空间。</w:t>
      </w:r>
    </w:p>
    <w:p>
      <w:pPr>
        <w:spacing w:line="590" w:lineRule="exact"/>
        <w:rPr>
          <w:rFonts w:ascii="宋体" w:hAnsi="宋体"/>
          <w:b/>
        </w:rPr>
      </w:pPr>
      <w:r>
        <w:rPr>
          <w:rFonts w:hint="eastAsia" w:ascii="方正楷体_GBK" w:hAnsi="方正楷体_GBK" w:eastAsia="方正楷体_GBK"/>
          <w:b/>
        </w:rPr>
        <w:t>（三）关于裁量等级。</w:t>
      </w:r>
      <w:r>
        <w:rPr>
          <w:rFonts w:hint="eastAsia" w:ascii="宋体" w:hAnsi="宋体"/>
          <w:b/>
        </w:rPr>
        <w:t>理论上裁量等级应当包括减轻处罚、从轻处罚、一般处罚、从重处罚四个等级（不予处罚因不需细化而不计入内），本《基准》未设置减轻处罚的原因，一是为了与全国知识产权系统裁量基准保持一致。中共中央办公厅、国务院办公厅《建设高标准市场体系行动方案》（中办发〔2021〕2号）要求，要“互通裁量标准”破除区域分割和地方保护。依据目前全国各地发布的知识产权领域行政处罚裁量基准来看，都没有设置减轻处罚的裁量基准。二是现行的相关规章和有关规范性文件中关于减轻处罚的规定能够满足执法实践工作中的需要。</w:t>
      </w:r>
      <w:r>
        <w:rPr>
          <w:rFonts w:hint="eastAsia"/>
          <w:b/>
        </w:rPr>
        <w:t>《江苏省市场监督管理行政处罚裁量权适用规定》对列出了</w:t>
      </w:r>
      <w:r>
        <w:rPr>
          <w:b/>
        </w:rPr>
        <w:t>9</w:t>
      </w:r>
      <w:r>
        <w:rPr>
          <w:rFonts w:hint="eastAsia"/>
          <w:b/>
        </w:rPr>
        <w:t>种应当或者可以减轻或者从轻处罚的情形，根据《规定》，并参照《基准》中从轻处罚的相关内容，执法人员完全可以就减轻处罚作出合理的自由裁量。</w:t>
      </w:r>
    </w:p>
    <w:p>
      <w:pPr>
        <w:spacing w:line="590" w:lineRule="exact"/>
        <w:rPr>
          <w:rFonts w:ascii="宋体" w:hAnsi="宋体"/>
          <w:b/>
        </w:rPr>
      </w:pPr>
      <w:r>
        <w:rPr>
          <w:rFonts w:hint="eastAsia" w:ascii="方正楷体_GBK" w:hAnsi="方正楷体_GBK" w:eastAsia="方正楷体_GBK"/>
          <w:b/>
        </w:rPr>
        <w:t>（四）关于裁量因素。</w:t>
      </w:r>
      <w:r>
        <w:rPr>
          <w:rFonts w:hint="eastAsia" w:ascii="宋体" w:hAnsi="宋体"/>
          <w:b/>
        </w:rPr>
        <w:t>省市场监管局《规定》第五条明确了行使行政处罚裁量权时，应当综合考虑的十二种因素。《基准》紧紧围绕上述因素，选择了其中应当并且可以以一定标准进行量化的主要六种因素，即违法行为的持续时间、违法行为的规模或涉及的区域范围、当事人的违法次数、违法所得的数额、违法行为的危害后果、社会影响程度等。</w:t>
      </w:r>
    </w:p>
    <w:sectPr>
      <w:footerReference r:id="rId5" w:type="default"/>
      <w:footerReference r:id="rId6" w:type="even"/>
      <w:pgSz w:w="11906" w:h="16838"/>
      <w:pgMar w:top="1985" w:right="1474" w:bottom="2098" w:left="1588" w:header="720" w:footer="1474" w:gutter="0"/>
      <w:paperSrc w:first="15" w:other="15"/>
      <w:pgNumType w:start="1"/>
      <w:cols w:space="720" w:num="1"/>
      <w:docGrid w:type="linesAndChars" w:linePitch="595"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r>
      <w:rPr>
        <w:rFonts w:hint="eastAsia"/>
      </w:rPr>
      <w:t xml:space="preserve">— </w:t>
    </w:r>
    <w:r>
      <w:rPr>
        <w:rStyle w:val="8"/>
        <w:rFonts w:ascii="宋体" w:hAnsi="宋体" w:eastAsia="宋体"/>
      </w:rPr>
      <w:fldChar w:fldCharType="begin"/>
    </w:r>
    <w:r>
      <w:rPr>
        <w:rStyle w:val="8"/>
        <w:rFonts w:ascii="宋体" w:hAnsi="宋体" w:eastAsia="宋体"/>
      </w:rPr>
      <w:instrText xml:space="preserve"> PAGE </w:instrText>
    </w:r>
    <w:r>
      <w:rPr>
        <w:rStyle w:val="8"/>
        <w:rFonts w:ascii="宋体" w:hAnsi="宋体" w:eastAsia="宋体"/>
      </w:rPr>
      <w:fldChar w:fldCharType="separate"/>
    </w:r>
    <w:r>
      <w:rPr>
        <w:rStyle w:val="8"/>
        <w:rFonts w:ascii="宋体" w:hAnsi="宋体" w:eastAsia="宋体"/>
      </w:rPr>
      <w:t>1</w:t>
    </w:r>
    <w:r>
      <w:rPr>
        <w:rStyle w:val="8"/>
        <w:rFonts w:ascii="宋体" w:hAnsi="宋体" w:eastAsia="宋体"/>
      </w:rPr>
      <w:fldChar w:fldCharType="end"/>
    </w:r>
    <w:r>
      <w:rPr>
        <w:rStyle w:val="8"/>
        <w:rFonts w:hint="eastAsia"/>
      </w:rPr>
      <w:t xml:space="preserve"> </w:t>
    </w:r>
    <w:r>
      <w:rPr>
        <w:rFonts w:hint="eastAsia"/>
      </w:rPr>
      <w:t>—</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jc w:val="left"/>
    </w:pPr>
    <w:r>
      <w:rPr>
        <w:rFonts w:hint="eastAsia"/>
      </w:rPr>
      <w:t xml:space="preserve">— </w:t>
    </w:r>
    <w:r>
      <w:rPr>
        <w:rStyle w:val="8"/>
        <w:rFonts w:ascii="宋体" w:hAnsi="宋体" w:eastAsia="宋体"/>
      </w:rPr>
      <w:fldChar w:fldCharType="begin"/>
    </w:r>
    <w:r>
      <w:rPr>
        <w:rStyle w:val="8"/>
        <w:rFonts w:ascii="宋体" w:hAnsi="宋体" w:eastAsia="宋体"/>
      </w:rPr>
      <w:instrText xml:space="preserve"> PAGE </w:instrText>
    </w:r>
    <w:r>
      <w:rPr>
        <w:rStyle w:val="8"/>
        <w:rFonts w:ascii="宋体" w:hAnsi="宋体" w:eastAsia="宋体"/>
      </w:rPr>
      <w:fldChar w:fldCharType="separate"/>
    </w:r>
    <w:r>
      <w:rPr>
        <w:rStyle w:val="8"/>
        <w:rFonts w:ascii="宋体" w:hAnsi="宋体" w:eastAsia="宋体"/>
      </w:rPr>
      <w:t>2</w:t>
    </w:r>
    <w:r>
      <w:rPr>
        <w:rStyle w:val="8"/>
        <w:rFonts w:ascii="宋体" w:hAnsi="宋体" w:eastAsia="宋体"/>
      </w:rPr>
      <w:fldChar w:fldCharType="end"/>
    </w:r>
    <w:r>
      <w:rPr>
        <w:rStyle w:val="8"/>
        <w:rFonts w:hint="eastAsia"/>
      </w:rPr>
      <w:t xml:space="preserve"> </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attachedTemplate r:id="rId1"/>
  <w:documentProtection w:enforcement="0"/>
  <w:defaultTabStop w:val="425"/>
  <w:evenAndOddHeaders w:val="true"/>
  <w:drawingGridHorizontalSpacing w:val="158"/>
  <w:drawingGridVerticalSpacing w:val="595"/>
  <w:displayHorizontalDrawingGridEvery w:val="0"/>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0D6"/>
    <w:rsid w:val="00007D0D"/>
    <w:rsid w:val="00010AD4"/>
    <w:rsid w:val="00014603"/>
    <w:rsid w:val="000163DF"/>
    <w:rsid w:val="000177D4"/>
    <w:rsid w:val="00026444"/>
    <w:rsid w:val="0003367D"/>
    <w:rsid w:val="00037B23"/>
    <w:rsid w:val="00045400"/>
    <w:rsid w:val="00056E42"/>
    <w:rsid w:val="00075E37"/>
    <w:rsid w:val="00076122"/>
    <w:rsid w:val="00077E4A"/>
    <w:rsid w:val="000A3788"/>
    <w:rsid w:val="000B1BF6"/>
    <w:rsid w:val="000B2D41"/>
    <w:rsid w:val="000B564E"/>
    <w:rsid w:val="000D4E2B"/>
    <w:rsid w:val="000E2028"/>
    <w:rsid w:val="000E503C"/>
    <w:rsid w:val="000E5648"/>
    <w:rsid w:val="000F23B8"/>
    <w:rsid w:val="001075DF"/>
    <w:rsid w:val="00127953"/>
    <w:rsid w:val="00130674"/>
    <w:rsid w:val="00131171"/>
    <w:rsid w:val="0013503D"/>
    <w:rsid w:val="00136141"/>
    <w:rsid w:val="00140321"/>
    <w:rsid w:val="00152022"/>
    <w:rsid w:val="001673B9"/>
    <w:rsid w:val="00176381"/>
    <w:rsid w:val="001837E8"/>
    <w:rsid w:val="001A75A7"/>
    <w:rsid w:val="001C613F"/>
    <w:rsid w:val="001D4EAA"/>
    <w:rsid w:val="001E6AA5"/>
    <w:rsid w:val="001F17CB"/>
    <w:rsid w:val="00203053"/>
    <w:rsid w:val="002063BD"/>
    <w:rsid w:val="00207543"/>
    <w:rsid w:val="00211752"/>
    <w:rsid w:val="00217D03"/>
    <w:rsid w:val="00224B80"/>
    <w:rsid w:val="00265337"/>
    <w:rsid w:val="00274158"/>
    <w:rsid w:val="00280D92"/>
    <w:rsid w:val="00295052"/>
    <w:rsid w:val="002D3CCA"/>
    <w:rsid w:val="002D5AFE"/>
    <w:rsid w:val="002F1993"/>
    <w:rsid w:val="003040C1"/>
    <w:rsid w:val="003049D6"/>
    <w:rsid w:val="00304CEF"/>
    <w:rsid w:val="00312D60"/>
    <w:rsid w:val="00341BBB"/>
    <w:rsid w:val="0036387C"/>
    <w:rsid w:val="00364764"/>
    <w:rsid w:val="003829B7"/>
    <w:rsid w:val="00393A2B"/>
    <w:rsid w:val="003A0082"/>
    <w:rsid w:val="003B53F5"/>
    <w:rsid w:val="003D4204"/>
    <w:rsid w:val="0040392C"/>
    <w:rsid w:val="00412EF1"/>
    <w:rsid w:val="00412FF4"/>
    <w:rsid w:val="00425DBA"/>
    <w:rsid w:val="004316B5"/>
    <w:rsid w:val="0044302F"/>
    <w:rsid w:val="00451460"/>
    <w:rsid w:val="00451587"/>
    <w:rsid w:val="0046457B"/>
    <w:rsid w:val="00466C68"/>
    <w:rsid w:val="00471175"/>
    <w:rsid w:val="004928C5"/>
    <w:rsid w:val="004D1924"/>
    <w:rsid w:val="005066F9"/>
    <w:rsid w:val="0051539A"/>
    <w:rsid w:val="00537DE2"/>
    <w:rsid w:val="00543505"/>
    <w:rsid w:val="005442BF"/>
    <w:rsid w:val="00557757"/>
    <w:rsid w:val="0057092D"/>
    <w:rsid w:val="005A012D"/>
    <w:rsid w:val="005B2308"/>
    <w:rsid w:val="005C31E9"/>
    <w:rsid w:val="005C7C68"/>
    <w:rsid w:val="005E3028"/>
    <w:rsid w:val="005E3FFB"/>
    <w:rsid w:val="005F55A0"/>
    <w:rsid w:val="006123AF"/>
    <w:rsid w:val="00612606"/>
    <w:rsid w:val="00614C32"/>
    <w:rsid w:val="00615F0C"/>
    <w:rsid w:val="006342E1"/>
    <w:rsid w:val="00635B04"/>
    <w:rsid w:val="00641025"/>
    <w:rsid w:val="006413F6"/>
    <w:rsid w:val="00641DEE"/>
    <w:rsid w:val="0066269E"/>
    <w:rsid w:val="00664DEB"/>
    <w:rsid w:val="006758B4"/>
    <w:rsid w:val="006A0A70"/>
    <w:rsid w:val="006B6303"/>
    <w:rsid w:val="006C57BC"/>
    <w:rsid w:val="006D6429"/>
    <w:rsid w:val="006E5D0C"/>
    <w:rsid w:val="006F288A"/>
    <w:rsid w:val="006F5F0B"/>
    <w:rsid w:val="00724A32"/>
    <w:rsid w:val="00733AA0"/>
    <w:rsid w:val="00766C2D"/>
    <w:rsid w:val="007729D0"/>
    <w:rsid w:val="00777FC1"/>
    <w:rsid w:val="00781C03"/>
    <w:rsid w:val="007A3121"/>
    <w:rsid w:val="007B226F"/>
    <w:rsid w:val="007B389C"/>
    <w:rsid w:val="007E6E0B"/>
    <w:rsid w:val="00812024"/>
    <w:rsid w:val="008207BB"/>
    <w:rsid w:val="00837C72"/>
    <w:rsid w:val="008425D0"/>
    <w:rsid w:val="008631A7"/>
    <w:rsid w:val="00864ADD"/>
    <w:rsid w:val="00867B74"/>
    <w:rsid w:val="00874AA3"/>
    <w:rsid w:val="00885E3F"/>
    <w:rsid w:val="008A03FB"/>
    <w:rsid w:val="008A3363"/>
    <w:rsid w:val="008A4BD2"/>
    <w:rsid w:val="008A6E8E"/>
    <w:rsid w:val="008B007B"/>
    <w:rsid w:val="008D0379"/>
    <w:rsid w:val="008E26D9"/>
    <w:rsid w:val="008F1D3A"/>
    <w:rsid w:val="008F6842"/>
    <w:rsid w:val="00911404"/>
    <w:rsid w:val="009337A0"/>
    <w:rsid w:val="00937B81"/>
    <w:rsid w:val="0097026F"/>
    <w:rsid w:val="009737B8"/>
    <w:rsid w:val="00973D47"/>
    <w:rsid w:val="0097685C"/>
    <w:rsid w:val="00980327"/>
    <w:rsid w:val="00995667"/>
    <w:rsid w:val="009A4140"/>
    <w:rsid w:val="009B167B"/>
    <w:rsid w:val="009D0C95"/>
    <w:rsid w:val="00A12107"/>
    <w:rsid w:val="00A24B0B"/>
    <w:rsid w:val="00A251C2"/>
    <w:rsid w:val="00A46116"/>
    <w:rsid w:val="00A71042"/>
    <w:rsid w:val="00A9216B"/>
    <w:rsid w:val="00AA1E6D"/>
    <w:rsid w:val="00AA63E9"/>
    <w:rsid w:val="00AB2BA7"/>
    <w:rsid w:val="00AB45F3"/>
    <w:rsid w:val="00AC3D69"/>
    <w:rsid w:val="00AE43FF"/>
    <w:rsid w:val="00AE4FF7"/>
    <w:rsid w:val="00AE7376"/>
    <w:rsid w:val="00AF4055"/>
    <w:rsid w:val="00AF525C"/>
    <w:rsid w:val="00AF545C"/>
    <w:rsid w:val="00B0424D"/>
    <w:rsid w:val="00B133D3"/>
    <w:rsid w:val="00B148A6"/>
    <w:rsid w:val="00B205C2"/>
    <w:rsid w:val="00B3296C"/>
    <w:rsid w:val="00B41B28"/>
    <w:rsid w:val="00B45A4A"/>
    <w:rsid w:val="00B77253"/>
    <w:rsid w:val="00B77802"/>
    <w:rsid w:val="00B8129D"/>
    <w:rsid w:val="00BB10CC"/>
    <w:rsid w:val="00BB3F7B"/>
    <w:rsid w:val="00C1176C"/>
    <w:rsid w:val="00C30FC1"/>
    <w:rsid w:val="00C40045"/>
    <w:rsid w:val="00C46A59"/>
    <w:rsid w:val="00C51861"/>
    <w:rsid w:val="00C74A59"/>
    <w:rsid w:val="00C81E0A"/>
    <w:rsid w:val="00CB755F"/>
    <w:rsid w:val="00CC1E60"/>
    <w:rsid w:val="00CC2078"/>
    <w:rsid w:val="00CE1978"/>
    <w:rsid w:val="00D157D6"/>
    <w:rsid w:val="00D21021"/>
    <w:rsid w:val="00D31995"/>
    <w:rsid w:val="00D4070B"/>
    <w:rsid w:val="00D53BD2"/>
    <w:rsid w:val="00D60FB8"/>
    <w:rsid w:val="00D66F75"/>
    <w:rsid w:val="00D7008B"/>
    <w:rsid w:val="00D768F1"/>
    <w:rsid w:val="00DA1FE6"/>
    <w:rsid w:val="00DB1551"/>
    <w:rsid w:val="00DE50D0"/>
    <w:rsid w:val="00DF10FE"/>
    <w:rsid w:val="00DF594A"/>
    <w:rsid w:val="00E000FB"/>
    <w:rsid w:val="00E07AE2"/>
    <w:rsid w:val="00E368AA"/>
    <w:rsid w:val="00E41137"/>
    <w:rsid w:val="00E63545"/>
    <w:rsid w:val="00E64724"/>
    <w:rsid w:val="00E66642"/>
    <w:rsid w:val="00E70C71"/>
    <w:rsid w:val="00E773B1"/>
    <w:rsid w:val="00EA5702"/>
    <w:rsid w:val="00EB03C7"/>
    <w:rsid w:val="00EB09CB"/>
    <w:rsid w:val="00EB4F66"/>
    <w:rsid w:val="00EB61A3"/>
    <w:rsid w:val="00ED3428"/>
    <w:rsid w:val="00EE1C93"/>
    <w:rsid w:val="00EF55AA"/>
    <w:rsid w:val="00F035EE"/>
    <w:rsid w:val="00F05434"/>
    <w:rsid w:val="00F160D6"/>
    <w:rsid w:val="00F16FF5"/>
    <w:rsid w:val="00F25F2A"/>
    <w:rsid w:val="00F53F60"/>
    <w:rsid w:val="00F605F1"/>
    <w:rsid w:val="00F9591A"/>
    <w:rsid w:val="00F96C35"/>
    <w:rsid w:val="00FC17DB"/>
    <w:rsid w:val="00FD0D9F"/>
    <w:rsid w:val="00FE4D7C"/>
    <w:rsid w:val="7FFFC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adjustRightInd w:val="0"/>
      <w:snapToGrid/>
      <w:ind w:firstLine="0"/>
      <w:jc w:val="left"/>
    </w:pPr>
    <w:rPr>
      <w:spacing w:val="-25"/>
    </w:rPr>
  </w:style>
  <w:style w:type="paragraph" w:styleId="4">
    <w:name w:val="footer"/>
    <w:basedOn w:val="1"/>
    <w:qFormat/>
    <w:uiPriority w:val="0"/>
    <w:pPr>
      <w:tabs>
        <w:tab w:val="center" w:pos="4153"/>
        <w:tab w:val="right" w:pos="8306"/>
      </w:tabs>
      <w:spacing w:line="400" w:lineRule="atLeast"/>
      <w:ind w:firstLine="0"/>
      <w:jc w:val="center"/>
    </w:pPr>
    <w:rPr>
      <w:sz w:val="28"/>
    </w:rPr>
  </w:style>
  <w:style w:type="paragraph" w:styleId="5">
    <w:name w:val="header"/>
    <w:basedOn w:val="1"/>
    <w:qFormat/>
    <w:uiPriority w:val="0"/>
    <w:pPr>
      <w:pBdr>
        <w:bottom w:val="single" w:color="auto" w:sz="6" w:space="1"/>
      </w:pBdr>
      <w:tabs>
        <w:tab w:val="center" w:pos="4153"/>
        <w:tab w:val="right" w:pos="8306"/>
      </w:tabs>
      <w:spacing w:line="240" w:lineRule="atLeast"/>
      <w:jc w:val="center"/>
    </w:pPr>
    <w:rPr>
      <w:sz w:val="18"/>
    </w:rPr>
  </w:style>
  <w:style w:type="character" w:styleId="8">
    <w:name w:val="page number"/>
    <w:basedOn w:val="7"/>
    <w:qFormat/>
    <w:uiPriority w:val="0"/>
  </w:style>
  <w:style w:type="paragraph" w:customStyle="1" w:styleId="9">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10">
    <w:name w:val="标题2"/>
    <w:basedOn w:val="1"/>
    <w:next w:val="1"/>
    <w:qFormat/>
    <w:uiPriority w:val="0"/>
    <w:pPr>
      <w:ind w:firstLine="0"/>
      <w:jc w:val="center"/>
    </w:pPr>
    <w:rPr>
      <w:rFonts w:eastAsia="方正楷体_GBK"/>
    </w:rPr>
  </w:style>
  <w:style w:type="paragraph" w:customStyle="1" w:styleId="11">
    <w:name w:val="标题3"/>
    <w:basedOn w:val="1"/>
    <w:next w:val="1"/>
    <w:qFormat/>
    <w:uiPriority w:val="0"/>
    <w:rPr>
      <w:rFonts w:eastAsia="方正黑体_GBK"/>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os/F:\&#25105;&#30340;&#22362;&#26524;&#20113;\&#30465;&#30693;&#35782;&#20135;&#26435;&#23616;&#25991;&#20214;&#27169;&#26495;Word2003\1&#30465;&#30693;&#35782;&#20135;&#26435;&#23616;&#20844;&#25991;&#36890;&#29992;&#27169;&#26495;-&#29256;&#26412;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F:\我的坚果云\省知识产权局文件模板Word2003\1省知识产权局公文通用模板-版本5.dot</Template>
  <Company>wyk</Company>
  <Pages>4</Pages>
  <Words>320</Words>
  <Characters>1827</Characters>
  <Lines>15</Lines>
  <Paragraphs>4</Paragraphs>
  <TotalTime>38</TotalTime>
  <ScaleCrop>false</ScaleCrop>
  <LinksUpToDate>false</LinksUpToDate>
  <CharactersWithSpaces>2143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2023-09-27T14:05:00Z</dcterms:created>
  <dc:creator>Administrator</dc:creator>
  <cp:lastModifiedBy>uos</cp:lastModifiedBy>
  <cp:lastPrinted>2000-11-13T18:41:00Z</cp:lastPrinted>
  <dcterms:modified xsi:type="dcterms:W3CDTF">2023-10-07T15:25:14Z</dcterms:modified>
  <dc:title>公文通用</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