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rPr>
        <w:t>关于印发《苏州市促进旅游业高质量发展若干扶持政策》的通知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微软雅黑" w:hAnsi="微软雅黑" w:eastAsia="微软雅黑" w:cs="微软雅黑"/>
          <w:b w:val="0"/>
          <w:bCs w:val="0"/>
          <w:i w:val="0"/>
          <w:iCs w:val="0"/>
          <w:caps w:val="0"/>
          <w:color w:val="666666"/>
          <w:spacing w:val="0"/>
          <w:sz w:val="21"/>
          <w:szCs w:val="21"/>
        </w:rPr>
      </w:pPr>
      <w:r>
        <w:rPr>
          <w:rFonts w:hint="eastAsia" w:ascii="微软雅黑" w:hAnsi="微软雅黑" w:eastAsia="微软雅黑" w:cs="微软雅黑"/>
          <w:b w:val="0"/>
          <w:bCs w:val="0"/>
          <w:i w:val="0"/>
          <w:iCs w:val="0"/>
          <w:caps w:val="0"/>
          <w:color w:val="666666"/>
          <w:spacing w:val="0"/>
          <w:sz w:val="21"/>
          <w:szCs w:val="21"/>
          <w:bdr w:val="none" w:color="auto" w:sz="0" w:space="0"/>
        </w:rPr>
        <w:t>苏文规〔2023〕4号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sz w:val="21"/>
          <w:szCs w:val="21"/>
        </w:rPr>
      </w:pPr>
      <w:r>
        <w:rPr>
          <w:rFonts w:ascii="仿宋_GB2312" w:hAnsi="微软雅黑" w:eastAsia="仿宋_GB2312" w:cs="仿宋_GB2312"/>
          <w:i w:val="0"/>
          <w:iCs w:val="0"/>
          <w:caps w:val="0"/>
          <w:color w:val="333333"/>
          <w:spacing w:val="0"/>
          <w:kern w:val="0"/>
          <w:sz w:val="32"/>
          <w:szCs w:val="32"/>
          <w:bdr w:val="none" w:color="auto" w:sz="0" w:space="0"/>
          <w:vertAlign w:val="baseline"/>
          <w:lang w:val="en-US" w:eastAsia="zh-CN" w:bidi="ar"/>
        </w:rPr>
        <w:t>各市、区文化旅游行政部门，有关单位</w:t>
      </w:r>
      <w:r>
        <w:rPr>
          <w:rFonts w:hint="default" w:ascii="仿宋_GB2312" w:hAnsi="微软雅黑" w:eastAsia="仿宋_GB2312" w:cs="仿宋_GB2312"/>
          <w:i w:val="0"/>
          <w:iCs w:val="0"/>
          <w:caps w:val="0"/>
          <w:color w:val="333333"/>
          <w:spacing w:val="0"/>
          <w:kern w:val="0"/>
          <w:sz w:val="32"/>
          <w:szCs w:val="32"/>
          <w:bdr w:val="none" w:color="auto" w:sz="0" w:space="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vertAlign w:val="baseline"/>
          <w:lang w:val="en-US" w:eastAsia="zh-CN" w:bidi="ar"/>
        </w:rPr>
        <w:t>为认真贯彻全市旅游业高质量发展推进大会精神，我局制定了《苏州市促进旅游业高质量发展若干扶持政策》，现予印发，请遵照执行。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sz w:val="21"/>
          <w:szCs w:val="21"/>
        </w:rPr>
      </w:pPr>
      <w:r>
        <w:rPr>
          <w:rFonts w:hint="eastAsia" w:ascii="微软雅黑" w:hAnsi="微软雅黑" w:eastAsia="微软雅黑" w:cs="微软雅黑"/>
          <w:i w:val="0"/>
          <w:iCs w:val="0"/>
          <w:caps w:val="0"/>
          <w:color w:val="333333"/>
          <w:spacing w:val="0"/>
          <w:kern w:val="0"/>
          <w:sz w:val="32"/>
          <w:szCs w:val="32"/>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vertAlign w:val="baseline"/>
          <w:lang w:val="en-US" w:eastAsia="zh-CN" w:bidi="ar"/>
        </w:rPr>
        <w:t>附件：苏州市促进旅游业高质量发展若干扶持政策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sz w:val="21"/>
          <w:szCs w:val="21"/>
        </w:rPr>
      </w:pPr>
      <w:r>
        <w:rPr>
          <w:rFonts w:hint="eastAsia" w:ascii="微软雅黑" w:hAnsi="微软雅黑" w:eastAsia="微软雅黑" w:cs="微软雅黑"/>
          <w:i w:val="0"/>
          <w:iCs w:val="0"/>
          <w:caps w:val="0"/>
          <w:color w:val="333333"/>
          <w:spacing w:val="0"/>
          <w:kern w:val="0"/>
          <w:sz w:val="32"/>
          <w:szCs w:val="32"/>
          <w:bdr w:val="none" w:color="auto" w:sz="0" w:space="0"/>
          <w:vertAlign w:val="baseline"/>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sz w:val="21"/>
          <w:szCs w:val="21"/>
        </w:rPr>
      </w:pPr>
      <w:r>
        <w:rPr>
          <w:rFonts w:hint="eastAsia" w:ascii="微软雅黑" w:hAnsi="微软雅黑" w:eastAsia="微软雅黑" w:cs="微软雅黑"/>
          <w:i w:val="0"/>
          <w:iCs w:val="0"/>
          <w:caps w:val="0"/>
          <w:color w:val="333333"/>
          <w:spacing w:val="0"/>
          <w:kern w:val="0"/>
          <w:sz w:val="32"/>
          <w:szCs w:val="32"/>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sz w:val="21"/>
          <w:szCs w:val="21"/>
        </w:rPr>
      </w:pPr>
      <w:r>
        <w:rPr>
          <w:rFonts w:hint="eastAsia" w:ascii="微软雅黑" w:hAnsi="微软雅黑" w:eastAsia="微软雅黑" w:cs="微软雅黑"/>
          <w:i w:val="0"/>
          <w:iCs w:val="0"/>
          <w:caps w:val="0"/>
          <w:color w:val="333333"/>
          <w:spacing w:val="0"/>
          <w:kern w:val="0"/>
          <w:sz w:val="32"/>
          <w:szCs w:val="32"/>
          <w:bdr w:val="none" w:color="auto" w:sz="0" w:space="0"/>
          <w:vertAlign w:val="baseline"/>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vertAlign w:val="baseline"/>
          <w:lang w:val="en-US" w:eastAsia="zh-CN" w:bidi="ar"/>
        </w:rPr>
        <w:t>苏州市文化广电和旅游局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jc w:val="right"/>
        <w:rPr>
          <w:rFonts w:hint="default" w:eastAsia="仿宋_GB2312"/>
          <w:lang w:val="en-US" w:eastAsia="zh-CN"/>
        </w:rPr>
      </w:pPr>
      <w:r>
        <w:rPr>
          <w:rFonts w:hint="eastAsia" w:ascii="微软雅黑" w:hAnsi="微软雅黑" w:eastAsia="微软雅黑" w:cs="微软雅黑"/>
          <w:i w:val="0"/>
          <w:iCs w:val="0"/>
          <w:caps w:val="0"/>
          <w:color w:val="333333"/>
          <w:spacing w:val="0"/>
          <w:sz w:val="32"/>
          <w:szCs w:val="32"/>
          <w:bdr w:val="none" w:color="auto" w:sz="0" w:space="0"/>
        </w:rPr>
        <w:t>2023</w:t>
      </w:r>
      <w:r>
        <w:rPr>
          <w:rFonts w:hint="default" w:ascii="仿宋_GB2312" w:hAnsi="微软雅黑" w:eastAsia="仿宋_GB2312" w:cs="仿宋_GB2312"/>
          <w:i w:val="0"/>
          <w:iCs w:val="0"/>
          <w:caps w:val="0"/>
          <w:color w:val="333333"/>
          <w:spacing w:val="0"/>
          <w:sz w:val="32"/>
          <w:szCs w:val="32"/>
          <w:bdr w:val="none" w:color="auto" w:sz="0" w:space="0"/>
        </w:rPr>
        <w:t>年</w:t>
      </w:r>
      <w:r>
        <w:rPr>
          <w:rFonts w:hint="default" w:ascii="Times New Roman" w:hAnsi="Times New Roman" w:eastAsia="仿宋_GB2312" w:cs="Times New Roman"/>
          <w:i w:val="0"/>
          <w:iCs w:val="0"/>
          <w:caps w:val="0"/>
          <w:color w:val="333333"/>
          <w:spacing w:val="0"/>
          <w:sz w:val="32"/>
          <w:szCs w:val="32"/>
          <w:bdr w:val="none" w:color="auto" w:sz="0" w:space="0"/>
        </w:rPr>
        <w:t>10</w:t>
      </w:r>
      <w:r>
        <w:rPr>
          <w:rFonts w:hint="default" w:ascii="仿宋_GB2312" w:hAnsi="微软雅黑" w:eastAsia="仿宋_GB2312" w:cs="仿宋_GB2312"/>
          <w:i w:val="0"/>
          <w:iCs w:val="0"/>
          <w:caps w:val="0"/>
          <w:color w:val="333333"/>
          <w:spacing w:val="0"/>
          <w:sz w:val="32"/>
          <w:szCs w:val="32"/>
          <w:bdr w:val="none" w:color="auto" w:sz="0" w:space="0"/>
        </w:rPr>
        <w:t>月</w:t>
      </w:r>
      <w:r>
        <w:rPr>
          <w:rFonts w:hint="default" w:ascii="Times New Roman" w:hAnsi="Times New Roman" w:eastAsia="仿宋_GB2312" w:cs="Times New Roman"/>
          <w:i w:val="0"/>
          <w:iCs w:val="0"/>
          <w:caps w:val="0"/>
          <w:color w:val="333333"/>
          <w:spacing w:val="0"/>
          <w:sz w:val="32"/>
          <w:szCs w:val="32"/>
          <w:bdr w:val="none" w:color="auto" w:sz="0" w:space="0"/>
        </w:rPr>
        <w:t>27</w:t>
      </w:r>
      <w:r>
        <w:rPr>
          <w:rFonts w:hint="default" w:ascii="仿宋_GB2312" w:hAnsi="微软雅黑" w:eastAsia="仿宋_GB2312" w:cs="仿宋_GB2312"/>
          <w:i w:val="0"/>
          <w:iCs w:val="0"/>
          <w:caps w:val="0"/>
          <w:color w:val="333333"/>
          <w:spacing w:val="0"/>
          <w:sz w:val="32"/>
          <w:szCs w:val="32"/>
          <w:bdr w:val="none" w:color="auto" w:sz="0" w:space="0"/>
        </w:rPr>
        <w:t>日</w:t>
      </w:r>
      <w:r>
        <w:rPr>
          <w:rFonts w:hint="eastAsia" w:ascii="仿宋_GB2312" w:hAnsi="微软雅黑" w:eastAsia="仿宋_GB2312" w:cs="仿宋_GB2312"/>
          <w:i w:val="0"/>
          <w:iCs w:val="0"/>
          <w:caps w:val="0"/>
          <w:color w:val="333333"/>
          <w:spacing w:val="0"/>
          <w:sz w:val="32"/>
          <w:szCs w:val="32"/>
          <w:bdr w:val="none" w:color="auto" w:sz="0" w:space="0"/>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80" w:lineRule="atLeast"/>
        <w:ind w:left="0" w:right="0" w:firstLine="0"/>
        <w:jc w:val="both"/>
      </w:pPr>
      <w:r>
        <w:rPr>
          <w:rFonts w:hint="default" w:ascii="仿宋_GB2312" w:hAnsi="微软雅黑" w:eastAsia="仿宋_GB2312" w:cs="仿宋_GB2312"/>
          <w:i w:val="0"/>
          <w:iCs w:val="0"/>
          <w:caps w:val="0"/>
          <w:color w:val="333333"/>
          <w:spacing w:val="-4"/>
          <w:sz w:val="32"/>
          <w:szCs w:val="32"/>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80" w:lineRule="atLeast"/>
        <w:ind w:left="0" w:right="0" w:firstLine="0"/>
        <w:jc w:val="both"/>
      </w:pPr>
      <w:r>
        <w:rPr>
          <w:rFonts w:hint="default" w:ascii="仿宋_GB2312" w:hAnsi="微软雅黑" w:eastAsia="仿宋_GB2312" w:cs="仿宋_GB2312"/>
          <w:i w:val="0"/>
          <w:iCs w:val="0"/>
          <w:caps w:val="0"/>
          <w:color w:val="333333"/>
          <w:spacing w:val="-4"/>
          <w:sz w:val="32"/>
          <w:szCs w:val="32"/>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80" w:lineRule="atLeast"/>
        <w:ind w:left="0" w:right="0" w:firstLine="0"/>
        <w:jc w:val="both"/>
      </w:pPr>
      <w:r>
        <w:rPr>
          <w:rFonts w:hint="default" w:ascii="仿宋_GB2312" w:hAnsi="微软雅黑" w:eastAsia="仿宋_GB2312" w:cs="仿宋_GB2312"/>
          <w:i w:val="0"/>
          <w:iCs w:val="0"/>
          <w:caps w:val="0"/>
          <w:color w:val="333333"/>
          <w:spacing w:val="-4"/>
          <w:sz w:val="32"/>
          <w:szCs w:val="32"/>
          <w:bdr w:val="none" w:color="auto" w:sz="0" w:space="0"/>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200"/>
        <w:jc w:val="both"/>
        <w:rPr>
          <w:sz w:val="21"/>
          <w:szCs w:val="21"/>
        </w:rPr>
      </w:pPr>
      <w:r>
        <w:rPr>
          <w:rFonts w:hint="eastAsia" w:ascii="宋体" w:hAnsi="宋体" w:eastAsia="宋体" w:cs="宋体"/>
          <w:i w:val="0"/>
          <w:iCs w:val="0"/>
          <w:caps w:val="0"/>
          <w:color w:val="333333"/>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苏州市促进旅游业高质量发展若干扶持政策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200"/>
        <w:jc w:val="both"/>
        <w:rPr>
          <w:sz w:val="21"/>
          <w:szCs w:val="21"/>
        </w:rPr>
      </w:pPr>
      <w:r>
        <w:rPr>
          <w:rFonts w:hint="eastAsia" w:ascii="宋体" w:hAnsi="宋体" w:eastAsia="宋体" w:cs="宋体"/>
          <w:i w:val="0"/>
          <w:iCs w:val="0"/>
          <w:caps w:val="0"/>
          <w:color w:val="333333"/>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为认真贯彻落实</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《市委办公室市政府办公室印发〈关于推动苏州市旅游业高质量发展的行动方案（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2023</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年）〉的通知》（苏委办发〔</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2023</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27</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号）</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和《市政府办公室印发关于支持新兴服务业高质量发展的若干政策（试行）的通知》（苏府办〔</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2022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160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号）等文件精神，从更高视野、更大范围、更宽领域、更深层次推进旅游业高质量发展，特制定本政策。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1284" w:right="0" w:hanging="660"/>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一、 </w:t>
      </w:r>
      <w:r>
        <w:rPr>
          <w:rFonts w:ascii="黑体" w:hAnsi="宋体" w:eastAsia="黑体" w:cs="黑体"/>
          <w:i w:val="0"/>
          <w:iCs w:val="0"/>
          <w:caps w:val="0"/>
          <w:color w:val="333333"/>
          <w:spacing w:val="-4"/>
          <w:kern w:val="0"/>
          <w:sz w:val="32"/>
          <w:szCs w:val="32"/>
          <w:bdr w:val="none" w:color="auto" w:sz="0" w:space="0"/>
          <w:lang w:val="en-US" w:eastAsia="zh-CN" w:bidi="ar"/>
        </w:rPr>
        <w:t>支持对象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在本市行政区域内从事文旅产业管理、项目研发、内容生产、文旅服务的单位和个人。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eastAsia" w:ascii="黑体" w:hAnsi="宋体" w:eastAsia="黑体" w:cs="黑体"/>
          <w:i w:val="0"/>
          <w:iCs w:val="0"/>
          <w:caps w:val="0"/>
          <w:color w:val="333333"/>
          <w:spacing w:val="-4"/>
          <w:kern w:val="0"/>
          <w:sz w:val="32"/>
          <w:szCs w:val="32"/>
          <w:bdr w:val="none" w:color="auto" w:sz="0" w:space="0"/>
          <w:lang w:val="en-US" w:eastAsia="zh-CN" w:bidi="ar"/>
        </w:rPr>
        <w:t>二、扶持政策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ascii="楷体_GB2312" w:hAnsi="微软雅黑" w:eastAsia="楷体_GB2312" w:cs="楷体_GB2312"/>
          <w:i w:val="0"/>
          <w:iCs w:val="0"/>
          <w:caps w:val="0"/>
          <w:color w:val="333333"/>
          <w:spacing w:val="-4"/>
          <w:kern w:val="0"/>
          <w:sz w:val="32"/>
          <w:szCs w:val="32"/>
          <w:bdr w:val="none" w:color="auto" w:sz="0" w:space="0"/>
          <w:lang w:val="en-US" w:eastAsia="zh-CN" w:bidi="ar"/>
        </w:rPr>
        <w:t>（一）支持旅游载体建设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支持旅游发展载体的高质量开发和建设。对全域旅游示范区、旅游景区、旅游度假区、旅游休闲街区、乡村旅游重点村和工业旅游区等获得省级以上等级旅游载体的管理主体进行奖励，奖励金额应扣除低等级获评所获得资金奖励额度，实施差额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 </w:t>
      </w:r>
    </w:p>
    <w:tbl>
      <w:tblPr>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06"/>
        <w:gridCol w:w="2055"/>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206" w:type="dxa"/>
            <w:tcBorders>
              <w:top w:val="single" w:color="auto" w:sz="8" w:space="0"/>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黑体" w:hAnsi="宋体" w:eastAsia="黑体" w:cs="黑体"/>
                <w:spacing w:val="-4"/>
                <w:kern w:val="0"/>
                <w:sz w:val="24"/>
                <w:szCs w:val="24"/>
                <w:bdr w:val="none" w:color="auto" w:sz="0" w:space="0"/>
                <w:lang w:val="en-US" w:eastAsia="zh-CN" w:bidi="ar"/>
              </w:rPr>
              <w:t>旅游载体建设内容</w:t>
            </w:r>
          </w:p>
        </w:tc>
        <w:tc>
          <w:tcPr>
            <w:tcW w:w="2055" w:type="dxa"/>
            <w:tcBorders>
              <w:top w:val="single" w:color="auto" w:sz="8" w:space="0"/>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黑体" w:hAnsi="宋体" w:eastAsia="黑体" w:cs="黑体"/>
                <w:spacing w:val="-4"/>
                <w:kern w:val="0"/>
                <w:sz w:val="24"/>
                <w:szCs w:val="24"/>
                <w:bdr w:val="none" w:color="auto" w:sz="0" w:space="0"/>
                <w:lang w:val="en-US" w:eastAsia="zh-CN" w:bidi="ar"/>
              </w:rPr>
              <w:t>获评等级</w:t>
            </w:r>
          </w:p>
        </w:tc>
        <w:tc>
          <w:tcPr>
            <w:tcW w:w="2583" w:type="dxa"/>
            <w:tcBorders>
              <w:top w:val="single" w:color="auto" w:sz="8" w:space="0"/>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黑体" w:hAnsi="宋体" w:eastAsia="黑体" w:cs="黑体"/>
                <w:spacing w:val="-4"/>
                <w:kern w:val="0"/>
                <w:sz w:val="24"/>
                <w:szCs w:val="24"/>
                <w:bdr w:val="none" w:color="auto" w:sz="0" w:space="0"/>
                <w:lang w:val="en-US" w:eastAsia="zh-CN" w:bidi="ar"/>
              </w:rPr>
              <w:t>累计奖励金额（万元）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206" w:type="dxa"/>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全域旅游示范区</w:t>
            </w: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国家级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206" w:type="dxa"/>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旅游度假区</w:t>
            </w: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国家级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206" w:type="dxa"/>
            <w:vMerge w:val="restart"/>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A</w:t>
            </w:r>
            <w:r>
              <w:rPr>
                <w:rFonts w:hint="eastAsia" w:ascii="宋体" w:hAnsi="宋体" w:eastAsia="宋体" w:cs="宋体"/>
                <w:spacing w:val="-4"/>
                <w:kern w:val="0"/>
                <w:sz w:val="24"/>
                <w:szCs w:val="24"/>
                <w:bdr w:val="none" w:color="auto" w:sz="0" w:space="0"/>
                <w:lang w:val="en-US" w:eastAsia="zh-CN" w:bidi="ar"/>
              </w:rPr>
              <w:t>级景区</w:t>
            </w: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5A</w:t>
            </w:r>
            <w:r>
              <w:rPr>
                <w:rFonts w:hint="eastAsia" w:ascii="宋体" w:hAnsi="宋体" w:eastAsia="宋体" w:cs="宋体"/>
                <w:spacing w:val="-4"/>
                <w:kern w:val="0"/>
                <w:sz w:val="24"/>
                <w:szCs w:val="24"/>
                <w:bdr w:val="none" w:color="auto" w:sz="0" w:space="0"/>
                <w:lang w:val="en-US" w:eastAsia="zh-CN" w:bidi="ar"/>
              </w:rPr>
              <w:t>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206" w:type="dxa"/>
            <w:vMerge w:val="continue"/>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rPr>
                <w:rFonts w:hint="eastAsia" w:ascii="宋体"/>
                <w:sz w:val="20"/>
                <w:szCs w:val="20"/>
              </w:rPr>
            </w:pP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4A</w:t>
            </w:r>
            <w:r>
              <w:rPr>
                <w:rFonts w:hint="eastAsia" w:ascii="宋体" w:hAnsi="宋体" w:eastAsia="宋体" w:cs="宋体"/>
                <w:spacing w:val="-4"/>
                <w:kern w:val="0"/>
                <w:sz w:val="24"/>
                <w:szCs w:val="24"/>
                <w:bdr w:val="none" w:color="auto" w:sz="0" w:space="0"/>
                <w:lang w:val="en-US" w:eastAsia="zh-CN" w:bidi="ar"/>
              </w:rPr>
              <w:t>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206" w:type="dxa"/>
            <w:vMerge w:val="restart"/>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旅游休闲街区</w:t>
            </w: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国家级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4206" w:type="dxa"/>
            <w:vMerge w:val="continue"/>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rPr>
                <w:rFonts w:hint="eastAsia" w:ascii="宋体"/>
                <w:sz w:val="20"/>
                <w:szCs w:val="20"/>
              </w:rPr>
            </w:pP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省级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4206" w:type="dxa"/>
            <w:vMerge w:val="restart"/>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乡村旅游重点村（镇）</w:t>
            </w: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国家级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4206" w:type="dxa"/>
            <w:vMerge w:val="continue"/>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rPr>
                <w:rFonts w:hint="eastAsia" w:ascii="宋体"/>
                <w:sz w:val="20"/>
                <w:szCs w:val="20"/>
              </w:rPr>
            </w:pP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省级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206" w:type="dxa"/>
            <w:vMerge w:val="restart"/>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工业旅游示范基地（旅游区）</w:t>
            </w: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国家级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4206" w:type="dxa"/>
            <w:vMerge w:val="continue"/>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rPr>
                <w:rFonts w:hint="eastAsia" w:ascii="宋体"/>
                <w:sz w:val="20"/>
                <w:szCs w:val="20"/>
              </w:rPr>
            </w:pPr>
          </w:p>
        </w:tc>
        <w:tc>
          <w:tcPr>
            <w:tcW w:w="205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省级</w:t>
            </w:r>
          </w:p>
        </w:tc>
        <w:tc>
          <w:tcPr>
            <w:tcW w:w="2583"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asciiTheme="minorHAnsi" w:hAnsiTheme="minorHAnsi" w:eastAsiaTheme="minorEastAsia" w:cstheme="minorBidi"/>
                <w:spacing w:val="-4"/>
                <w:kern w:val="0"/>
                <w:sz w:val="24"/>
                <w:szCs w:val="24"/>
                <w:bdr w:val="none" w:color="auto" w:sz="0" w:space="0"/>
                <w:lang w:val="en-US" w:eastAsia="zh-CN" w:bidi="ar"/>
              </w:rPr>
              <w:t>30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根据《中共中央关于制定国民经济和社会发展第十四个五年规划和二○三五年远景目标的建议》中对旅游业发展的具体要求，在国家文化和旅游部统一部署下，对获评或创建成功“文化底蕴深厚的世界级旅游景区、世界级旅游度假区、世界最佳旅游乡村”的，给予每家</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300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万元的一次性奖励。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对于位于太湖生态岛范围内的项目，奖励标准依据《市政府印发关于支持太湖生态岛建设的若干政策意见的通知》（苏府〔</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2021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57</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号）文件执行。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楷体_GB2312" w:hAnsi="微软雅黑" w:eastAsia="楷体_GB2312" w:cs="楷体_GB2312"/>
          <w:i w:val="0"/>
          <w:iCs w:val="0"/>
          <w:caps w:val="0"/>
          <w:color w:val="333333"/>
          <w:spacing w:val="-4"/>
          <w:kern w:val="0"/>
          <w:sz w:val="32"/>
          <w:szCs w:val="32"/>
          <w:bdr w:val="none" w:color="auto" w:sz="0" w:space="0"/>
          <w:lang w:val="en-US" w:eastAsia="zh-CN" w:bidi="ar"/>
        </w:rPr>
        <w:t>（二）完善文旅产品体系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支持文旅产品融合创新发展。鼓励各类非物质文化遗产和民间工艺活化利用，并融入民宿、餐饮、亲子、研学等旅游产品中。对文旅、体旅、农旅、工旅、婚庆、夜游、红色（爱国、廉政）教育基地等融合的新业态，已投入市场运营满</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年，游客可通过团体或自助的方式完成产品订购，年接待游客不低于</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3000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人次的，给予一次性奖励，每年奖励不超过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家，每家不超过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支持特色旅游商品创新开发。鼓励相关生产企业和单位参加国家级、省级旅游商品大赛。对获得国家级旅游商品金、银、铜奖称号的生产企业或单位给予一次性奖励，分别给予不超过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万元的奖励；对获得省级旅游商品金、银、铜奖称号的生产企业或单位给予一次性奖励，分别给予不超过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万元的奖励。年度奖励总额原则上不超过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支持文物保护单位、古建筑、历史遗迹、工业遗存、校园、规划馆、社区街道、菜场市集等社会场所的旅游化改造提升。对已投入市场运营满</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年，拥有鲜明苏式生活体验内容，游客可便捷进入消费的文旅新空间，参照《苏州市文化和旅游消费项目管理办法》予以奖励支持。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支持发展会议和奖励旅游。对文旅单位参加境外的会展会奖和旅游展会的，根据《苏州市文化和旅游“走出去”项目奖励补贴管理办法》进行奖励和补贴。对文旅企业在旅游主管部门认定的境内大型会展会奖和旅游类展会中设置展位的，经审计，按年度展位费排名给予一定补贴，每年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家，每家不超过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鼓励苏州本地企业加入知名会议会展类国际协会、机构等组织，对当年缴纳的会费给予一定补贴，每家每年不超过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万元，每家补贴不超过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年。鼓励企业参与国际会议竞标，对参与竞标产生的差旅费用给予一定补贴，每家每年不超过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200"/>
        <w:jc w:val="both"/>
        <w:rPr>
          <w:sz w:val="21"/>
          <w:szCs w:val="21"/>
        </w:rPr>
      </w:pPr>
      <w:r>
        <w:rPr>
          <w:rFonts w:hint="default" w:ascii="仿宋_GB2312" w:hAnsi="微软雅黑" w:eastAsia="仿宋_GB2312" w:cs="仿宋_GB2312"/>
          <w:i w:val="0"/>
          <w:iCs w:val="0"/>
          <w:caps w:val="0"/>
          <w:color w:val="333333"/>
          <w:spacing w:val="-4"/>
          <w:sz w:val="32"/>
          <w:szCs w:val="32"/>
          <w:bdr w:val="none" w:color="auto" w:sz="0" w:space="0"/>
        </w:rPr>
        <w:t>鼓励举办高品质专业展览，强化“会展</w:t>
      </w:r>
      <w:r>
        <w:rPr>
          <w:rFonts w:hint="default" w:ascii="Times New Roman" w:hAnsi="Times New Roman" w:eastAsia="仿宋_GB2312" w:cs="Times New Roman"/>
          <w:i w:val="0"/>
          <w:iCs w:val="0"/>
          <w:caps w:val="0"/>
          <w:color w:val="333333"/>
          <w:spacing w:val="-4"/>
          <w:sz w:val="32"/>
          <w:szCs w:val="32"/>
          <w:bdr w:val="none" w:color="auto" w:sz="0" w:space="0"/>
        </w:rPr>
        <w:t>+</w:t>
      </w:r>
      <w:r>
        <w:rPr>
          <w:rFonts w:hint="default" w:ascii="仿宋_GB2312" w:hAnsi="微软雅黑" w:eastAsia="仿宋_GB2312" w:cs="仿宋_GB2312"/>
          <w:i w:val="0"/>
          <w:iCs w:val="0"/>
          <w:caps w:val="0"/>
          <w:color w:val="333333"/>
          <w:spacing w:val="-4"/>
          <w:sz w:val="32"/>
          <w:szCs w:val="32"/>
          <w:bdr w:val="none" w:color="auto" w:sz="0" w:space="0"/>
        </w:rPr>
        <w:t>旅游”融合发展，鼓励举办国际专业展览，鼓励举办高水平会议论坛，强化“会议</w:t>
      </w:r>
      <w:r>
        <w:rPr>
          <w:rFonts w:hint="eastAsia" w:ascii="微软雅黑" w:hAnsi="微软雅黑" w:eastAsia="微软雅黑" w:cs="微软雅黑"/>
          <w:i w:val="0"/>
          <w:iCs w:val="0"/>
          <w:caps w:val="0"/>
          <w:color w:val="333333"/>
          <w:spacing w:val="-4"/>
          <w:sz w:val="32"/>
          <w:szCs w:val="32"/>
          <w:bdr w:val="none" w:color="auto" w:sz="0" w:space="0"/>
        </w:rPr>
        <w:t>+</w:t>
      </w:r>
      <w:r>
        <w:rPr>
          <w:rFonts w:hint="default" w:ascii="仿宋_GB2312" w:hAnsi="微软雅黑" w:eastAsia="仿宋_GB2312" w:cs="仿宋_GB2312"/>
          <w:i w:val="0"/>
          <w:iCs w:val="0"/>
          <w:caps w:val="0"/>
          <w:color w:val="333333"/>
          <w:spacing w:val="-4"/>
          <w:sz w:val="32"/>
          <w:szCs w:val="32"/>
          <w:bdr w:val="none" w:color="auto" w:sz="0" w:space="0"/>
        </w:rPr>
        <w:t>旅游”融合发展。奖励标准依据《市政府办公室印发苏州市关于推动会展业高质量发展的若干政策措施的通知》予以奖励支持。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624" w:right="0"/>
        <w:jc w:val="both"/>
        <w:rPr>
          <w:sz w:val="21"/>
          <w:szCs w:val="21"/>
        </w:rPr>
      </w:pPr>
      <w:r>
        <w:rPr>
          <w:rFonts w:hint="default" w:ascii="楷体_GB2312" w:hAnsi="微软雅黑" w:eastAsia="楷体_GB2312" w:cs="楷体_GB2312"/>
          <w:i w:val="0"/>
          <w:iCs w:val="0"/>
          <w:caps w:val="0"/>
          <w:color w:val="333333"/>
          <w:spacing w:val="-4"/>
          <w:kern w:val="0"/>
          <w:sz w:val="32"/>
          <w:szCs w:val="32"/>
          <w:bdr w:val="none" w:color="auto" w:sz="0" w:space="0"/>
          <w:lang w:val="en-US" w:eastAsia="zh-CN" w:bidi="ar"/>
        </w:rPr>
        <w:t>（三）提升文旅服务水平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4.</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支持自驾游换乘接驳。换乘中心提供接驳服务的，给予运输企业不超过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人次的补贴，每家每年最高不超过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鼓励度假区和重点旅游区域内开通便利的内部环绕旅游巴士线路，对全年开行超过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240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天，日常发车间隙</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分钟内，连接交通枢纽与区内主要景区和住宿点的线路，根据开行密度和长度，前三年每年给予开行企业不超过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万元的补贴。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持续完善旅游咨询服务体系。对企业主办，符合苏州市旅游咨询服务机构设置标准，在周边城市机场、高铁枢纽站等重要交通节点设立的苏州旅游咨询服务点，根据咨询点规模，给予一定补贴，每家每年不超过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万元，每家补贴不超过</w:t>
      </w:r>
      <w:r>
        <w:rPr>
          <w:rFonts w:hint="default" w:ascii="Times New Roman" w:hAnsi="Times New Roman" w:eastAsia="微软雅黑" w:cs="Times New Roman"/>
          <w:i w:val="0"/>
          <w:iCs w:val="0"/>
          <w:caps w:val="0"/>
          <w:color w:val="333333"/>
          <w:spacing w:val="-4"/>
          <w:kern w:val="0"/>
          <w:sz w:val="32"/>
          <w:szCs w:val="32"/>
          <w:bdr w:val="none" w:color="auto" w:sz="0" w:space="0"/>
          <w:lang w:val="en-US" w:eastAsia="zh-CN" w:bidi="ar"/>
        </w:rPr>
        <w:t>3</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鼓励社会力量利用存量空间参与旅游驿站、驿亭建设，每年组织评定，对设备设施、休憩补给、文化展示、购物体验等服务综合评价较好的运营主体，给予奖励，每年奖励不超过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个，每家不超过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支持旅游经营者或公共服务机构按照《苏州市旅游咨询服务机构管理考核办法》，在游客和市民集中区域设立为公众提供旅游咨询服务的咨询中心站或服务点。同时鼓励其大力推广并实施“君到苏州”二维码遍及工程。每年通过考核和评选，对于优秀的单位给予一次性奖励，具体奖励方法和标准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Times New Roman" w:hAnsi="Times New Roman" w:eastAsia="仿宋_GB2312" w:cs="Times New Roman"/>
          <w:i w:val="0"/>
          <w:iCs w:val="0"/>
          <w:caps w:val="0"/>
          <w:color w:val="333333"/>
          <w:spacing w:val="-4"/>
          <w:kern w:val="0"/>
          <w:sz w:val="32"/>
          <w:szCs w:val="32"/>
          <w:bdr w:val="none" w:color="auto" w:sz="0" w:space="0"/>
          <w:lang w:val="en-US" w:eastAsia="zh-CN" w:bidi="ar"/>
        </w:rPr>
        <w:t>6</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提升文旅服务的国际化水平。完善“君到苏州”等平台外语服务界面，鼓励</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4A</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级以上景区和酒店等企业提升员工外语能力和服务水平。景区员工不少于</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40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人、酒店员工不少于</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160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人，员工中外语能力证书持证比例</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以上，且每年举办集中服务技能提升培训</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次以上，按持证员工数和培训参加人次数进行综合评选，评选优秀的，给予一次性奖励，每年奖励不超过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家，每家不超过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Times New Roman" w:hAnsi="Times New Roman" w:eastAsia="仿宋_GB2312" w:cs="Times New Roman"/>
          <w:i w:val="0"/>
          <w:iCs w:val="0"/>
          <w:caps w:val="0"/>
          <w:color w:val="333333"/>
          <w:spacing w:val="-4"/>
          <w:kern w:val="0"/>
          <w:sz w:val="32"/>
          <w:szCs w:val="32"/>
          <w:bdr w:val="none" w:color="auto" w:sz="0" w:space="0"/>
          <w:lang w:val="en-US" w:eastAsia="zh-CN" w:bidi="ar"/>
        </w:rPr>
        <w:t>7</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鼓励导游不断提升服务能力。对在申报年度执业升级考试中获得中级、高级导游资格证书的导游员，分别给予</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0.3</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万元的一次性奖励。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鼓励导游个性化、品牌化、国际化发展。继续开展“苏州市品牌导游”评选工作。每届评定中文品牌导游员</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40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名，其中金牌导游员</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15</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名，银牌导游员</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25</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名，品牌导游员每年可申报</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个创新服务（或课题研究）项目，经年度评审考核合格的，给予一次性奖励，每个不超过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万元。鼓励品牌导游员成立导游工作室，对创立工作室品牌的，给予一次性扶持资金，每家不超过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万元。鼓励外语导游员为来苏州的外国游客提供咨询服务，评定外语金牌导游员</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名，给予每人每月</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1500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元的补贴。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楷体_GB2312" w:hAnsi="微软雅黑" w:eastAsia="楷体_GB2312" w:cs="楷体_GB2312"/>
          <w:i w:val="0"/>
          <w:iCs w:val="0"/>
          <w:caps w:val="0"/>
          <w:color w:val="333333"/>
          <w:spacing w:val="-4"/>
          <w:kern w:val="0"/>
          <w:sz w:val="32"/>
          <w:szCs w:val="32"/>
          <w:bdr w:val="none" w:color="auto" w:sz="0" w:space="0"/>
          <w:lang w:val="en-US" w:eastAsia="zh-CN" w:bidi="ar"/>
        </w:rPr>
        <w:t>（四）培育文旅企业竞争力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    </w:t>
      </w:r>
      <w:r>
        <w:rPr>
          <w:rFonts w:hint="default" w:ascii="Times New Roman" w:hAnsi="Times New Roman" w:eastAsia="仿宋_GB2312" w:cs="Times New Roman"/>
          <w:i w:val="0"/>
          <w:iCs w:val="0"/>
          <w:caps w:val="0"/>
          <w:color w:val="333333"/>
          <w:spacing w:val="-4"/>
          <w:kern w:val="0"/>
          <w:sz w:val="32"/>
          <w:szCs w:val="32"/>
          <w:bdr w:val="none" w:color="auto" w:sz="0" w:space="0"/>
          <w:lang w:val="en-US" w:eastAsia="zh-CN" w:bidi="ar"/>
        </w:rPr>
        <w:t>8</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鼓励文旅企业做大做强。对在本市从事生产经营活动满</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年以上，能够做到守法经营，履行安全生产责任，社会信用记录良好的文旅企业，根据《市委办公室市政府办公室印发〈关于落实文化产业倍增计划的扶持政策〉的通知》（苏委办〔</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2021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号），对旅游领域新增投资建设项目（酒店、乡村旅游、文旅综合体等），实际投资额达到</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亿元、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亿元、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亿元及以上的，经审核，给予最高不超过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400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100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万元的扶持。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8"/>
        <w:jc w:val="both"/>
        <w:rPr>
          <w:sz w:val="21"/>
          <w:szCs w:val="21"/>
        </w:rPr>
      </w:pP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鼓励文旅企业引客入苏。</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本市旅行社自主外联入境游客在苏旅游达</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0.2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万（含）人天的，根据人天数排名，给予排名前十的旅行社一次性奖励，按照不超过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人天的标准，每家不超过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万元。本市旅行社在开展入境游地接工作中，未交由其他旅行社操办，接待境外来苏过夜游客达</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0.5</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万（含）人天的，根据人天数排名，给予排名前十的旅行社一次性奖励，按照不超过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人天的标准，每家不超过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万元。本市旅行社接待国内来苏过夜游客超</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8</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万（含）人天的，根据人天数排名，给予排名前十的旅行社一次性奖励，按照不超过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人天的标准，每家不超过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鼓励文旅企业持续提升市场满意度。对酒店行业在国际国内知名网络平台上综合满意度靠前的，给予一次性奖励，每年奖励不超过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家，每家不超过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8"/>
        <w:jc w:val="both"/>
        <w:rPr>
          <w:sz w:val="21"/>
          <w:szCs w:val="21"/>
        </w:rPr>
      </w:pP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鼓励文旅企业的智慧化提升及设施设备改造。支持景区、酒店等文旅企业数字化、信息化提升。开展全市文旅企业信息化示范项目、培育项目评选，示范项目每年奖励不超过</w:t>
      </w:r>
      <w:r>
        <w:rPr>
          <w:rFonts w:hint="eastAsia" w:ascii="微软雅黑" w:hAnsi="微软雅黑" w:eastAsia="微软雅黑" w:cs="微软雅黑"/>
          <w:i w:val="0"/>
          <w:iCs w:val="0"/>
          <w:caps w:val="0"/>
          <w:color w:val="333333"/>
          <w:spacing w:val="-8"/>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家，每家不超过</w:t>
      </w:r>
      <w:r>
        <w:rPr>
          <w:rFonts w:hint="eastAsia" w:ascii="微软雅黑" w:hAnsi="微软雅黑" w:eastAsia="微软雅黑" w:cs="微软雅黑"/>
          <w:i w:val="0"/>
          <w:iCs w:val="0"/>
          <w:caps w:val="0"/>
          <w:color w:val="333333"/>
          <w:spacing w:val="-8"/>
          <w:kern w:val="0"/>
          <w:sz w:val="32"/>
          <w:szCs w:val="32"/>
          <w:bdr w:val="none" w:color="auto" w:sz="0" w:space="0"/>
          <w:lang w:val="en-US" w:eastAsia="zh-CN" w:bidi="ar"/>
        </w:rPr>
        <w:t>50</w:t>
      </w: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万元，培育项目每年奖励不超过</w:t>
      </w:r>
      <w:r>
        <w:rPr>
          <w:rFonts w:hint="eastAsia" w:ascii="微软雅黑" w:hAnsi="微软雅黑" w:eastAsia="微软雅黑" w:cs="微软雅黑"/>
          <w:i w:val="0"/>
          <w:iCs w:val="0"/>
          <w:caps w:val="0"/>
          <w:color w:val="333333"/>
          <w:spacing w:val="-8"/>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家，每家不超过</w:t>
      </w:r>
      <w:r>
        <w:rPr>
          <w:rFonts w:hint="eastAsia" w:ascii="微软雅黑" w:hAnsi="微软雅黑" w:eastAsia="微软雅黑" w:cs="微软雅黑"/>
          <w:i w:val="0"/>
          <w:iCs w:val="0"/>
          <w:caps w:val="0"/>
          <w:color w:val="333333"/>
          <w:spacing w:val="-8"/>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万元。鼓励文旅企业在节能减排改造、主题文化特色改造、家庭休闲度假设施更新和改造及景区游览和消费配套项目更新改造。开展全市文旅企业特色改造项目评选，对年底通过评审，运行情况良好、有较高社会效益的项目给予不超过改造项目投资额</w:t>
      </w:r>
      <w:r>
        <w:rPr>
          <w:rFonts w:hint="eastAsia" w:ascii="微软雅黑" w:hAnsi="微软雅黑" w:eastAsia="微软雅黑" w:cs="微软雅黑"/>
          <w:i w:val="0"/>
          <w:iCs w:val="0"/>
          <w:caps w:val="0"/>
          <w:color w:val="333333"/>
          <w:spacing w:val="-8"/>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的扶持资金，每年奖励不超过</w:t>
      </w:r>
      <w:r>
        <w:rPr>
          <w:rFonts w:hint="eastAsia" w:ascii="微软雅黑" w:hAnsi="微软雅黑" w:eastAsia="微软雅黑" w:cs="微软雅黑"/>
          <w:i w:val="0"/>
          <w:iCs w:val="0"/>
          <w:caps w:val="0"/>
          <w:color w:val="333333"/>
          <w:spacing w:val="-8"/>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家，每家不超过</w:t>
      </w:r>
      <w:r>
        <w:rPr>
          <w:rFonts w:hint="eastAsia" w:ascii="微软雅黑" w:hAnsi="微软雅黑" w:eastAsia="微软雅黑" w:cs="微软雅黑"/>
          <w:i w:val="0"/>
          <w:iCs w:val="0"/>
          <w:caps w:val="0"/>
          <w:color w:val="333333"/>
          <w:spacing w:val="-8"/>
          <w:kern w:val="0"/>
          <w:sz w:val="32"/>
          <w:szCs w:val="32"/>
          <w:bdr w:val="none" w:color="auto" w:sz="0" w:space="0"/>
          <w:lang w:val="en-US" w:eastAsia="zh-CN" w:bidi="ar"/>
        </w:rPr>
        <w:t>50</w:t>
      </w: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鼓励酒店、民宿、旅行社等企业不断提档升级，并给予相应的一次性奖励。</w:t>
      </w:r>
    </w:p>
    <w:tbl>
      <w:tblPr>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73"/>
        <w:gridCol w:w="2185"/>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473" w:type="dxa"/>
            <w:tcBorders>
              <w:top w:val="single" w:color="auto" w:sz="8" w:space="0"/>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黑体" w:hAnsi="宋体" w:eastAsia="黑体" w:cs="黑体"/>
                <w:spacing w:val="-4"/>
                <w:kern w:val="0"/>
                <w:sz w:val="24"/>
                <w:szCs w:val="24"/>
                <w:bdr w:val="none" w:color="auto" w:sz="0" w:space="0"/>
                <w:lang w:val="en-US" w:eastAsia="zh-CN" w:bidi="ar"/>
              </w:rPr>
              <w:t>奖励类别</w:t>
            </w:r>
          </w:p>
        </w:tc>
        <w:tc>
          <w:tcPr>
            <w:tcW w:w="2185" w:type="dxa"/>
            <w:tcBorders>
              <w:top w:val="single" w:color="auto" w:sz="8" w:space="0"/>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黑体" w:hAnsi="宋体" w:eastAsia="黑体" w:cs="黑体"/>
                <w:spacing w:val="-4"/>
                <w:kern w:val="0"/>
                <w:sz w:val="24"/>
                <w:szCs w:val="24"/>
                <w:bdr w:val="none" w:color="auto" w:sz="0" w:space="0"/>
                <w:lang w:val="en-US" w:eastAsia="zh-CN" w:bidi="ar"/>
              </w:rPr>
              <w:t>获评等级</w:t>
            </w:r>
          </w:p>
        </w:tc>
        <w:tc>
          <w:tcPr>
            <w:tcW w:w="2186" w:type="dxa"/>
            <w:tcBorders>
              <w:top w:val="single" w:color="auto" w:sz="8" w:space="0"/>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黑体" w:hAnsi="宋体" w:eastAsia="黑体" w:cs="黑体"/>
                <w:spacing w:val="-4"/>
                <w:kern w:val="0"/>
                <w:sz w:val="24"/>
                <w:szCs w:val="24"/>
                <w:bdr w:val="none" w:color="auto" w:sz="0" w:space="0"/>
                <w:lang w:val="en-US" w:eastAsia="zh-CN" w:bidi="ar"/>
              </w:rPr>
              <w:t>奖励金额（万元）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473" w:type="dxa"/>
            <w:vMerge w:val="restart"/>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获评国家等级酒店</w:t>
            </w:r>
          </w:p>
        </w:tc>
        <w:tc>
          <w:tcPr>
            <w:tcW w:w="218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五星级</w:t>
            </w:r>
          </w:p>
        </w:tc>
        <w:tc>
          <w:tcPr>
            <w:tcW w:w="2186"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不超过</w:t>
            </w:r>
            <w:r>
              <w:rPr>
                <w:rFonts w:asciiTheme="minorHAnsi" w:hAnsiTheme="minorHAnsi" w:eastAsiaTheme="minorEastAsia" w:cstheme="minorBidi"/>
                <w:spacing w:val="-4"/>
                <w:kern w:val="0"/>
                <w:sz w:val="24"/>
                <w:szCs w:val="24"/>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473" w:type="dxa"/>
            <w:vMerge w:val="continue"/>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rPr>
                <w:rFonts w:hint="eastAsia" w:ascii="宋体"/>
                <w:sz w:val="20"/>
                <w:szCs w:val="20"/>
              </w:rPr>
            </w:pPr>
          </w:p>
        </w:tc>
        <w:tc>
          <w:tcPr>
            <w:tcW w:w="218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四星级</w:t>
            </w:r>
          </w:p>
        </w:tc>
        <w:tc>
          <w:tcPr>
            <w:tcW w:w="2186"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不超过</w:t>
            </w:r>
            <w:r>
              <w:rPr>
                <w:rFonts w:asciiTheme="minorHAnsi" w:hAnsiTheme="minorHAnsi" w:eastAsiaTheme="minorEastAsia" w:cstheme="minorBidi"/>
                <w:spacing w:val="-4"/>
                <w:kern w:val="0"/>
                <w:sz w:val="24"/>
                <w:szCs w:val="24"/>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473" w:type="dxa"/>
            <w:vMerge w:val="restart"/>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获评国家等级民宿</w:t>
            </w:r>
          </w:p>
        </w:tc>
        <w:tc>
          <w:tcPr>
            <w:tcW w:w="218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甲级</w:t>
            </w:r>
          </w:p>
        </w:tc>
        <w:tc>
          <w:tcPr>
            <w:tcW w:w="2186"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不超过</w:t>
            </w:r>
            <w:r>
              <w:rPr>
                <w:rFonts w:asciiTheme="minorHAnsi" w:hAnsiTheme="minorHAnsi" w:eastAsiaTheme="minorEastAsia" w:cstheme="minorBidi"/>
                <w:spacing w:val="-4"/>
                <w:kern w:val="0"/>
                <w:sz w:val="24"/>
                <w:szCs w:val="24"/>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473" w:type="dxa"/>
            <w:vMerge w:val="continue"/>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rPr>
                <w:rFonts w:hint="eastAsia" w:ascii="宋体"/>
                <w:sz w:val="20"/>
                <w:szCs w:val="20"/>
              </w:rPr>
            </w:pPr>
          </w:p>
        </w:tc>
        <w:tc>
          <w:tcPr>
            <w:tcW w:w="218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乙级</w:t>
            </w:r>
          </w:p>
        </w:tc>
        <w:tc>
          <w:tcPr>
            <w:tcW w:w="2186"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不超过</w:t>
            </w:r>
            <w:r>
              <w:rPr>
                <w:rFonts w:asciiTheme="minorHAnsi" w:hAnsiTheme="minorHAnsi" w:eastAsiaTheme="minorEastAsia" w:cstheme="minorBidi"/>
                <w:spacing w:val="-4"/>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473" w:type="dxa"/>
            <w:vMerge w:val="continue"/>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rPr>
                <w:rFonts w:hint="eastAsia" w:ascii="宋体"/>
                <w:sz w:val="20"/>
                <w:szCs w:val="20"/>
              </w:rPr>
            </w:pPr>
          </w:p>
        </w:tc>
        <w:tc>
          <w:tcPr>
            <w:tcW w:w="218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丙级</w:t>
            </w:r>
          </w:p>
        </w:tc>
        <w:tc>
          <w:tcPr>
            <w:tcW w:w="2186"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不超过</w:t>
            </w:r>
            <w:r>
              <w:rPr>
                <w:rFonts w:asciiTheme="minorHAnsi" w:hAnsiTheme="minorHAnsi" w:eastAsiaTheme="minorEastAsia" w:cstheme="minorBidi"/>
                <w:spacing w:val="-4"/>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473" w:type="dxa"/>
            <w:vMerge w:val="restart"/>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获评国家绿色饭店</w:t>
            </w:r>
          </w:p>
        </w:tc>
        <w:tc>
          <w:tcPr>
            <w:tcW w:w="218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金树叶</w:t>
            </w:r>
          </w:p>
        </w:tc>
        <w:tc>
          <w:tcPr>
            <w:tcW w:w="2186"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不超过</w:t>
            </w:r>
            <w:r>
              <w:rPr>
                <w:rFonts w:asciiTheme="minorHAnsi" w:hAnsiTheme="minorHAnsi" w:eastAsiaTheme="minorEastAsia" w:cstheme="minorBidi"/>
                <w:spacing w:val="-4"/>
                <w:kern w:val="0"/>
                <w:sz w:val="24"/>
                <w:szCs w:val="24"/>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473" w:type="dxa"/>
            <w:vMerge w:val="continue"/>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rPr>
                <w:rFonts w:hint="eastAsia" w:ascii="宋体"/>
                <w:sz w:val="20"/>
                <w:szCs w:val="20"/>
              </w:rPr>
            </w:pPr>
          </w:p>
        </w:tc>
        <w:tc>
          <w:tcPr>
            <w:tcW w:w="218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银树叶</w:t>
            </w:r>
          </w:p>
        </w:tc>
        <w:tc>
          <w:tcPr>
            <w:tcW w:w="2186"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不超过</w:t>
            </w:r>
            <w:r>
              <w:rPr>
                <w:rFonts w:asciiTheme="minorHAnsi" w:hAnsiTheme="minorHAnsi" w:eastAsiaTheme="minorEastAsia" w:cstheme="minorBidi"/>
                <w:spacing w:val="-4"/>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473" w:type="dxa"/>
            <w:vMerge w:val="restart"/>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获评等级旅行社</w:t>
            </w:r>
          </w:p>
        </w:tc>
        <w:tc>
          <w:tcPr>
            <w:tcW w:w="218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省</w:t>
            </w:r>
            <w:r>
              <w:rPr>
                <w:rFonts w:asciiTheme="minorHAnsi" w:hAnsiTheme="minorHAnsi" w:eastAsiaTheme="minorEastAsia" w:cstheme="minorBidi"/>
                <w:spacing w:val="-4"/>
                <w:kern w:val="0"/>
                <w:sz w:val="24"/>
                <w:szCs w:val="24"/>
                <w:bdr w:val="none" w:color="auto" w:sz="0" w:space="0"/>
                <w:lang w:val="en-US" w:eastAsia="zh-CN" w:bidi="ar"/>
              </w:rPr>
              <w:t>5</w:t>
            </w:r>
            <w:r>
              <w:rPr>
                <w:rFonts w:hint="eastAsia" w:ascii="宋体" w:hAnsi="宋体" w:eastAsia="宋体" w:cs="宋体"/>
                <w:spacing w:val="-4"/>
                <w:kern w:val="0"/>
                <w:sz w:val="24"/>
                <w:szCs w:val="24"/>
                <w:bdr w:val="none" w:color="auto" w:sz="0" w:space="0"/>
                <w:lang w:val="en-US" w:eastAsia="zh-CN" w:bidi="ar"/>
              </w:rPr>
              <w:t>星级</w:t>
            </w:r>
          </w:p>
        </w:tc>
        <w:tc>
          <w:tcPr>
            <w:tcW w:w="2186"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不超过</w:t>
            </w:r>
            <w:r>
              <w:rPr>
                <w:rFonts w:asciiTheme="minorHAnsi" w:hAnsiTheme="minorHAnsi" w:eastAsiaTheme="minorEastAsia" w:cstheme="minorBidi"/>
                <w:spacing w:val="-4"/>
                <w:kern w:val="0"/>
                <w:sz w:val="24"/>
                <w:szCs w:val="24"/>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473" w:type="dxa"/>
            <w:vMerge w:val="continue"/>
            <w:tcBorders>
              <w:top w:val="nil"/>
              <w:left w:val="single" w:color="auto" w:sz="8" w:space="0"/>
              <w:bottom w:val="single" w:color="auto" w:sz="8" w:space="0"/>
              <w:right w:val="single" w:color="auto" w:sz="8" w:space="0"/>
            </w:tcBorders>
            <w:shd w:val="clear"/>
            <w:tcMar>
              <w:top w:w="0" w:type="dxa"/>
              <w:left w:w="28" w:type="dxa"/>
              <w:bottom w:w="0" w:type="dxa"/>
              <w:right w:w="28" w:type="dxa"/>
            </w:tcMar>
            <w:vAlign w:val="center"/>
          </w:tcPr>
          <w:p>
            <w:pPr>
              <w:rPr>
                <w:rFonts w:hint="eastAsia" w:ascii="宋体"/>
                <w:sz w:val="20"/>
                <w:szCs w:val="20"/>
              </w:rPr>
            </w:pPr>
          </w:p>
        </w:tc>
        <w:tc>
          <w:tcPr>
            <w:tcW w:w="2185"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省</w:t>
            </w:r>
            <w:r>
              <w:rPr>
                <w:rFonts w:asciiTheme="minorHAnsi" w:hAnsiTheme="minorHAnsi" w:eastAsiaTheme="minorEastAsia" w:cstheme="minorBidi"/>
                <w:spacing w:val="-4"/>
                <w:kern w:val="0"/>
                <w:sz w:val="24"/>
                <w:szCs w:val="24"/>
                <w:bdr w:val="none" w:color="auto" w:sz="0" w:space="0"/>
                <w:lang w:val="en-US" w:eastAsia="zh-CN" w:bidi="ar"/>
              </w:rPr>
              <w:t>4</w:t>
            </w:r>
            <w:r>
              <w:rPr>
                <w:rFonts w:hint="eastAsia" w:ascii="宋体" w:hAnsi="宋体" w:eastAsia="宋体" w:cs="宋体"/>
                <w:spacing w:val="-4"/>
                <w:kern w:val="0"/>
                <w:sz w:val="24"/>
                <w:szCs w:val="24"/>
                <w:bdr w:val="none" w:color="auto" w:sz="0" w:space="0"/>
                <w:lang w:val="en-US" w:eastAsia="zh-CN" w:bidi="ar"/>
              </w:rPr>
              <w:t>星级</w:t>
            </w:r>
          </w:p>
        </w:tc>
        <w:tc>
          <w:tcPr>
            <w:tcW w:w="2186" w:type="dxa"/>
            <w:tcBorders>
              <w:top w:val="nil"/>
              <w:left w:val="nil"/>
              <w:bottom w:val="single" w:color="auto" w:sz="8" w:space="0"/>
              <w:right w:val="single" w:color="auto" w:sz="8" w:space="0"/>
            </w:tcBorders>
            <w:shd w:val="clear"/>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sz w:val="21"/>
                <w:szCs w:val="21"/>
              </w:rPr>
            </w:pPr>
            <w:r>
              <w:rPr>
                <w:rFonts w:hint="eastAsia" w:ascii="宋体" w:hAnsi="宋体" w:eastAsia="宋体" w:cs="宋体"/>
                <w:spacing w:val="-4"/>
                <w:kern w:val="0"/>
                <w:sz w:val="24"/>
                <w:szCs w:val="24"/>
                <w:bdr w:val="none" w:color="auto" w:sz="0" w:space="0"/>
                <w:lang w:val="en-US" w:eastAsia="zh-CN" w:bidi="ar"/>
              </w:rPr>
              <w:t>不超过</w:t>
            </w:r>
            <w:r>
              <w:rPr>
                <w:rFonts w:asciiTheme="minorHAnsi" w:hAnsiTheme="minorHAnsi" w:eastAsiaTheme="minorEastAsia" w:cstheme="minorBidi"/>
                <w:spacing w:val="-4"/>
                <w:kern w:val="0"/>
                <w:sz w:val="24"/>
                <w:szCs w:val="24"/>
                <w:bdr w:val="none" w:color="auto" w:sz="0" w:space="0"/>
                <w:lang w:val="en-US" w:eastAsia="zh-CN" w:bidi="ar"/>
              </w:rPr>
              <w:t>10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Times New Roman" w:hAnsi="Times New Roman" w:eastAsia="仿宋_GB2312" w:cs="Times New Roman"/>
          <w:i w:val="0"/>
          <w:iCs w:val="0"/>
          <w:caps w:val="0"/>
          <w:color w:val="333333"/>
          <w:spacing w:val="-4"/>
          <w:kern w:val="0"/>
          <w:sz w:val="32"/>
          <w:szCs w:val="32"/>
          <w:bdr w:val="none" w:color="auto" w:sz="0" w:space="0"/>
          <w:lang w:val="en-US" w:eastAsia="zh-CN" w:bidi="ar"/>
        </w:rPr>
        <w:t>9</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鼓励旅游企业自主开展旅游项目及旅游产品的宣传推广。对旅游企业在境内外旅游平台及其他渠道上投入旅游项目及旅游产品推广促销费用的，按不超过审计后费用总额的</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50%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予以补贴，每年不超过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家，每家不超过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每年对社会经济效益良好并具备一定规模的本地旅游节庆活动开展评比，评选出年度优秀节庆活动一等奖一家、二等奖三家、三等奖六家，分别给予不超过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30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万元的一次性奖励，年度奖励总额不超过</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150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sz w:val="21"/>
          <w:szCs w:val="21"/>
        </w:rPr>
      </w:pPr>
      <w:r>
        <w:rPr>
          <w:rFonts w:ascii="华文楷体" w:hAnsi="华文楷体" w:eastAsia="华文楷体" w:cs="华文楷体"/>
          <w:i w:val="0"/>
          <w:iCs w:val="0"/>
          <w:caps w:val="0"/>
          <w:color w:val="333333"/>
          <w:spacing w:val="-4"/>
          <w:kern w:val="0"/>
          <w:sz w:val="32"/>
          <w:szCs w:val="32"/>
          <w:bdr w:val="none" w:color="auto" w:sz="0" w:space="0"/>
          <w:lang w:val="en-US" w:eastAsia="zh-CN" w:bidi="ar"/>
        </w:rPr>
        <w:t>    </w:t>
      </w:r>
      <w:r>
        <w:rPr>
          <w:rFonts w:hint="default" w:ascii="楷体_GB2312" w:hAnsi="微软雅黑" w:eastAsia="楷体_GB2312" w:cs="楷体_GB2312"/>
          <w:i w:val="0"/>
          <w:iCs w:val="0"/>
          <w:caps w:val="0"/>
          <w:color w:val="333333"/>
          <w:spacing w:val="-4"/>
          <w:kern w:val="0"/>
          <w:sz w:val="32"/>
          <w:szCs w:val="32"/>
          <w:bdr w:val="none" w:color="auto" w:sz="0" w:space="0"/>
          <w:lang w:val="en-US" w:eastAsia="zh-CN" w:bidi="ar"/>
        </w:rPr>
        <w:t>（五）加强重大项目招引建设。</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支持鼓励各县级市（区）盘活存量资产、资源，开展精准化旅游招商引资，增强旅游重大项目的引领性，鼓励新业态、新模式、新场景项目全域布局。支持各县级市（区）制定完善旅游用地专项政策，为旅游项目预留发展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32"/>
          <w:szCs w:val="32"/>
        </w:rPr>
      </w:pPr>
      <w:r>
        <w:rPr>
          <w:rFonts w:hint="default" w:ascii="楷体_GB2312" w:eastAsia="楷体_GB2312" w:cs="楷体_GB2312"/>
          <w:b w:val="0"/>
          <w:bCs w:val="0"/>
          <w:i w:val="0"/>
          <w:iCs w:val="0"/>
          <w:caps w:val="0"/>
          <w:color w:val="333333"/>
          <w:spacing w:val="-4"/>
          <w:sz w:val="32"/>
          <w:szCs w:val="32"/>
          <w:bdr w:val="none" w:color="auto" w:sz="0" w:space="0"/>
        </w:rPr>
        <w:t>（六）优化旅游人才队伍。</w:t>
      </w:r>
      <w:r>
        <w:rPr>
          <w:rFonts w:hint="default" w:ascii="仿宋_GB2312" w:eastAsia="仿宋_GB2312" w:cs="仿宋_GB2312"/>
          <w:b w:val="0"/>
          <w:bCs w:val="0"/>
          <w:i w:val="0"/>
          <w:iCs w:val="0"/>
          <w:caps w:val="0"/>
          <w:color w:val="333333"/>
          <w:spacing w:val="-4"/>
          <w:sz w:val="32"/>
          <w:szCs w:val="32"/>
          <w:bdr w:val="none" w:color="auto" w:sz="0" w:space="0"/>
        </w:rPr>
        <w:t>完善旅游人才发展规划，进一步优化旅游人才结构，大力引进符合旅游转型升级需求的复合型旅游人才。举办各类文旅竞技和竞赛活动，搭建人才成长平台。探索旅游人才职称评审、岗位设置新思路，完善旅游人才晋升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黑体" w:hAnsi="宋体" w:eastAsia="黑体" w:cs="黑体"/>
          <w:i w:val="0"/>
          <w:iCs w:val="0"/>
          <w:caps w:val="0"/>
          <w:color w:val="333333"/>
          <w:spacing w:val="-4"/>
          <w:kern w:val="0"/>
          <w:sz w:val="32"/>
          <w:szCs w:val="32"/>
          <w:bdr w:val="none" w:color="auto" w:sz="0" w:space="0"/>
          <w:shd w:val="clear" w:fill="FFFFFF"/>
          <w:lang w:val="en-US" w:eastAsia="zh-CN" w:bidi="ar"/>
        </w:rPr>
        <w:t>三、组织实施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苏州市文化广电和旅游局负责制定申报通知及《申报指南》，负责全市申报单位的资格认定和评审工作。根据扶持奖励项目内容，设立各扶持奖励评选小组。评选小组成员由市旅委成员单位相关负责人、旅游专家和旅游企业代表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苏州市文化广电和旅游局根据本《政策》，原则上在每年的</w:t>
      </w: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7</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月公开发布各类扶持项目的申报通知及《申报指南》，具体明确申报内容、申报条件和扶持奖励标准等事项。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申报单位根据本《政策》、申报通知及《申报指南》具体要求，及时向属地文化旅游行政主管部门提交申报资料。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各市、区文化旅游行政主管部门负责收集、汇总本地区的申报资料，联合同级财政部门完成资料预审工作后，将申报资料报送至苏州市文化广电和旅游局。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苏州市文化广电和旅游局对申报奖励项目进行预审和综合评审，结合年初安排的资金预算，拟定奖励补贴名单及金额，经局机关负责人集体审议后，向社会公示，征求公众意见，公示时间不少于</w:t>
      </w: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评审、公示无异议的，按拨付程序下达资金。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黑体" w:hAnsi="宋体" w:eastAsia="黑体" w:cs="黑体"/>
          <w:i w:val="0"/>
          <w:iCs w:val="0"/>
          <w:caps w:val="0"/>
          <w:color w:val="333333"/>
          <w:spacing w:val="-4"/>
          <w:kern w:val="0"/>
          <w:sz w:val="32"/>
          <w:szCs w:val="32"/>
          <w:bdr w:val="none" w:color="auto" w:sz="0" w:space="0"/>
          <w:shd w:val="clear" w:fill="FFFFFF"/>
          <w:lang w:val="en-US" w:eastAsia="zh-CN" w:bidi="ar"/>
        </w:rPr>
        <w:t>四、监督检查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.申报单位及其法定代表人、财务负责人以及相关责任人对申报项目的合法性、真实性和有效性负责。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12"/>
          <w:kern w:val="0"/>
          <w:sz w:val="32"/>
          <w:szCs w:val="32"/>
          <w:bdr w:val="none" w:color="auto" w:sz="0" w:space="0"/>
          <w:shd w:val="clear" w:fill="FFFFFF"/>
          <w:lang w:val="en-US" w:eastAsia="zh-CN" w:bidi="ar"/>
        </w:rPr>
        <w:t>获得奖补资金的单位及个人应遵守国家财政、财务规章制度和财经纪律，自觉接受财政、审计、纪检监察等机关的监督检查。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申报单位若存在虚报项目、虚报项目投资额、提供虚假证明材料、有损害国家和民族利益的言行，并造成不良社会影响以及其他欺诈行为的，按规定追究申报单位和相关人员责任，并收回已拨付的奖补资金上缴财政，三年内不再给予申报单位奖励补贴。违反法律法规规定的，依法依规追究相关单位和个人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黑体" w:hAnsi="宋体" w:eastAsia="黑体" w:cs="黑体"/>
          <w:i w:val="0"/>
          <w:iCs w:val="0"/>
          <w:caps w:val="0"/>
          <w:color w:val="333333"/>
          <w:spacing w:val="-4"/>
          <w:kern w:val="0"/>
          <w:sz w:val="32"/>
          <w:szCs w:val="32"/>
          <w:bdr w:val="none" w:color="auto" w:sz="0" w:space="0"/>
          <w:shd w:val="clear" w:fill="FFFFFF"/>
          <w:lang w:val="en-US" w:eastAsia="zh-CN" w:bidi="ar"/>
        </w:rPr>
        <w:t>五、附则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shd w:val="clear" w:fill="FFFFFF"/>
          <w:lang w:val="en-US" w:eastAsia="zh-CN" w:bidi="ar"/>
        </w:rPr>
        <w:t>对于已经获得我市其他政策资金支持的项目，本政策不重复给予支持。支持鼓励各县级市（区）出台相关配套政策。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4"/>
        <w:jc w:val="both"/>
        <w:rPr>
          <w:sz w:val="21"/>
          <w:szCs w:val="21"/>
        </w:rPr>
      </w:pP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本政策自</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2023</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w:t>
      </w:r>
      <w:r>
        <w:rPr>
          <w:rFonts w:hint="default" w:ascii="Times New Roman" w:hAnsi="Times New Roman" w:eastAsia="仿宋_GB2312" w:cs="Times New Roman"/>
          <w:i w:val="0"/>
          <w:iCs w:val="0"/>
          <w:caps w:val="0"/>
          <w:color w:val="333333"/>
          <w:spacing w:val="-4"/>
          <w:kern w:val="0"/>
          <w:sz w:val="32"/>
          <w:szCs w:val="32"/>
          <w:bdr w:val="none" w:color="auto" w:sz="0" w:space="0"/>
          <w:lang w:val="en-US" w:eastAsia="zh-CN" w:bidi="ar"/>
        </w:rPr>
        <w:t>2</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月</w:t>
      </w:r>
      <w:r>
        <w:rPr>
          <w:rFonts w:hint="default" w:ascii="Times New Roman" w:hAnsi="Times New Roman" w:eastAsia="仿宋_GB2312" w:cs="Times New Roman"/>
          <w:i w:val="0"/>
          <w:iCs w:val="0"/>
          <w:caps w:val="0"/>
          <w:color w:val="333333"/>
          <w:spacing w:val="-4"/>
          <w:kern w:val="0"/>
          <w:sz w:val="32"/>
          <w:szCs w:val="32"/>
          <w:bdr w:val="none" w:color="auto" w:sz="0" w:space="0"/>
          <w:lang w:val="en-US" w:eastAsia="zh-CN" w:bidi="ar"/>
        </w:rPr>
        <w:t>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日起施行，有效期至</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2028</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4"/>
          <w:kern w:val="0"/>
          <w:sz w:val="32"/>
          <w:szCs w:val="32"/>
          <w:bdr w:val="none" w:color="auto" w:sz="0" w:space="0"/>
          <w:lang w:val="en-US" w:eastAsia="zh-CN" w:bidi="ar"/>
        </w:rPr>
        <w:t>11</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月</w:t>
      </w:r>
      <w:r>
        <w:rPr>
          <w:rFonts w:hint="default" w:ascii="Times New Roman" w:hAnsi="Times New Roman" w:eastAsia="仿宋_GB2312" w:cs="Times New Roman"/>
          <w:i w:val="0"/>
          <w:iCs w:val="0"/>
          <w:caps w:val="0"/>
          <w:color w:val="333333"/>
          <w:spacing w:val="-4"/>
          <w:kern w:val="0"/>
          <w:sz w:val="32"/>
          <w:szCs w:val="32"/>
          <w:bdr w:val="none" w:color="auto" w:sz="0" w:space="0"/>
          <w:lang w:val="en-US" w:eastAsia="zh-CN" w:bidi="ar"/>
        </w:rPr>
        <w:t>30</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8"/>
        <w:jc w:val="both"/>
        <w:rPr>
          <w:sz w:val="21"/>
          <w:szCs w:val="21"/>
        </w:rPr>
      </w:pPr>
      <w:r>
        <w:rPr>
          <w:rFonts w:hint="default" w:ascii="仿宋_GB2312" w:hAnsi="微软雅黑" w:eastAsia="仿宋_GB2312" w:cs="仿宋_GB2312"/>
          <w:i w:val="0"/>
          <w:iCs w:val="0"/>
          <w:caps w:val="0"/>
          <w:color w:val="333333"/>
          <w:spacing w:val="-8"/>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80"/>
        <w:jc w:val="both"/>
        <w:rPr>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80"/>
        <w:jc w:val="both"/>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（此件公开</w:t>
      </w:r>
      <w:r>
        <w:rPr>
          <w:rFonts w:hint="default" w:ascii="仿宋_GB2312" w:hAnsi="微软雅黑" w:eastAsia="仿宋_GB2312" w:cs="仿宋_GB2312"/>
          <w:i w:val="0"/>
          <w:iCs w:val="0"/>
          <w:caps w:val="0"/>
          <w:color w:val="333333"/>
          <w:spacing w:val="-4"/>
          <w:kern w:val="0"/>
          <w:sz w:val="32"/>
          <w:szCs w:val="32"/>
          <w:bdr w:val="none" w:color="auto" w:sz="0" w:space="0"/>
          <w:lang w:val="en-US" w:eastAsia="zh-CN" w:bidi="ar"/>
        </w:rPr>
        <w:t>发布</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1D6E56-F472-40F6-B23E-E603029A53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635459D-3B45-42EE-9A6A-17FA9E22BE5D}"/>
  </w:font>
  <w:font w:name="微软雅黑">
    <w:panose1 w:val="020B0503020204020204"/>
    <w:charset w:val="86"/>
    <w:family w:val="auto"/>
    <w:pitch w:val="default"/>
    <w:sig w:usb0="80000287" w:usb1="2ACF3C50" w:usb2="00000016" w:usb3="00000000" w:csb0="0004001F" w:csb1="00000000"/>
    <w:embedRegular r:id="rId3" w:fontKey="{264860AE-4469-472B-B5C7-A5B56B55B0C0}"/>
  </w:font>
  <w:font w:name="仿宋_GB2312">
    <w:altName w:val="仿宋"/>
    <w:panose1 w:val="00000000000000000000"/>
    <w:charset w:val="00"/>
    <w:family w:val="auto"/>
    <w:pitch w:val="default"/>
    <w:sig w:usb0="00000000" w:usb1="00000000" w:usb2="00000000" w:usb3="00000000" w:csb0="00000000" w:csb1="00000000"/>
    <w:embedRegular r:id="rId4" w:fontKey="{AA91FA3A-6B7F-4E06-8C70-E2B03DE2CA2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5" w:fontKey="{6702547C-D2F9-476E-AABA-C60372D16CDE}"/>
  </w:font>
  <w:font w:name="楷体_GB2312">
    <w:altName w:val="楷体"/>
    <w:panose1 w:val="00000000000000000000"/>
    <w:charset w:val="00"/>
    <w:family w:val="auto"/>
    <w:pitch w:val="default"/>
    <w:sig w:usb0="00000000" w:usb1="00000000" w:usb2="00000000" w:usb3="00000000" w:csb0="00000000" w:csb1="00000000"/>
    <w:embedRegular r:id="rId6" w:fontKey="{29513FC3-0237-43C3-A3BE-FCF14E883AFD}"/>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embedRegular r:id="rId7" w:fontKey="{62349C0B-5848-4DBD-B53C-9B55E11F9C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22E40FC6"/>
    <w:rsid w:val="22E4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2023-11-06T03:55:00Z</dcterms:created>
  <dc:creator>袁小呆</dc:creator>
  <cp:lastModifiedBy>袁小呆</cp:lastModifiedBy>
  <dcterms:modified xsi:type="dcterms:W3CDTF">2023-11-06T03:57:24Z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D8E7FCF44EC040A1B33B7EB6AB88708B_11</vt:lpwstr>
  </property>
</Properties>
</file>