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br w:type="textWrapping"/>
      </w:r>
      <w:r>
        <w:t>附件1</w:t>
      </w:r>
    </w:p>
    <w:p>
      <w:pPr>
        <w:pStyle w:val="2"/>
        <w:keepNext w:val="0"/>
        <w:keepLines w:val="0"/>
        <w:widowControl/>
        <w:suppressLineNumbers w:val="0"/>
      </w:pPr>
      <w:r>
        <w:t> </w:t>
      </w:r>
    </w:p>
    <w:p>
      <w:pPr>
        <w:pStyle w:val="2"/>
        <w:keepNext w:val="0"/>
        <w:keepLines w:val="0"/>
        <w:widowControl/>
        <w:suppressLineNumbers w:val="0"/>
      </w:pPr>
      <w:r>
        <w:t>国别风险主要类型</w:t>
      </w:r>
    </w:p>
    <w:p>
      <w:pPr>
        <w:pStyle w:val="2"/>
        <w:keepNext w:val="0"/>
        <w:keepLines w:val="0"/>
        <w:widowControl/>
        <w:suppressLineNumbers w:val="0"/>
      </w:pPr>
      <w:r>
        <w:t> </w:t>
      </w:r>
    </w:p>
    <w:p>
      <w:pPr>
        <w:pStyle w:val="2"/>
        <w:keepNext w:val="0"/>
        <w:keepLines w:val="0"/>
        <w:widowControl/>
        <w:suppressLineNumbers w:val="0"/>
      </w:pPr>
      <w:r>
        <w:t>一、转移风险</w:t>
      </w:r>
      <w:r>
        <w:br w:type="textWrapping"/>
      </w:r>
      <w:r>
        <w:t>　　转移风险指债务人由于本国外汇储备不足或外汇管制等原因，无法获得所需外汇偿还其境外债务的风险。</w:t>
      </w:r>
      <w:r>
        <w:br w:type="textWrapping"/>
      </w:r>
      <w:r>
        <w:t>　</w:t>
      </w:r>
      <w:r>
        <w:rPr>
          <w:rStyle w:val="5"/>
        </w:rPr>
        <w:t>　</w:t>
      </w:r>
      <w:r>
        <w:t>二、主权风险</w:t>
      </w:r>
      <w:r>
        <w:br w:type="textWrapping"/>
      </w:r>
      <w:r>
        <w:t>　　主权风险指外国政府没有能力或者拒绝偿付其直接或间接外币债务的可能性。</w:t>
      </w:r>
      <w:r>
        <w:br w:type="textWrapping"/>
      </w:r>
      <w:r>
        <w:t>　</w:t>
      </w:r>
      <w:r>
        <w:rPr>
          <w:rStyle w:val="5"/>
        </w:rPr>
        <w:t>　</w:t>
      </w:r>
      <w:r>
        <w:t>三、传染风险</w:t>
      </w:r>
      <w:r>
        <w:br w:type="textWrapping"/>
      </w:r>
      <w:r>
        <w:t>　　传染风险指某一国家的不利状况导致该地区其他国家评级下降或信贷紧缩的风险，尽管这些国家并未发生这些不利状况，自身信用状况也未出现恶化。</w:t>
      </w:r>
      <w:r>
        <w:br w:type="textWrapping"/>
      </w:r>
      <w:r>
        <w:t>　　四、货币风险</w:t>
      </w:r>
      <w:r>
        <w:br w:type="textWrapping"/>
      </w:r>
      <w:r>
        <w:t>　　货币风险指由于汇率不利变动或货币贬值，导致债务人持有的本国货币或现金流不足以支付其外币债务的风险。</w:t>
      </w:r>
      <w:r>
        <w:br w:type="textWrapping"/>
      </w:r>
      <w:r>
        <w:t>　　五、宏观经济风险</w:t>
      </w:r>
      <w:r>
        <w:br w:type="textWrapping"/>
      </w:r>
      <w:r>
        <w:t>　　宏观经济风险指因宏观经济大幅波动导致债务人违约风险增加的风险。</w:t>
      </w:r>
      <w:r>
        <w:br w:type="textWrapping"/>
      </w:r>
      <w:r>
        <w:t>　　六、政治风险</w:t>
      </w:r>
      <w:r>
        <w:br w:type="textWrapping"/>
      </w:r>
      <w:r>
        <w:t>　　政治风险指债务人因所在国发生政治冲突、政权更替、战争等情形，或者债务人资产被国有化或被征用等情形而承受的风险。</w:t>
      </w:r>
      <w:r>
        <w:br w:type="textWrapping"/>
      </w:r>
      <w:r>
        <w:t>　　七、间接国别风险</w:t>
      </w:r>
      <w:r>
        <w:br w:type="textWrapping"/>
      </w:r>
      <w:r>
        <w:t>　　间接国别风险指某一国家或者地区因上述各类国别风险增高，间接导致在该国或者地区有重大商业关系或利益的本国债务人还款能力和还款意愿降低的风险。　　</w:t>
      </w:r>
    </w:p>
    <w:p>
      <w:pPr>
        <w:pStyle w:val="2"/>
        <w:keepNext w:val="0"/>
        <w:keepLines w:val="0"/>
        <w:widowControl/>
        <w:suppressLineNumbers w:val="0"/>
      </w:pPr>
      <w:r>
        <w:t>间接国别风险无需纳入正式的国别风险管理程序，银行业金融机构在评估本国债务人的信用状况时，应适当考虑国别风险因素。</w:t>
      </w:r>
    </w:p>
    <w:p>
      <w:pPr>
        <w:pStyle w:val="2"/>
        <w:keepNext w:val="0"/>
        <w:keepLines w:val="0"/>
        <w:widowControl/>
        <w:suppressLineNumbers w:val="0"/>
      </w:pPr>
      <w:r>
        <w:t> </w:t>
      </w:r>
    </w:p>
    <w:p>
      <w:pPr>
        <w:pStyle w:val="2"/>
        <w:keepNext w:val="0"/>
        <w:keepLines w:val="0"/>
        <w:widowControl/>
        <w:suppressLineNumbers w:val="0"/>
      </w:pPr>
      <w:r>
        <w:rPr>
          <w:rStyle w:val="5"/>
        </w:rPr>
        <w:br w:type="textWrapping"/>
      </w:r>
      <w:r>
        <w:t>附件2</w:t>
      </w:r>
    </w:p>
    <w:p>
      <w:pPr>
        <w:pStyle w:val="2"/>
        <w:keepNext w:val="0"/>
        <w:keepLines w:val="0"/>
        <w:widowControl/>
        <w:suppressLineNumbers w:val="0"/>
      </w:pPr>
      <w:r>
        <w:t> </w:t>
      </w:r>
    </w:p>
    <w:p>
      <w:pPr>
        <w:pStyle w:val="2"/>
        <w:keepNext w:val="0"/>
        <w:keepLines w:val="0"/>
        <w:widowControl/>
        <w:suppressLineNumbers w:val="0"/>
      </w:pPr>
      <w:r>
        <w:t>国别风险评估因素</w:t>
      </w:r>
    </w:p>
    <w:p>
      <w:pPr>
        <w:pStyle w:val="2"/>
        <w:keepNext w:val="0"/>
        <w:keepLines w:val="0"/>
        <w:widowControl/>
        <w:suppressLineNumbers w:val="0"/>
      </w:pPr>
      <w:r>
        <w:t> </w:t>
      </w:r>
    </w:p>
    <w:p>
      <w:pPr>
        <w:pStyle w:val="2"/>
        <w:keepNext w:val="0"/>
        <w:keepLines w:val="0"/>
        <w:widowControl/>
        <w:suppressLineNumbers w:val="0"/>
      </w:pPr>
      <w:r>
        <w:t>一、政治外交环境</w:t>
      </w:r>
      <w:r>
        <w:br w:type="textWrapping"/>
      </w:r>
      <w:r>
        <w:t>　　（一）政治稳定性</w:t>
      </w:r>
      <w:r>
        <w:br w:type="textWrapping"/>
      </w:r>
      <w:r>
        <w:t>　　（二）政治力量平衡性</w:t>
      </w:r>
      <w:r>
        <w:br w:type="textWrapping"/>
      </w:r>
      <w:r>
        <w:t>　　（三）政府治理状况</w:t>
      </w:r>
      <w:r>
        <w:br w:type="textWrapping"/>
      </w:r>
      <w:r>
        <w:t>　　（四）地缘政治与外交关系状况</w:t>
      </w:r>
      <w:r>
        <w:br w:type="textWrapping"/>
      </w:r>
      <w:r>
        <w:t>　　二、经济金融环境</w:t>
      </w:r>
      <w:r>
        <w:br w:type="textWrapping"/>
      </w:r>
      <w:r>
        <w:t>　　（一）宏观经济运行情况</w:t>
      </w:r>
      <w:r>
        <w:br w:type="textWrapping"/>
      </w:r>
      <w:r>
        <w:t>　　1.经济增长水平、模式和可持续性；</w:t>
      </w:r>
      <w:r>
        <w:br w:type="textWrapping"/>
      </w:r>
      <w:r>
        <w:t>　　2.通货膨胀水平；</w:t>
      </w:r>
      <w:r>
        <w:br w:type="textWrapping"/>
      </w:r>
      <w:r>
        <w:t>　　3.就业情况；</w:t>
      </w:r>
      <w:r>
        <w:br w:type="textWrapping"/>
      </w:r>
      <w:r>
        <w:t>　　4.支柱产业状况。</w:t>
      </w:r>
      <w:r>
        <w:br w:type="textWrapping"/>
      </w:r>
      <w:r>
        <w:t>　　（二）国际收支平衡状况</w:t>
      </w:r>
      <w:r>
        <w:br w:type="textWrapping"/>
      </w:r>
      <w:r>
        <w:t>　　1.经常账户状况和稳定性；</w:t>
      </w:r>
      <w:r>
        <w:br w:type="textWrapping"/>
      </w:r>
      <w:r>
        <w:t>　　2.跨境资本流动情况；</w:t>
      </w:r>
      <w:r>
        <w:br w:type="textWrapping"/>
      </w:r>
      <w:r>
        <w:t>　　3.外汇储备规模。</w:t>
      </w:r>
      <w:r>
        <w:br w:type="textWrapping"/>
      </w:r>
      <w:r>
        <w:t>　　（三）金融指标表现</w:t>
      </w:r>
      <w:r>
        <w:br w:type="textWrapping"/>
      </w:r>
      <w:r>
        <w:t>　　1.货币供应量；</w:t>
      </w:r>
      <w:r>
        <w:br w:type="textWrapping"/>
      </w:r>
      <w:r>
        <w:t>　　2.利率；</w:t>
      </w:r>
      <w:r>
        <w:br w:type="textWrapping"/>
      </w:r>
      <w:r>
        <w:t>　　3.汇率。</w:t>
      </w:r>
      <w:r>
        <w:br w:type="textWrapping"/>
      </w:r>
      <w:r>
        <w:t>　　（四）外债结构、规模和偿债能力</w:t>
      </w:r>
      <w:r>
        <w:br w:type="textWrapping"/>
      </w:r>
      <w:r>
        <w:t>　　（五）政府财政状况</w:t>
      </w:r>
      <w:r>
        <w:br w:type="textWrapping"/>
      </w:r>
      <w:r>
        <w:t>　　（六）经济受其他国家或地区问题影响的程度</w:t>
      </w:r>
      <w:r>
        <w:br w:type="textWrapping"/>
      </w:r>
      <w:r>
        <w:t>　　（七）是否为国际金融中心，主要市场功能、金融市场基础设施完备程度和监管能力</w:t>
      </w:r>
      <w:r>
        <w:br w:type="textWrapping"/>
      </w:r>
      <w:r>
        <w:t>　　三、制度运营环境</w:t>
      </w:r>
      <w:r>
        <w:rPr>
          <w:rStyle w:val="5"/>
        </w:rPr>
        <w:br w:type="textWrapping"/>
      </w:r>
      <w:r>
        <w:t>　　（一）金融体系</w:t>
      </w:r>
      <w:r>
        <w:br w:type="textWrapping"/>
      </w:r>
      <w:r>
        <w:t>　　1.金融体系完备程度；</w:t>
      </w:r>
      <w:r>
        <w:br w:type="textWrapping"/>
      </w:r>
      <w:r>
        <w:t>　　2.金融部门杠杆率和资金来源稳定性；</w:t>
      </w:r>
      <w:r>
        <w:br w:type="textWrapping"/>
      </w:r>
      <w:r>
        <w:t>　　3.金融发展水平与实体经济的匹配性；</w:t>
      </w:r>
      <w:r>
        <w:br w:type="textWrapping"/>
      </w:r>
      <w:r>
        <w:t>　　4.银行金融机构、非银行金融机构情况；</w:t>
      </w:r>
    </w:p>
    <w:p>
      <w:pPr>
        <w:pStyle w:val="2"/>
        <w:keepNext w:val="0"/>
        <w:keepLines w:val="0"/>
        <w:widowControl/>
        <w:suppressLineNumbers w:val="0"/>
      </w:pPr>
      <w:r>
        <w:t>5.非金融部门信贷增长情况。　</w:t>
      </w:r>
    </w:p>
    <w:p>
      <w:pPr>
        <w:pStyle w:val="2"/>
        <w:keepNext w:val="0"/>
        <w:keepLines w:val="0"/>
        <w:widowControl/>
        <w:suppressLineNumbers w:val="0"/>
      </w:pPr>
      <w:r>
        <w:t>（二）法律体系</w:t>
      </w:r>
      <w:r>
        <w:br w:type="textWrapping"/>
      </w:r>
      <w:r>
        <w:t>　　（三）投资政策</w:t>
      </w:r>
      <w:r>
        <w:br w:type="textWrapping"/>
      </w:r>
      <w:r>
        <w:t>　　（四）遵守国际法律、商业、会计和金融监管等标准情况，以及信息透明度</w:t>
      </w:r>
      <w:r>
        <w:br w:type="textWrapping"/>
      </w:r>
      <w:r>
        <w:t>　　（五）政府纠正经济及预算问题的意愿和能力</w:t>
      </w:r>
      <w:r>
        <w:br w:type="textWrapping"/>
      </w:r>
      <w:r>
        <w:t>　　四、社会安全环境</w:t>
      </w:r>
      <w:r>
        <w:rPr>
          <w:rStyle w:val="5"/>
        </w:rPr>
        <w:br w:type="textWrapping"/>
      </w:r>
      <w:r>
        <w:t>　　（一）社会文明程度和文化传统</w:t>
      </w:r>
      <w:r>
        <w:br w:type="textWrapping"/>
      </w:r>
      <w:r>
        <w:t>　　（二）宗教民族矛盾</w:t>
      </w:r>
      <w:r>
        <w:br w:type="textWrapping"/>
      </w:r>
      <w:r>
        <w:t>　　（三）恐怖主义活动</w:t>
      </w:r>
      <w:r>
        <w:br w:type="textWrapping"/>
      </w:r>
      <w:r>
        <w:t>　　（四）其他社会问题，包括但不限于犯罪和治安状况、自然条件和自然灾害、疾病瘟疫等</w:t>
      </w:r>
    </w:p>
    <w:p>
      <w:pPr>
        <w:pStyle w:val="2"/>
        <w:keepNext w:val="0"/>
        <w:keepLines w:val="0"/>
        <w:widowControl/>
        <w:suppressLineNumbers w:val="0"/>
      </w:pPr>
      <w:r>
        <w:br w:type="textWrapping"/>
      </w:r>
      <w:r>
        <w:t>附件3</w:t>
      </w:r>
    </w:p>
    <w:p>
      <w:pPr>
        <w:pStyle w:val="2"/>
        <w:keepNext w:val="0"/>
        <w:keepLines w:val="0"/>
        <w:widowControl/>
        <w:suppressLineNumbers w:val="0"/>
      </w:pPr>
      <w:r>
        <w:t> </w:t>
      </w:r>
    </w:p>
    <w:p>
      <w:pPr>
        <w:pStyle w:val="2"/>
        <w:keepNext w:val="0"/>
        <w:keepLines w:val="0"/>
        <w:widowControl/>
        <w:suppressLineNumbers w:val="0"/>
      </w:pPr>
      <w:r>
        <w:t>国别风险分类标准</w:t>
      </w:r>
    </w:p>
    <w:p>
      <w:pPr>
        <w:pStyle w:val="2"/>
        <w:keepNext w:val="0"/>
        <w:keepLines w:val="0"/>
        <w:widowControl/>
        <w:suppressLineNumbers w:val="0"/>
      </w:pPr>
      <w:r>
        <w:t> </w:t>
      </w:r>
    </w:p>
    <w:p>
      <w:pPr>
        <w:pStyle w:val="2"/>
        <w:keepNext w:val="0"/>
        <w:keepLines w:val="0"/>
        <w:widowControl/>
        <w:suppressLineNumbers w:val="0"/>
      </w:pPr>
      <w:r>
        <w:rPr>
          <w:rStyle w:val="5"/>
        </w:rPr>
        <w:t>低国别风险：</w:t>
      </w:r>
      <w:r>
        <w:t>国家或地区政体稳定，经济政策（无论在经济繁荣期还是萧条期）被证明有效且正确，不存在任何外汇限制，有及时偿债的超强能力。目前及未来可预计一段时间内，不存在导致对该国家或地区投资遭受损失的国别风险事件，或即便事件发生，也不会影响该国或地区的偿债能力或造成其他损失。</w:t>
      </w:r>
      <w:r>
        <w:br w:type="textWrapping"/>
      </w:r>
      <w:r>
        <w:t>　　</w:t>
      </w:r>
      <w:r>
        <w:rPr>
          <w:rStyle w:val="5"/>
        </w:rPr>
        <w:t>较低国别风险：</w:t>
      </w:r>
      <w:r>
        <w:t>该国家或地区现有的国别风险期望值低，偿债能力足够，但目前及未来可预计一段时间内，存在一些可能影响其偿债能力或导致对该国家或地区投资遭受损失的不利因素。</w:t>
      </w:r>
      <w:r>
        <w:br w:type="textWrapping"/>
      </w:r>
      <w:r>
        <w:t>　　</w:t>
      </w:r>
      <w:r>
        <w:rPr>
          <w:rStyle w:val="5"/>
        </w:rPr>
        <w:t>中等国别风险：</w:t>
      </w:r>
      <w:r>
        <w:t>指某一国家或地区的还款能力出现明显问题，对该国家或地区的贷款本息或投资可能会造成一定损失。</w:t>
      </w:r>
      <w:r>
        <w:br w:type="textWrapping"/>
      </w:r>
      <w:r>
        <w:t>　　</w:t>
      </w:r>
      <w:r>
        <w:rPr>
          <w:rStyle w:val="5"/>
        </w:rPr>
        <w:t>较高国别风险：</w:t>
      </w:r>
      <w:r>
        <w:t>该国家或地区存在周期性的外汇危机和政治问题，信用风险较为严重，已经实施债务重组但依然不能按时偿还债务，该国家或地区债务人无法足额偿还贷款本息，即使执行担保或采取其他措施，也肯定要造成较大损失。</w:t>
      </w:r>
      <w:r>
        <w:br w:type="textWrapping"/>
      </w:r>
      <w:r>
        <w:t>　　</w:t>
      </w:r>
      <w:r>
        <w:rPr>
          <w:rStyle w:val="5"/>
        </w:rPr>
        <w:t>高国别风险：</w:t>
      </w:r>
      <w:r>
        <w:t>指某一国家或地区出现经济、政治、社会动荡等国别风险事件或出现该事件的概率较高，在采取所有可能的措施或一切必要的法律程序后，对该国家或地区的贷款本息或投资仍然可能无法收回，或只能收回极少部分。</w:t>
      </w:r>
    </w:p>
    <w:p>
      <w:bookmarkStart w:id="0" w:name="_GoBack"/>
      <w:bookmarkEnd w:id="0"/>
    </w:p>
    <w:sectPr>
      <w:pgSz w:w="11906" w:h="16839"/>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zM5ZWUyMmZhNzA3NmE2M2RiZjJmZTYxOTY4NTUifQ=="/>
  </w:docVars>
  <w:rsids>
    <w:rsidRoot w:val="5C2A5142"/>
    <w:rsid w:val="4AF07343"/>
    <w:rsid w:val="5C2A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2023-11-27T03:10:00Z</dcterms:created>
  <dc:creator>苏信</dc:creator>
  <cp:lastModifiedBy>苏信</cp:lastModifiedBy>
  <dcterms:modified xsi:type="dcterms:W3CDTF">2023-11-27T03:10:51Z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A94E923AFC1B4F6F853242004FAD2068_11</vt:lpwstr>
  </property>
</Properties>
</file>