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76" w:name="_GoBack"/>
            <w:bookmarkEnd w:id="76"/>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27.140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P 55</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0"/>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32/T"/>
            </w:textInput>
          </w:ffData>
        </w:fldChar>
      </w:r>
      <w:bookmarkStart w:id="1" w:name="文字1"/>
      <w:r>
        <w:instrText xml:space="preserve"> FORMTEXT </w:instrText>
      </w:r>
      <w:r>
        <w:fldChar w:fldCharType="separate"/>
      </w:r>
      <w:r>
        <w:t>32/T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pPr>
        <w:pStyle w:val="196"/>
        <w:framePr/>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rPr>
          <w:rFonts w:hint="eastAsia"/>
        </w:rPr>
        <w:t>智能泵站技术导则</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t>Guide for smart pumping station</w:t>
      </w: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rFonts w:hint="eastAsia"/>
          <w:sz w:val="24"/>
          <w:szCs w:val="28"/>
        </w:rPr>
        <w:t>（报批稿）</w:t>
      </w:r>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pStyle w:val="151"/>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spacing w:val="320"/>
        </w:rPr>
        <w:sectPr>
          <w:headerReference r:id="rId11" w:type="default"/>
          <w:footerReference r:id="rId13" w:type="default"/>
          <w:headerReference r:id="rId12" w:type="even"/>
          <w:pgSz w:w="11906" w:h="16838"/>
          <w:pgMar w:top="2410" w:right="1134" w:bottom="1134" w:left="1134" w:header="1418" w:footer="1134" w:gutter="284"/>
          <w:pgNumType w:start="1"/>
          <w:cols w:space="425" w:num="1"/>
          <w:formProt w:val="0"/>
          <w:docGrid w:type="lines" w:linePitch="312" w:charSpace="0"/>
        </w:sectPr>
      </w:pPr>
      <w:bookmarkStart w:id="11" w:name="BookMark1"/>
      <w:bookmarkStart w:id="12" w:name="_Toc150759016"/>
    </w:p>
    <w:p>
      <w:pPr>
        <w:pStyle w:val="91"/>
        <w:spacing w:after="468"/>
      </w:pPr>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"_Toc150762956" </w:instrText>
      </w:r>
      <w:r>
        <w:fldChar w:fldCharType="separate"/>
      </w:r>
      <w:r>
        <w:rPr>
          <w:rStyle w:val="32"/>
          <w:rFonts w:hint="eastAsia"/>
        </w:rPr>
        <w:t>前言</w:t>
      </w:r>
      <w:r>
        <w:tab/>
      </w:r>
      <w:r>
        <w:fldChar w:fldCharType="begin"/>
      </w:r>
      <w:r>
        <w:instrText xml:space="preserve"> PAGEREF _Toc150762956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"_Toc150762957" </w:instrText>
      </w:r>
      <w:r>
        <w:fldChar w:fldCharType="separate"/>
      </w:r>
      <w:r>
        <w:rPr>
          <w:rStyle w:val="32"/>
        </w:rPr>
        <w:t xml:space="preserve">1 </w:t>
      </w:r>
      <w:r>
        <w:rPr>
          <w:rStyle w:val="32"/>
          <w:rFonts w:hint="eastAsia"/>
        </w:rPr>
        <w:t xml:space="preserve"> 范围</w:t>
      </w:r>
      <w:r>
        <w:tab/>
      </w:r>
      <w:r>
        <w:fldChar w:fldCharType="begin"/>
      </w:r>
      <w:r>
        <w:instrText xml:space="preserve"> PAGEREF _Toc150762957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"_Toc150762958"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_Toc150762958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"_Toc150762959"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_Toc150762959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"_Toc150762960" </w:instrText>
      </w:r>
      <w:r>
        <w:fldChar w:fldCharType="separate"/>
      </w:r>
      <w:r>
        <w:rPr>
          <w:rStyle w:val="32"/>
        </w:rPr>
        <w:t xml:space="preserve">4 </w:t>
      </w:r>
      <w:r>
        <w:rPr>
          <w:rStyle w:val="32"/>
          <w:rFonts w:hint="eastAsia" w:hAnsi="黑体"/>
        </w:rPr>
        <w:t xml:space="preserve"> 基本要求</w:t>
      </w:r>
      <w:r>
        <w:tab/>
      </w:r>
      <w:r>
        <w:fldChar w:fldCharType="begin"/>
      </w:r>
      <w:r>
        <w:instrText xml:space="preserve"> PAGEREF _Toc150762960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"_Toc150762961" </w:instrText>
      </w:r>
      <w:r>
        <w:fldChar w:fldCharType="separate"/>
      </w:r>
      <w:r>
        <w:rPr>
          <w:rStyle w:val="32"/>
        </w:rPr>
        <w:t xml:space="preserve">5 </w:t>
      </w:r>
      <w:r>
        <w:rPr>
          <w:rStyle w:val="32"/>
          <w:rFonts w:hint="eastAsia" w:hAnsi="黑体"/>
        </w:rPr>
        <w:t xml:space="preserve"> 系统架构</w:t>
      </w:r>
      <w:r>
        <w:tab/>
      </w:r>
      <w:r>
        <w:fldChar w:fldCharType="begin"/>
      </w:r>
      <w:r>
        <w:instrText xml:space="preserve"> PAGEREF _Toc150762961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"_Toc150762962" </w:instrText>
      </w:r>
      <w:r>
        <w:fldChar w:fldCharType="separate"/>
      </w:r>
      <w:r>
        <w:rPr>
          <w:rStyle w:val="32"/>
        </w:rPr>
        <w:t xml:space="preserve">6 </w:t>
      </w:r>
      <w:r>
        <w:rPr>
          <w:rStyle w:val="32"/>
          <w:rFonts w:hint="eastAsia" w:hAnsi="黑体"/>
        </w:rPr>
        <w:t xml:space="preserve"> 智能设备</w:t>
      </w:r>
      <w:r>
        <w:tab/>
      </w:r>
      <w:r>
        <w:fldChar w:fldCharType="begin"/>
      </w:r>
      <w:r>
        <w:instrText xml:space="preserve"> PAGEREF _Toc150762962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"_Toc150762963" </w:instrText>
      </w:r>
      <w:r>
        <w:fldChar w:fldCharType="separate"/>
      </w:r>
      <w:r>
        <w:rPr>
          <w:rStyle w:val="32"/>
        </w:rPr>
        <w:t xml:space="preserve">7 </w:t>
      </w:r>
      <w:r>
        <w:rPr>
          <w:rStyle w:val="32"/>
          <w:rFonts w:hint="eastAsia" w:hAnsi="黑体"/>
        </w:rPr>
        <w:t xml:space="preserve"> 系统功能</w:t>
      </w:r>
      <w:r>
        <w:tab/>
      </w:r>
      <w:r>
        <w:fldChar w:fldCharType="begin"/>
      </w:r>
      <w:r>
        <w:instrText xml:space="preserve"> PAGEREF _Toc150762963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"_Toc150762964" </w:instrText>
      </w:r>
      <w:r>
        <w:fldChar w:fldCharType="separate"/>
      </w:r>
      <w:r>
        <w:rPr>
          <w:rStyle w:val="32"/>
        </w:rPr>
        <w:t xml:space="preserve">8 </w:t>
      </w:r>
      <w:r>
        <w:rPr>
          <w:rStyle w:val="32"/>
          <w:rFonts w:hint="eastAsia"/>
        </w:rPr>
        <w:t xml:space="preserve"> 测试与评估</w:t>
      </w:r>
      <w:r>
        <w:tab/>
      </w:r>
      <w:r>
        <w:fldChar w:fldCharType="begin"/>
      </w:r>
      <w:r>
        <w:instrText xml:space="preserve"> PAGEREF _Toc150762964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"_Toc150762965" </w:instrText>
      </w:r>
      <w:r>
        <w:fldChar w:fldCharType="separate"/>
      </w:r>
      <w:r>
        <w:rPr>
          <w:rStyle w:val="32"/>
          <w:rFonts w:hint="eastAsia"/>
        </w:rPr>
        <w:t>附录A（资料性）</w:t>
      </w:r>
      <w:r>
        <w:rPr>
          <w:rStyle w:val="32"/>
        </w:rPr>
        <w:t xml:space="preserve">  </w:t>
      </w:r>
      <w:r>
        <w:rPr>
          <w:rStyle w:val="32"/>
          <w:rFonts w:hint="eastAsia"/>
        </w:rPr>
        <w:t>智能泵站系统典型架构示意图</w:t>
      </w:r>
      <w:r>
        <w:tab/>
      </w:r>
      <w:r>
        <w:fldChar w:fldCharType="begin"/>
      </w:r>
      <w:r>
        <w:instrText xml:space="preserve"> PAGEREF _Toc150762965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"_Toc150762966" </w:instrText>
      </w:r>
      <w:r>
        <w:fldChar w:fldCharType="separate"/>
      </w:r>
      <w:r>
        <w:rPr>
          <w:rStyle w:val="32"/>
          <w:rFonts w:hint="eastAsia"/>
        </w:rPr>
        <w:t>附录B（资料性）</w:t>
      </w:r>
      <w:r>
        <w:rPr>
          <w:rStyle w:val="32"/>
        </w:rPr>
        <w:t xml:space="preserve">  </w:t>
      </w:r>
      <w:r>
        <w:rPr>
          <w:rStyle w:val="32"/>
          <w:rFonts w:hint="eastAsia"/>
        </w:rPr>
        <w:t>智能主机组典型智能单元示意图</w:t>
      </w:r>
      <w:r>
        <w:tab/>
      </w:r>
      <w:r>
        <w:fldChar w:fldCharType="begin"/>
      </w:r>
      <w:r>
        <w:instrText xml:space="preserve"> PAGEREF _Toc150762966 \h </w:instrText>
      </w:r>
      <w:r>
        <w:fldChar w:fldCharType="separate"/>
      </w:r>
      <w:r>
        <w:t>7</w:t>
      </w:r>
      <w:r>
        <w:fldChar w:fldCharType="end"/>
      </w:r>
      <w:r>
        <w:fldChar w:fldCharType="end"/>
      </w:r>
    </w:p>
    <w:p>
      <w:pPr>
        <w:pStyle w:val="91"/>
        <w:spacing w:after="468"/>
        <w:sectPr>
          <w:footerReference r:id="rId14" w:type="default"/>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1"/>
    <w:p>
      <w:pPr>
        <w:pStyle w:val="89"/>
        <w:spacing w:after="468"/>
        <w:rPr>
          <w:spacing w:val="320"/>
        </w:rPr>
      </w:pPr>
      <w:bookmarkStart w:id="13" w:name="BookMark2"/>
    </w:p>
    <w:p>
      <w:pPr>
        <w:widowControl/>
        <w:adjustRightInd/>
        <w:spacing w:line="240" w:lineRule="auto"/>
        <w:jc w:val="left"/>
        <w:rPr>
          <w:rFonts w:ascii="黑体" w:hAnsi="Times New Roman" w:eastAsia="黑体"/>
          <w:spacing w:val="320"/>
          <w:kern w:val="0"/>
          <w:sz w:val="32"/>
          <w:szCs w:val="20"/>
        </w:rPr>
      </w:pPr>
      <w:r>
        <w:rPr>
          <w:spacing w:val="320"/>
        </w:rPr>
        <w:br w:type="page"/>
      </w:r>
    </w:p>
    <w:p>
      <w:pPr>
        <w:pStyle w:val="89"/>
        <w:spacing w:after="468"/>
      </w:pPr>
      <w:bookmarkStart w:id="14" w:name="_Toc150762956"/>
      <w:r>
        <w:rPr>
          <w:spacing w:val="320"/>
        </w:rPr>
        <w:t>前</w:t>
      </w:r>
      <w:r>
        <w:t>言</w:t>
      </w:r>
      <w:bookmarkEnd w:id="12"/>
      <w:bookmarkEnd w:id="14"/>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本文件由江苏省水利厅提出并归口。</w:t>
      </w:r>
    </w:p>
    <w:p>
      <w:pPr>
        <w:pStyle w:val="56"/>
        <w:ind w:firstLine="420"/>
      </w:pPr>
      <w:r>
        <w:rPr>
          <w:rFonts w:hint="eastAsia"/>
        </w:rPr>
        <w:t>本文件起草单位：南水北调东线江苏水源有限责任公司、江苏省水利厅运行管理处、南京南瑞水利水电科技有限公司。</w:t>
      </w:r>
    </w:p>
    <w:p>
      <w:pPr>
        <w:pStyle w:val="56"/>
        <w:ind w:firstLine="420"/>
      </w:pPr>
      <w:r>
        <w:rPr>
          <w:rFonts w:hint="eastAsia"/>
        </w:rPr>
        <w:t>本文件主要起草人：袁连冲、徐青、吴学春、高杏根、莫兆祥、夏臣智、谈震、陆轶群、芮钧、舒依娜、问泽杭、郭宁、王荣、王从友、周洲、黄富佳、邹明忠。</w:t>
      </w:r>
    </w:p>
    <w:p>
      <w:pPr>
        <w:pStyle w:val="56"/>
        <w:ind w:firstLine="420"/>
      </w:pPr>
    </w:p>
    <w:p>
      <w:pPr>
        <w:widowControl/>
        <w:adjustRightInd/>
        <w:spacing w:line="240" w:lineRule="auto"/>
        <w:jc w:val="left"/>
        <w:rPr>
          <w:rFonts w:ascii="宋体" w:hAnsi="Times New Roman"/>
          <w:kern w:val="0"/>
          <w:szCs w:val="20"/>
        </w:rPr>
      </w:pPr>
      <w:r>
        <w:br w:type="page"/>
      </w:r>
    </w:p>
    <w:p>
      <w:pPr>
        <w:widowControl/>
        <w:adjustRightInd/>
        <w:spacing w:line="240" w:lineRule="auto"/>
        <w:jc w:val="left"/>
        <w:rPr>
          <w:rFonts w:ascii="宋体" w:hAnsi="Times New Roman"/>
          <w:kern w:val="0"/>
          <w:szCs w:val="20"/>
        </w:rPr>
      </w:pPr>
      <w:r>
        <w:br w:type="page"/>
      </w:r>
    </w:p>
    <w:p>
      <w:pPr>
        <w:pStyle w:val="56"/>
        <w:ind w:firstLine="420"/>
        <w:sectPr>
          <w:footerReference r:id="rId15" w:type="default"/>
          <w:pgSz w:w="11906" w:h="16838"/>
          <w:pgMar w:top="2410"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bookmarkStart w:id="15" w:name="BookMark4"/>
    </w:p>
    <w:p>
      <w:pPr>
        <w:spacing w:line="20" w:lineRule="exact"/>
        <w:jc w:val="center"/>
        <w:rPr>
          <w:rFonts w:ascii="黑体" w:hAnsi="黑体" w:eastAsia="黑体"/>
          <w:sz w:val="32"/>
          <w:szCs w:val="32"/>
        </w:rPr>
      </w:pPr>
    </w:p>
    <w:sdt>
      <w:sdtPr>
        <w:tag w:val="NEW_STAND_NAME"/>
        <w:id w:val="595910757"/>
        <w:lock w:val="sdtLocked"/>
        <w:placeholder>
          <w:docPart w:val="58A3B84693C748398FB7733FCD150295"/>
        </w:placeholder>
      </w:sdtPr>
      <w:sdtContent>
        <w:p>
          <w:pPr>
            <w:pStyle w:val="177"/>
            <w:spacing w:before="0" w:beforeLines="0" w:after="686" w:afterLines="220"/>
          </w:pPr>
          <w:bookmarkStart w:id="16" w:name="NEW_STAND_NAME"/>
          <w:r>
            <w:rPr>
              <w:rFonts w:hint="eastAsia"/>
            </w:rPr>
            <w:t>智能泵站技术导则</w:t>
          </w:r>
        </w:p>
      </w:sdtContent>
    </w:sdt>
    <w:bookmarkEnd w:id="16"/>
    <w:p>
      <w:pPr>
        <w:pStyle w:val="104"/>
        <w:spacing w:before="312" w:after="312"/>
      </w:pPr>
      <w:bookmarkStart w:id="17" w:name="_Toc17233325"/>
      <w:bookmarkStart w:id="18" w:name="_Toc26718930"/>
      <w:bookmarkStart w:id="19" w:name="_Toc26986771"/>
      <w:bookmarkStart w:id="20" w:name="_Toc26648465"/>
      <w:bookmarkStart w:id="21" w:name="_Toc26986530"/>
      <w:bookmarkStart w:id="22" w:name="_Toc24884218"/>
      <w:bookmarkStart w:id="23" w:name="_Toc150759017"/>
      <w:bookmarkStart w:id="24" w:name="_Toc150762957"/>
      <w:bookmarkStart w:id="25" w:name="_Toc24884211"/>
      <w:bookmarkStart w:id="26" w:name="_Toc17233333"/>
      <w:r>
        <w:rPr>
          <w:rFonts w:hint="eastAsia"/>
        </w:rPr>
        <w:t>范围</w:t>
      </w:r>
      <w:bookmarkEnd w:id="17"/>
      <w:bookmarkEnd w:id="18"/>
      <w:bookmarkEnd w:id="19"/>
      <w:bookmarkEnd w:id="20"/>
      <w:bookmarkEnd w:id="21"/>
      <w:bookmarkEnd w:id="22"/>
      <w:bookmarkEnd w:id="23"/>
      <w:bookmarkEnd w:id="24"/>
      <w:bookmarkEnd w:id="25"/>
      <w:bookmarkEnd w:id="26"/>
    </w:p>
    <w:p>
      <w:pPr>
        <w:pStyle w:val="56"/>
        <w:ind w:firstLine="420"/>
      </w:pPr>
      <w:bookmarkStart w:id="27" w:name="_Toc17233326"/>
      <w:bookmarkStart w:id="28" w:name="_Toc17233334"/>
      <w:bookmarkStart w:id="29" w:name="_Toc24884212"/>
      <w:bookmarkStart w:id="30" w:name="_Toc24884219"/>
      <w:bookmarkStart w:id="31" w:name="_Toc26648466"/>
      <w:r>
        <w:rPr>
          <w:rFonts w:hint="eastAsia"/>
        </w:rPr>
        <w:t>本文件规定了智能泵站的基本要求、系统架构、智能设备、系统功能、测试与评估。</w:t>
      </w:r>
    </w:p>
    <w:p>
      <w:pPr>
        <w:pStyle w:val="56"/>
        <w:ind w:firstLine="420"/>
      </w:pPr>
      <w:r>
        <w:rPr>
          <w:rFonts w:hint="eastAsia"/>
        </w:rPr>
        <w:t>本文件适用于泵站智能化建设和改造。</w:t>
      </w:r>
    </w:p>
    <w:p>
      <w:pPr>
        <w:pStyle w:val="104"/>
        <w:spacing w:before="312" w:after="312"/>
      </w:pPr>
      <w:bookmarkStart w:id="32" w:name="_Toc26986531"/>
      <w:bookmarkStart w:id="33" w:name="_Toc26986772"/>
      <w:bookmarkStart w:id="34" w:name="_Toc150762958"/>
      <w:bookmarkStart w:id="35" w:name="_Toc150759018"/>
      <w:bookmarkStart w:id="36" w:name="_Toc26718931"/>
      <w:r>
        <w:rPr>
          <w:rFonts w:hint="eastAsia"/>
        </w:rPr>
        <w:t>规范性引用文件</w:t>
      </w:r>
      <w:bookmarkEnd w:id="27"/>
      <w:bookmarkEnd w:id="28"/>
      <w:bookmarkEnd w:id="29"/>
      <w:bookmarkEnd w:id="30"/>
      <w:bookmarkEnd w:id="31"/>
      <w:bookmarkEnd w:id="32"/>
      <w:bookmarkEnd w:id="33"/>
      <w:bookmarkEnd w:id="34"/>
      <w:bookmarkEnd w:id="35"/>
      <w:bookmarkEnd w:id="36"/>
    </w:p>
    <w:sdt>
      <w:sdtPr>
        <w:rPr>
          <w:rFonts w:hint="eastAsia"/>
        </w:rPr>
        <w:id w:val="715848253"/>
        <w:placeholder>
          <w:docPart w:val="51839B148973409090821D9E1FC96D7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szCs w:val="21"/>
        </w:rPr>
      </w:pPr>
      <w:r>
        <w:t>GB/T 2900.50 电工术语  发电、输电及配电  通用术语</w:t>
      </w:r>
    </w:p>
    <w:p>
      <w:pPr>
        <w:pStyle w:val="56"/>
        <w:ind w:firstLine="420"/>
      </w:pPr>
      <w:r>
        <w:t>GB/T 2900.57 电工术语  发电、输电和配电  运行</w:t>
      </w:r>
    </w:p>
    <w:p>
      <w:pPr>
        <w:pStyle w:val="56"/>
        <w:ind w:firstLine="420"/>
      </w:pPr>
      <w:r>
        <w:t>GB/T 2900.94 电工术语  互感器</w:t>
      </w:r>
    </w:p>
    <w:p>
      <w:pPr>
        <w:pStyle w:val="56"/>
        <w:ind w:firstLine="420"/>
      </w:pPr>
      <w:r>
        <w:t>GB/T 2900.95 电工术语  变压器、调压器和电抗器</w:t>
      </w:r>
    </w:p>
    <w:p>
      <w:pPr>
        <w:pStyle w:val="56"/>
        <w:ind w:firstLine="420"/>
      </w:pPr>
      <w:r>
        <w:t>GB/T 30155 智能变电站技术导则</w:t>
      </w:r>
    </w:p>
    <w:p>
      <w:pPr>
        <w:pStyle w:val="56"/>
        <w:ind w:firstLine="420"/>
      </w:pPr>
      <w:r>
        <w:t>GB/T 30948 泵站技术管理规程</w:t>
      </w:r>
    </w:p>
    <w:p>
      <w:pPr>
        <w:pStyle w:val="56"/>
        <w:ind w:firstLine="420"/>
      </w:pPr>
      <w:r>
        <w:t>GB/Z 34935 油浸式智能化电力变压器技术规范</w:t>
      </w:r>
    </w:p>
    <w:p>
      <w:pPr>
        <w:pStyle w:val="56"/>
        <w:ind w:firstLine="420"/>
      </w:pPr>
      <w:r>
        <w:t>GB 50265 泵站设计标准</w:t>
      </w:r>
    </w:p>
    <w:p>
      <w:pPr>
        <w:pStyle w:val="56"/>
        <w:ind w:firstLine="420"/>
      </w:pPr>
      <w:r>
        <w:t>DL/T 860（所有部分）电力自动化通信网络和系统</w:t>
      </w:r>
    </w:p>
    <w:p>
      <w:pPr>
        <w:pStyle w:val="56"/>
        <w:ind w:firstLine="420"/>
      </w:pPr>
      <w:r>
        <w:t>DL/T 1411 智能高压设备技术导则</w:t>
      </w:r>
    </w:p>
    <w:p>
      <w:pPr>
        <w:pStyle w:val="56"/>
        <w:ind w:firstLine="420"/>
      </w:pPr>
      <w:r>
        <w:t>SL/T 803 水利网络安全保护技术规范</w:t>
      </w:r>
    </w:p>
    <w:p>
      <w:pPr>
        <w:pStyle w:val="104"/>
        <w:spacing w:before="312" w:after="312"/>
      </w:pPr>
      <w:bookmarkStart w:id="37" w:name="_Toc150759019"/>
      <w:bookmarkStart w:id="38" w:name="_Toc150762959"/>
      <w:r>
        <w:rPr>
          <w:rFonts w:hint="eastAsia"/>
          <w:szCs w:val="21"/>
        </w:rPr>
        <w:t>术语和定义</w:t>
      </w:r>
      <w:bookmarkEnd w:id="37"/>
      <w:bookmarkEnd w:id="38"/>
    </w:p>
    <w:sdt>
      <w:sdtPr>
        <w:id w:val="-1909835108"/>
        <w:placeholder>
          <w:docPart w:val="767454189B4045A0AF72B9AE4D5DE0E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rPr>
              <w:rFonts w:hint="eastAsia"/>
            </w:rPr>
            <w:t>GB/T 2900.50、GB/T 2900.57、GB/T 2900.94、GB/T 2900.95、GB/T 30155、DL/Z 860.1和DL/Z 860.2</w:t>
          </w:r>
          <w:r>
            <w:t>界定的以及下列术语和定义适用于本文件。</w:t>
          </w:r>
        </w:p>
      </w:sdtContent>
    </w:sdt>
    <w:p>
      <w:pPr>
        <w:pStyle w:val="223"/>
        <w:ind w:left="420" w:hanging="420" w:hangingChars="200"/>
        <w:rPr>
          <w:rFonts w:ascii="黑体" w:hAnsi="黑体" w:eastAsia="黑体"/>
          <w:kern w:val="2"/>
          <w:szCs w:val="21"/>
        </w:rPr>
      </w:pPr>
      <w:r>
        <w:rPr>
          <w:rFonts w:ascii="黑体" w:hAnsi="黑体" w:eastAsia="黑体"/>
          <w:shd w:val="clear" w:color="auto" w:fill="FFFFFF"/>
        </w:rPr>
        <w:br w:type="textWrapping"/>
      </w:r>
      <w:r>
        <w:rPr>
          <w:rFonts w:ascii="黑体" w:hAnsi="黑体" w:eastAsia="黑体"/>
          <w:shd w:val="clear" w:color="auto" w:fill="FFFFFF"/>
        </w:rPr>
        <w:t xml:space="preserve">智能泵站  </w:t>
      </w:r>
      <w:r>
        <w:rPr>
          <w:rFonts w:ascii="黑体" w:hAnsi="黑体" w:eastAsia="黑体"/>
        </w:rPr>
        <w:t>smart pumping station</w:t>
      </w:r>
    </w:p>
    <w:p>
      <w:pPr>
        <w:pStyle w:val="56"/>
        <w:ind w:firstLine="420"/>
      </w:pPr>
      <w:r>
        <w:t>采用可靠、经济、集成、环保、智能的设备与设计，以信息数字化、通信网络化、集成标准化、调控智能化、决策最优化和状态可视化等为特征，能够支持状态实时在线分析和调控自主决策，实现安全、稳定、高效运行的泵站。</w:t>
      </w:r>
    </w:p>
    <w:p>
      <w:pPr>
        <w:pStyle w:val="223"/>
        <w:ind w:left="420" w:hanging="420" w:hangingChars="200"/>
        <w:rPr>
          <w:rFonts w:ascii="黑体" w:hAnsi="黑体" w:eastAsia="黑体"/>
          <w:kern w:val="2"/>
          <w:szCs w:val="21"/>
        </w:rPr>
      </w:pPr>
      <w:r>
        <w:rPr>
          <w:rFonts w:ascii="黑体" w:hAnsi="黑体" w:eastAsia="黑体"/>
        </w:rPr>
        <w:br w:type="textWrapping"/>
      </w:r>
      <w:r>
        <w:rPr>
          <w:rFonts w:ascii="黑体" w:hAnsi="黑体" w:eastAsia="黑体"/>
        </w:rPr>
        <w:t>智能设备  intelligent equipment</w:t>
      </w:r>
    </w:p>
    <w:p>
      <w:pPr>
        <w:pStyle w:val="56"/>
        <w:ind w:firstLine="420"/>
      </w:pPr>
      <w:r>
        <w:t xml:space="preserve">具有测量数字化、通信网络化、状态可视化、功能一体化和信息互动化等技术特征的机电设备，由机电设备本体与相应的传感器和智能单元组成。 </w:t>
      </w:r>
    </w:p>
    <w:p>
      <w:pPr>
        <w:pStyle w:val="223"/>
        <w:ind w:left="420" w:hanging="420" w:hangingChars="200"/>
        <w:rPr>
          <w:rFonts w:ascii="黑体" w:hAnsi="黑体" w:eastAsia="黑体"/>
          <w:kern w:val="2"/>
          <w:szCs w:val="21"/>
        </w:rPr>
      </w:pPr>
      <w:r>
        <w:rPr>
          <w:rFonts w:ascii="黑体" w:hAnsi="黑体" w:eastAsia="黑体"/>
        </w:rPr>
        <w:br w:type="textWrapping"/>
      </w:r>
      <w:r>
        <w:rPr>
          <w:rFonts w:ascii="黑体" w:hAnsi="黑体" w:eastAsia="黑体"/>
        </w:rPr>
        <w:t>智能单元  intelligent unit</w:t>
      </w:r>
    </w:p>
    <w:p>
      <w:pPr>
        <w:pStyle w:val="56"/>
        <w:ind w:firstLine="420"/>
      </w:pPr>
      <w:bookmarkStart w:id="40" w:name="_Hlk126240601"/>
      <w:bookmarkEnd w:id="40"/>
      <w:r>
        <w:t>智能设备的组成部分，通过电缆或光缆与设备本体的传感器或/和控制机构连接成一个有机整体，协同设备本体的监测、控制、保护（非电量）等全部或部分智能电子装置（IED），实现设备本体或部件的智能调控。通常部署于设备本体近旁。</w:t>
      </w:r>
    </w:p>
    <w:p>
      <w:pPr>
        <w:pStyle w:val="179"/>
        <w:rPr>
          <w:kern w:val="2"/>
        </w:rPr>
      </w:pPr>
      <w:r>
        <w:t>智能电子装置（IED）指基于微处理器技术，具备数据采集、处理、控制执行以及网络交互能力的电子装置。</w:t>
      </w:r>
    </w:p>
    <w:p>
      <w:pPr>
        <w:pStyle w:val="104"/>
        <w:spacing w:before="312" w:after="312"/>
        <w:rPr>
          <w:szCs w:val="21"/>
        </w:rPr>
      </w:pPr>
      <w:bookmarkStart w:id="41" w:name="_Toc10771"/>
      <w:bookmarkEnd w:id="41"/>
      <w:bookmarkStart w:id="42" w:name="_Toc23577"/>
      <w:bookmarkEnd w:id="42"/>
      <w:bookmarkStart w:id="43" w:name="page7"/>
      <w:bookmarkEnd w:id="43"/>
      <w:bookmarkStart w:id="44" w:name="_Toc3090"/>
      <w:bookmarkEnd w:id="44"/>
      <w:bookmarkStart w:id="45" w:name="_Toc326756524"/>
      <w:bookmarkEnd w:id="45"/>
      <w:bookmarkStart w:id="46" w:name="_Toc24839"/>
      <w:bookmarkStart w:id="47" w:name="_Toc150759020"/>
      <w:bookmarkStart w:id="48" w:name="_Toc150762960"/>
      <w:r>
        <w:rPr>
          <w:rFonts w:hAnsi="黑体"/>
        </w:rPr>
        <w:t>基本要求</w:t>
      </w:r>
      <w:bookmarkEnd w:id="46"/>
      <w:bookmarkEnd w:id="47"/>
      <w:bookmarkEnd w:id="48"/>
    </w:p>
    <w:p>
      <w:pPr>
        <w:pStyle w:val="162"/>
      </w:pPr>
      <w:r>
        <w:t>应充分考虑泵站智能化建设的经济性和必要性。</w:t>
      </w:r>
    </w:p>
    <w:p>
      <w:pPr>
        <w:pStyle w:val="162"/>
      </w:pPr>
      <w:r>
        <w:t>应贯穿泵站规划、设计、施工、运行、维护等全过程。</w:t>
      </w:r>
    </w:p>
    <w:p>
      <w:pPr>
        <w:pStyle w:val="162"/>
      </w:pPr>
      <w:r>
        <w:rPr>
          <w:kern w:val="44"/>
        </w:rPr>
        <w:t>应优先选择具备自动操作、自我调节功能的变配电设备、主机组和辅助设备</w:t>
      </w:r>
      <w:r>
        <w:t>。</w:t>
      </w:r>
    </w:p>
    <w:p>
      <w:pPr>
        <w:pStyle w:val="162"/>
      </w:pPr>
      <w:r>
        <w:t>应遵循DL/T 860的规定建立全站统一的通信网络。</w:t>
      </w:r>
    </w:p>
    <w:p>
      <w:pPr>
        <w:pStyle w:val="162"/>
      </w:pPr>
      <w:r>
        <w:t>网络安全应符合SL/T 803的相关要求。</w:t>
      </w:r>
    </w:p>
    <w:p>
      <w:pPr>
        <w:pStyle w:val="162"/>
      </w:pPr>
      <w:r>
        <w:rPr>
          <w:kern w:val="44"/>
        </w:rPr>
        <w:t>宜采用数字孪生技术。</w:t>
      </w:r>
    </w:p>
    <w:p>
      <w:pPr>
        <w:pStyle w:val="162"/>
        <w:rPr>
          <w:kern w:val="44"/>
        </w:rPr>
      </w:pPr>
      <w:r>
        <w:rPr>
          <w:kern w:val="44"/>
        </w:rPr>
        <w:t>应支持与关联泵站之间的信息互动，支持泵站群及梯级泵站优化运行。</w:t>
      </w:r>
    </w:p>
    <w:p>
      <w:pPr>
        <w:pStyle w:val="162"/>
        <w:rPr>
          <w:kern w:val="2"/>
        </w:rPr>
      </w:pPr>
      <w:r>
        <w:t>本文件未述及的部分，执行GB 50265、GB/T 30948的相关要求，如有与本文件要求不一致的部分，应优先采用本文件。</w:t>
      </w:r>
    </w:p>
    <w:p>
      <w:pPr>
        <w:pStyle w:val="104"/>
        <w:spacing w:before="312" w:after="312"/>
      </w:pPr>
      <w:bookmarkStart w:id="49" w:name="_Toc10903"/>
      <w:bookmarkEnd w:id="49"/>
      <w:bookmarkStart w:id="50" w:name="_Toc3809"/>
      <w:bookmarkEnd w:id="50"/>
      <w:bookmarkStart w:id="51" w:name="_Toc1017"/>
      <w:bookmarkEnd w:id="51"/>
      <w:bookmarkStart w:id="52" w:name="_Toc64550785"/>
      <w:bookmarkStart w:id="53" w:name="_Toc150762961"/>
      <w:bookmarkStart w:id="54" w:name="_Toc150759021"/>
      <w:r>
        <w:rPr>
          <w:rFonts w:hAnsi="黑体"/>
        </w:rPr>
        <w:t>系统架构</w:t>
      </w:r>
      <w:bookmarkEnd w:id="52"/>
      <w:bookmarkEnd w:id="53"/>
      <w:bookmarkEnd w:id="54"/>
    </w:p>
    <w:p>
      <w:pPr>
        <w:pStyle w:val="105"/>
        <w:spacing w:before="156" w:after="156"/>
      </w:pPr>
      <w:r>
        <w:rPr>
          <w:rFonts w:hAnsi="黑体"/>
        </w:rPr>
        <w:t xml:space="preserve">系统分层 </w:t>
      </w:r>
    </w:p>
    <w:p>
      <w:pPr>
        <w:pStyle w:val="165"/>
      </w:pPr>
      <w:r>
        <w:t>智能泵站系统架构纵向宜划分为过程层、单元层和站控层，典型架构图见附录 A。</w:t>
      </w:r>
    </w:p>
    <w:p>
      <w:pPr>
        <w:pStyle w:val="165"/>
        <w:rPr>
          <w:rFonts w:eastAsia="黑体"/>
          <w:kern w:val="44"/>
        </w:rPr>
      </w:pPr>
      <w:r>
        <w:t>过程层设备应包括叶调、冷却、励磁、断流、温度、振摆等智能电子装置以及合并单元，支持或实现设备运行信息的实时采集和传送，接收并执行各种操作与控制指令。</w:t>
      </w:r>
    </w:p>
    <w:p>
      <w:pPr>
        <w:pStyle w:val="165"/>
        <w:rPr>
          <w:kern w:val="2"/>
        </w:rPr>
      </w:pPr>
      <w:r>
        <w:t>单元层设备应包括主机组、辅机设备、主变压器、高压开关及主控等智能单元，具备监测、控制、保护、</w:t>
      </w:r>
      <w:r>
        <w:rPr>
          <w:rFonts w:hint="eastAsia"/>
        </w:rPr>
        <w:t>调节</w:t>
      </w:r>
      <w:r>
        <w:t>、分析等功能。</w:t>
      </w:r>
    </w:p>
    <w:p>
      <w:pPr>
        <w:pStyle w:val="165"/>
      </w:pPr>
      <w:r>
        <w:t>站控层设备应包括监控主机、数据库服务器、综合应用服务器、通信网关机等，具备数据采集、数据处理、状态监视、设备控制和运行管理等功能。</w:t>
      </w:r>
    </w:p>
    <w:p>
      <w:pPr>
        <w:pStyle w:val="105"/>
        <w:spacing w:before="156" w:after="156"/>
      </w:pPr>
      <w:r>
        <w:t xml:space="preserve">信息安全分区 </w:t>
      </w:r>
    </w:p>
    <w:p>
      <w:pPr>
        <w:pStyle w:val="165"/>
      </w:pPr>
      <w:r>
        <w:t>应遵循安全分区、网络专用、横向隔离、纵向认证的原则。</w:t>
      </w:r>
    </w:p>
    <w:p>
      <w:pPr>
        <w:pStyle w:val="165"/>
      </w:pPr>
      <w:r>
        <w:t>横向应划分为现场控制区、过程监控区、管理信息区和互联网区，现场控制区、过程监控区可合并，合并后网络安全等级保护应就高设置。</w:t>
      </w:r>
    </w:p>
    <w:p>
      <w:pPr>
        <w:pStyle w:val="165"/>
      </w:pPr>
      <w:r>
        <w:t>现场控制区和过程监控区之间的通信应设置防火墙，与管理信息区之间的通信应设置单向物理隔离装置，管理信息区与互联网区之间的通信应设置防火墙。</w:t>
      </w:r>
    </w:p>
    <w:p>
      <w:pPr>
        <w:pStyle w:val="105"/>
        <w:spacing w:before="156" w:after="156"/>
      </w:pPr>
      <w:r>
        <w:t xml:space="preserve">通信网络架构 </w:t>
      </w:r>
    </w:p>
    <w:p>
      <w:pPr>
        <w:pStyle w:val="165"/>
      </w:pPr>
      <w:r>
        <w:t>应采用工作可靠、结构简单、易于维护的通信网络架构，满足实时性和可靠性要求，必要时可采用双网冗余方式。</w:t>
      </w:r>
    </w:p>
    <w:p>
      <w:pPr>
        <w:pStyle w:val="165"/>
      </w:pPr>
      <w:r>
        <w:t>宜具备快速自主组网功能。</w:t>
      </w:r>
    </w:p>
    <w:p>
      <w:pPr>
        <w:pStyle w:val="104"/>
        <w:spacing w:before="312" w:after="312"/>
      </w:pPr>
      <w:bookmarkStart w:id="55" w:name="_Toc27842"/>
      <w:bookmarkEnd w:id="55"/>
      <w:bookmarkStart w:id="56" w:name="_Toc4536"/>
      <w:bookmarkEnd w:id="56"/>
      <w:bookmarkStart w:id="57" w:name="_Toc2795"/>
      <w:bookmarkEnd w:id="57"/>
      <w:bookmarkStart w:id="58" w:name="_Toc150759022"/>
      <w:bookmarkStart w:id="59" w:name="_Toc11179"/>
      <w:bookmarkStart w:id="60" w:name="_Toc150762962"/>
      <w:r>
        <w:rPr>
          <w:rFonts w:hAnsi="黑体"/>
        </w:rPr>
        <w:t>智能设备</w:t>
      </w:r>
      <w:bookmarkEnd w:id="58"/>
      <w:bookmarkEnd w:id="59"/>
      <w:bookmarkEnd w:id="60"/>
    </w:p>
    <w:p>
      <w:pPr>
        <w:pStyle w:val="105"/>
        <w:spacing w:before="156" w:after="156"/>
      </w:pPr>
      <w:bookmarkStart w:id="61" w:name="page11"/>
      <w:bookmarkEnd w:id="61"/>
      <w:r>
        <w:rPr>
          <w:rFonts w:hAnsi="黑体"/>
        </w:rPr>
        <w:t>高压设备</w:t>
      </w:r>
    </w:p>
    <w:p>
      <w:pPr>
        <w:pStyle w:val="165"/>
      </w:pPr>
      <w:r>
        <w:t>泵站智能变配电系统的配置及功能应符合GB/T 30155 的要求。</w:t>
      </w:r>
    </w:p>
    <w:p>
      <w:pPr>
        <w:pStyle w:val="165"/>
      </w:pPr>
      <w:r>
        <w:t>泵站智能变压器应符合GB/Z 34935要求。</w:t>
      </w:r>
    </w:p>
    <w:p>
      <w:pPr>
        <w:pStyle w:val="165"/>
      </w:pPr>
      <w:r>
        <w:t>泵站其它智能高压设备</w:t>
      </w:r>
      <w:r>
        <w:fldChar w:fldCharType="begin"/>
      </w:r>
      <w:r>
        <w:instrText xml:space="preserve"> HYPERLINK "https://www.so.com/link?m=bTPGtwLxrCTtjguhwfuJ3F%2Bi%2F%2BtZw7BYcwYBr7uWCwqe9X7cyjig7TXWOxsOyTQSShT9N69uM%2FRwpKQVjEtyWJFJJwynztQeXwJaY2djMJFWHKfkvU027Wa9F8g95woY4sAZnnZ5R6ouBPQm9Fk1NhB13UOB6ansQC8Kk5gUA582Hh8rVNA%2FwsL4lRbRHpju7WE6ouxTlMTRklF8PIxediGFXKXRoY%2FCkUpo1A2HpJxX7QLaIfE%2BPdAieINYfyWo4tfm3yOc%2Fz65iIO0S" </w:instrText>
      </w:r>
      <w:r>
        <w:fldChar w:fldCharType="separate"/>
      </w:r>
      <w:r>
        <w:rPr>
          <w:rStyle w:val="32"/>
          <w:rFonts w:hAnsi="宋体"/>
        </w:rPr>
        <w:t>应符合</w:t>
      </w:r>
      <w:r>
        <w:rPr>
          <w:rStyle w:val="32"/>
        </w:rPr>
        <w:t>DL/T 1411</w:t>
      </w:r>
      <w:r>
        <w:rPr>
          <w:rStyle w:val="32"/>
        </w:rPr>
        <w:fldChar w:fldCharType="end"/>
      </w:r>
      <w:r>
        <w:t>要求。</w:t>
      </w:r>
    </w:p>
    <w:p>
      <w:pPr>
        <w:pStyle w:val="105"/>
        <w:spacing w:before="156" w:after="156"/>
      </w:pPr>
      <w:r>
        <w:rPr>
          <w:rFonts w:hAnsi="黑体"/>
        </w:rPr>
        <w:t>主机组</w:t>
      </w:r>
    </w:p>
    <w:p>
      <w:pPr>
        <w:pStyle w:val="165"/>
      </w:pPr>
      <w:r>
        <w:t>应实现主机组电流、电压、功率、温度、振动、摆度、转速、声音、间隙等参数的连续监测。</w:t>
      </w:r>
    </w:p>
    <w:p>
      <w:pPr>
        <w:pStyle w:val="165"/>
      </w:pPr>
      <w:r>
        <w:t>应</w:t>
      </w:r>
      <w:r>
        <w:rPr>
          <w:rFonts w:hint="eastAsia"/>
        </w:rPr>
        <w:t>具备</w:t>
      </w:r>
      <w:r>
        <w:t>上述参数的趋势预警、越限报警和事故跳闸等功能。</w:t>
      </w:r>
    </w:p>
    <w:p>
      <w:pPr>
        <w:pStyle w:val="165"/>
      </w:pPr>
      <w:r>
        <w:t>应具备逻辑顺序控制、智能联锁、安全闭锁等功能。</w:t>
      </w:r>
    </w:p>
    <w:p>
      <w:pPr>
        <w:pStyle w:val="165"/>
      </w:pPr>
      <w:r>
        <w:t>应按照设定的规则或模型，实现自动调节或最优化运行。</w:t>
      </w:r>
    </w:p>
    <w:p>
      <w:pPr>
        <w:pStyle w:val="165"/>
      </w:pPr>
      <w:r>
        <w:t>宜具备主机组状态分析和健康评价功能。</w:t>
      </w:r>
    </w:p>
    <w:p>
      <w:pPr>
        <w:pStyle w:val="165"/>
      </w:pPr>
      <w:r>
        <w:t>典型智能单元示意图参见附录B。</w:t>
      </w:r>
    </w:p>
    <w:p>
      <w:pPr>
        <w:pStyle w:val="105"/>
        <w:spacing w:before="156" w:after="156"/>
      </w:pPr>
      <w:r>
        <w:rPr>
          <w:rFonts w:hAnsi="黑体"/>
        </w:rPr>
        <w:t>直流装置</w:t>
      </w:r>
    </w:p>
    <w:p>
      <w:pPr>
        <w:pStyle w:val="165"/>
      </w:pPr>
      <w:r>
        <w:t>应实现高频开关的输入输出电流、电压，控制母线、合闸母线、蓄电池组的电流、电压，单节电池的电压、内阻、温度等参数的连续监测。</w:t>
      </w:r>
    </w:p>
    <w:p>
      <w:pPr>
        <w:pStyle w:val="165"/>
      </w:pPr>
      <w:r>
        <w:t>应</w:t>
      </w:r>
      <w:r>
        <w:rPr>
          <w:rFonts w:hint="eastAsia"/>
        </w:rPr>
        <w:t>具备</w:t>
      </w:r>
      <w:r>
        <w:t>上述参数的趋势预警、越限报警和事故跳闸等功能。</w:t>
      </w:r>
    </w:p>
    <w:p>
      <w:pPr>
        <w:pStyle w:val="165"/>
      </w:pPr>
      <w:r>
        <w:t>应具备核对性自放电、自充电以及过充、过放预警和闭锁功能。</w:t>
      </w:r>
    </w:p>
    <w:p>
      <w:pPr>
        <w:pStyle w:val="165"/>
      </w:pPr>
      <w:r>
        <w:t>宜具备电池健康状态分析和寿命预测功能。</w:t>
      </w:r>
    </w:p>
    <w:p>
      <w:pPr>
        <w:pStyle w:val="165"/>
      </w:pPr>
      <w:r>
        <w:t>应提供标准协议的通讯，为远程诊断、运维、自动校时提供支持。</w:t>
      </w:r>
    </w:p>
    <w:p>
      <w:pPr>
        <w:pStyle w:val="105"/>
        <w:spacing w:before="156" w:after="156"/>
      </w:pPr>
      <w:r>
        <w:rPr>
          <w:rFonts w:hAnsi="黑体"/>
        </w:rPr>
        <w:t>励磁装置</w:t>
      </w:r>
    </w:p>
    <w:p>
      <w:pPr>
        <w:pStyle w:val="165"/>
      </w:pPr>
      <w:r>
        <w:t>应采用冗余化设计，具备在线热备切换功能，具有可靠的失步报警和再整步功能。</w:t>
      </w:r>
    </w:p>
    <w:p>
      <w:pPr>
        <w:pStyle w:val="165"/>
      </w:pPr>
      <w:r>
        <w:t>应实现励磁电流、励磁电压、温度、湿度、运行时间、动作次数等参数的连续监测。</w:t>
      </w:r>
    </w:p>
    <w:p>
      <w:pPr>
        <w:pStyle w:val="165"/>
      </w:pPr>
      <w:r>
        <w:t>应具备上述参数的趋势预警、越限报警和事故跳闸等功能。</w:t>
      </w:r>
    </w:p>
    <w:p>
      <w:pPr>
        <w:pStyle w:val="165"/>
      </w:pPr>
      <w:r>
        <w:t>应具备软硬件故障自主诊断、自主运行、自动切换、自主调节以及SOE自动记录，模拟量及数字量自动录波等功能。</w:t>
      </w:r>
    </w:p>
    <w:p>
      <w:pPr>
        <w:pStyle w:val="165"/>
      </w:pPr>
      <w:r>
        <w:t>应提供标准协议的通讯，为远程诊断、运维、自动校时提供支持。</w:t>
      </w:r>
    </w:p>
    <w:p>
      <w:pPr>
        <w:pStyle w:val="105"/>
        <w:spacing w:before="156" w:after="156"/>
      </w:pPr>
      <w:r>
        <w:rPr>
          <w:rFonts w:hAnsi="黑体"/>
        </w:rPr>
        <w:t>辅机设备</w:t>
      </w:r>
    </w:p>
    <w:p>
      <w:pPr>
        <w:pStyle w:val="165"/>
      </w:pPr>
      <w:r>
        <w:t>应采用冗余化功能设计，具备热备切换功能。</w:t>
      </w:r>
    </w:p>
    <w:p>
      <w:pPr>
        <w:pStyle w:val="165"/>
      </w:pPr>
      <w:r>
        <w:t>应具备油、气、水等辅机设备运行参数的趋势预警、越限报警和事故跳闸等功能。</w:t>
      </w:r>
    </w:p>
    <w:p>
      <w:pPr>
        <w:pStyle w:val="165"/>
      </w:pPr>
      <w:r>
        <w:t>应具备自主运行、自动切换、自主调节等功能。</w:t>
      </w:r>
    </w:p>
    <w:p>
      <w:pPr>
        <w:pStyle w:val="165"/>
      </w:pPr>
      <w:r>
        <w:t>应提供标准协议的通讯，为远程诊断、运维、自动校时等提供支持。</w:t>
      </w:r>
    </w:p>
    <w:p>
      <w:pPr>
        <w:pStyle w:val="104"/>
        <w:spacing w:before="312" w:after="312"/>
      </w:pPr>
      <w:bookmarkStart w:id="62" w:name="_Toc10456"/>
      <w:bookmarkEnd w:id="62"/>
      <w:bookmarkStart w:id="63" w:name="_Toc24323"/>
      <w:bookmarkEnd w:id="63"/>
      <w:bookmarkStart w:id="64" w:name="_Toc150762963"/>
      <w:bookmarkStart w:id="65" w:name="_Toc150759023"/>
      <w:r>
        <w:rPr>
          <w:rFonts w:hAnsi="黑体"/>
        </w:rPr>
        <w:t>系统功能</w:t>
      </w:r>
      <w:bookmarkEnd w:id="64"/>
      <w:bookmarkEnd w:id="65"/>
    </w:p>
    <w:p>
      <w:pPr>
        <w:pStyle w:val="105"/>
        <w:spacing w:before="156" w:after="156"/>
      </w:pPr>
      <w:r>
        <w:rPr>
          <w:rFonts w:hAnsi="黑体"/>
        </w:rPr>
        <w:t>工程监控</w:t>
      </w:r>
    </w:p>
    <w:p>
      <w:pPr>
        <w:pStyle w:val="165"/>
      </w:pPr>
      <w:r>
        <w:t>应具备一键顺控、逻辑异常自动闭锁、故障告警功能。</w:t>
      </w:r>
    </w:p>
    <w:p>
      <w:pPr>
        <w:pStyle w:val="165"/>
      </w:pPr>
      <w:r>
        <w:t>应具备测点值抖动、突变等异常变位数据质量管理功能。</w:t>
      </w:r>
    </w:p>
    <w:p>
      <w:pPr>
        <w:pStyle w:val="165"/>
      </w:pPr>
      <w:r>
        <w:t>宜具备异音、异味、火花、放电等异常报警信息的自动采集、监视功能。</w:t>
      </w:r>
    </w:p>
    <w:p>
      <w:pPr>
        <w:pStyle w:val="165"/>
      </w:pPr>
      <w:r>
        <w:t>宜具备主要设备及关键部件运行状态和故障实时仿真及三维可视化展示功能。</w:t>
      </w:r>
    </w:p>
    <w:p>
      <w:pPr>
        <w:pStyle w:val="105"/>
        <w:spacing w:before="156" w:after="156"/>
      </w:pPr>
      <w:r>
        <w:rPr>
          <w:rFonts w:hAnsi="黑体"/>
        </w:rPr>
        <w:t>优化调控</w:t>
      </w:r>
    </w:p>
    <w:p>
      <w:pPr>
        <w:pStyle w:val="165"/>
      </w:pPr>
      <w:r>
        <w:t>应具备基于主机组状态评价、缺陷和效率等因素的优选调节功能。</w:t>
      </w:r>
    </w:p>
    <w:p>
      <w:pPr>
        <w:pStyle w:val="165"/>
      </w:pPr>
      <w:r>
        <w:t>应具备基于机组能耗与效率模型的动态调优功能。</w:t>
      </w:r>
    </w:p>
    <w:p>
      <w:pPr>
        <w:pStyle w:val="165"/>
      </w:pPr>
      <w:r>
        <w:t>应具备必要的安全闭锁和告警功能。</w:t>
      </w:r>
    </w:p>
    <w:p>
      <w:pPr>
        <w:pStyle w:val="105"/>
        <w:spacing w:before="156" w:after="156"/>
      </w:pPr>
      <w:r>
        <w:rPr>
          <w:rFonts w:hAnsi="黑体"/>
        </w:rPr>
        <w:t>视频监控</w:t>
      </w:r>
    </w:p>
    <w:p>
      <w:pPr>
        <w:pStyle w:val="165"/>
      </w:pPr>
      <w:r>
        <w:t>应具备边缘计算及视频智能分析告警功能。</w:t>
      </w:r>
    </w:p>
    <w:p>
      <w:pPr>
        <w:pStyle w:val="165"/>
      </w:pPr>
      <w:r>
        <w:t>宜具备漂浮物、人员行为、车辆、水位、跑冒滴漏等智能识别功能。</w:t>
      </w:r>
    </w:p>
    <w:p>
      <w:pPr>
        <w:pStyle w:val="165"/>
      </w:pPr>
      <w:r>
        <w:t>应具备与监控、消防、安保等系统协同联动功能。</w:t>
      </w:r>
    </w:p>
    <w:p>
      <w:pPr>
        <w:pStyle w:val="165"/>
      </w:pPr>
      <w:r>
        <w:t>应具备视频巡视功能。</w:t>
      </w:r>
    </w:p>
    <w:p>
      <w:pPr>
        <w:pStyle w:val="105"/>
        <w:spacing w:before="156" w:after="156"/>
      </w:pPr>
      <w:r>
        <w:rPr>
          <w:rFonts w:hAnsi="黑体"/>
        </w:rPr>
        <w:t xml:space="preserve">巡视检查 </w:t>
      </w:r>
    </w:p>
    <w:p>
      <w:pPr>
        <w:pStyle w:val="165"/>
      </w:pPr>
      <w:r>
        <w:t>应具备移动终端巡检功能，并与信息化管理平台进行数据交互。</w:t>
      </w:r>
    </w:p>
    <w:p>
      <w:pPr>
        <w:pStyle w:val="165"/>
      </w:pPr>
      <w:r>
        <w:t>应具备巡检人员定位功能。</w:t>
      </w:r>
    </w:p>
    <w:p>
      <w:pPr>
        <w:pStyle w:val="165"/>
      </w:pPr>
      <w:r>
        <w:t>宜具备泵站管理区域无人机巡检功能，巡检结果推送至信息化管理平台。</w:t>
      </w:r>
    </w:p>
    <w:p>
      <w:pPr>
        <w:pStyle w:val="165"/>
      </w:pPr>
      <w:r>
        <w:t>户外变电所宜采用智能机器人进行移动巡检。</w:t>
      </w:r>
    </w:p>
    <w:p>
      <w:pPr>
        <w:pStyle w:val="105"/>
        <w:spacing w:before="156" w:after="156"/>
      </w:pPr>
      <w:r>
        <w:rPr>
          <w:rFonts w:hAnsi="黑体"/>
        </w:rPr>
        <w:t>检修维护</w:t>
      </w:r>
    </w:p>
    <w:p>
      <w:pPr>
        <w:pStyle w:val="165"/>
      </w:pPr>
      <w:r>
        <w:t>应建立设备检修知识库，满足在线提供故障处置指导要求。</w:t>
      </w:r>
    </w:p>
    <w:p>
      <w:pPr>
        <w:pStyle w:val="165"/>
      </w:pPr>
      <w:r>
        <w:t>应具备数据自动分析和评价功能。</w:t>
      </w:r>
    </w:p>
    <w:p>
      <w:pPr>
        <w:pStyle w:val="165"/>
      </w:pPr>
      <w:r>
        <w:t>宜具备主设备三维可视化检修虚拟仿真功能。</w:t>
      </w:r>
    </w:p>
    <w:p>
      <w:pPr>
        <w:pStyle w:val="105"/>
        <w:spacing w:before="156" w:after="156"/>
      </w:pPr>
      <w:r>
        <w:rPr>
          <w:rFonts w:hAnsi="黑体"/>
        </w:rPr>
        <w:t>安全监测</w:t>
      </w:r>
    </w:p>
    <w:p>
      <w:pPr>
        <w:pStyle w:val="165"/>
      </w:pPr>
      <w:r>
        <w:t>宜利用物联网、北斗卫星等技术开展水工建筑物的变形监测。</w:t>
      </w:r>
    </w:p>
    <w:p>
      <w:pPr>
        <w:pStyle w:val="165"/>
      </w:pPr>
      <w:r>
        <w:t>应具备数据自动分析和评价功能。</w:t>
      </w:r>
    </w:p>
    <w:p>
      <w:pPr>
        <w:pStyle w:val="165"/>
      </w:pPr>
      <w:r>
        <w:t>应具备监测数据趋势预警功能。</w:t>
      </w:r>
    </w:p>
    <w:p>
      <w:pPr>
        <w:pStyle w:val="105"/>
        <w:spacing w:before="156" w:after="156"/>
      </w:pPr>
      <w:r>
        <w:rPr>
          <w:rFonts w:hAnsi="黑体"/>
        </w:rPr>
        <w:t>故障诊断</w:t>
      </w:r>
    </w:p>
    <w:p>
      <w:pPr>
        <w:pStyle w:val="165"/>
      </w:pPr>
      <w:r>
        <w:t>主机组、变压器等设备应建立多维度设备状态评价及劣化预测模型，具备动态评价功能。</w:t>
      </w:r>
    </w:p>
    <w:p>
      <w:pPr>
        <w:pStyle w:val="165"/>
      </w:pPr>
      <w:r>
        <w:t>旋转机械部件应具备振动、摆度、声音监测预警功能。</w:t>
      </w:r>
    </w:p>
    <w:p>
      <w:pPr>
        <w:pStyle w:val="165"/>
      </w:pPr>
      <w:r>
        <w:t>主机组碳刷、水泵填料函、高压电缆、励磁</w:t>
      </w:r>
      <w:r>
        <w:rPr>
          <w:rFonts w:hint="eastAsia"/>
        </w:rPr>
        <w:t>硅管</w:t>
      </w:r>
      <w:r>
        <w:t>、变压器接线桩头以及开关柜母线等容易发热部位应具备热成像监测温度</w:t>
      </w:r>
      <w:r>
        <w:rPr>
          <w:rFonts w:hint="eastAsia"/>
        </w:rPr>
        <w:t>及</w:t>
      </w:r>
      <w:r>
        <w:t>自动报警功能。</w:t>
      </w:r>
    </w:p>
    <w:p>
      <w:pPr>
        <w:pStyle w:val="165"/>
      </w:pPr>
      <w:r>
        <w:t>宜具备基于运行故障库的设备故障诊断分析功能。</w:t>
      </w:r>
    </w:p>
    <w:p>
      <w:pPr>
        <w:pStyle w:val="105"/>
        <w:spacing w:before="156" w:after="156"/>
      </w:pPr>
      <w:r>
        <w:rPr>
          <w:rFonts w:hAnsi="黑体"/>
        </w:rPr>
        <w:t>安全管理</w:t>
      </w:r>
    </w:p>
    <w:p>
      <w:pPr>
        <w:pStyle w:val="165"/>
      </w:pPr>
      <w:r>
        <w:t>应具备工作票和操作票的典型票管理、自动开票、冲突检测、联动闭锁、移动查询等功能，接地线挂接、拆除过程的自动跟踪功能。</w:t>
      </w:r>
    </w:p>
    <w:p>
      <w:pPr>
        <w:pStyle w:val="165"/>
      </w:pPr>
      <w:r>
        <w:t xml:space="preserve">应在危险区域配置红外对射、电子围栏、门禁、语音广播等安全设施，具备实时告警功能。 </w:t>
      </w:r>
    </w:p>
    <w:p>
      <w:pPr>
        <w:pStyle w:val="165"/>
      </w:pPr>
      <w:r>
        <w:t>应具备继电保护室、蓄电池室、高压变频器室环境温度和湿度的自动监测和调节功能。</w:t>
      </w:r>
    </w:p>
    <w:p>
      <w:pPr>
        <w:pStyle w:val="165"/>
      </w:pPr>
      <w:r>
        <w:t>应运用物联网等技术实现安全用具、防汛物资、备品备件的数字化管理。</w:t>
      </w:r>
    </w:p>
    <w:p>
      <w:pPr>
        <w:pStyle w:val="165"/>
      </w:pPr>
      <w:r>
        <w:t>应建立水利安全生产标准化信息管理平台。</w:t>
      </w:r>
    </w:p>
    <w:p>
      <w:pPr>
        <w:pStyle w:val="104"/>
        <w:spacing w:before="312" w:after="312"/>
      </w:pPr>
      <w:bookmarkStart w:id="66" w:name="_Toc4029"/>
      <w:bookmarkEnd w:id="66"/>
      <w:bookmarkStart w:id="67" w:name="_Toc150762964"/>
      <w:bookmarkStart w:id="68" w:name="_Toc9401"/>
      <w:bookmarkStart w:id="69" w:name="_Toc150759024"/>
      <w:r>
        <w:t>测试与评估</w:t>
      </w:r>
      <w:bookmarkEnd w:id="67"/>
      <w:bookmarkEnd w:id="68"/>
      <w:bookmarkEnd w:id="69"/>
    </w:p>
    <w:p>
      <w:pPr>
        <w:pStyle w:val="105"/>
        <w:spacing w:before="156" w:after="156"/>
      </w:pPr>
      <w:r>
        <w:t>投运前测试要求</w:t>
      </w:r>
    </w:p>
    <w:p>
      <w:pPr>
        <w:pStyle w:val="165"/>
      </w:pPr>
      <w:r>
        <w:t>应对测试结果进行分析评估，符合要求后可投入运行。</w:t>
      </w:r>
    </w:p>
    <w:p>
      <w:pPr>
        <w:pStyle w:val="165"/>
      </w:pPr>
      <w:r>
        <w:t>应在安装完成后进行互操作特性测试、智能控制试验与特性测试。</w:t>
      </w:r>
    </w:p>
    <w:p>
      <w:pPr>
        <w:pStyle w:val="165"/>
      </w:pPr>
      <w:r>
        <w:t>应实施不同系统间和不同工况下的协同特性测试。</w:t>
      </w:r>
    </w:p>
    <w:p>
      <w:pPr>
        <w:pStyle w:val="105"/>
        <w:spacing w:before="156" w:after="156"/>
      </w:pPr>
      <w:r>
        <w:t>运行期测试要求</w:t>
      </w:r>
    </w:p>
    <w:p>
      <w:pPr>
        <w:pStyle w:val="165"/>
      </w:pPr>
      <w:r>
        <w:t>应在投产运行1年后开展一次系统性检测。</w:t>
      </w:r>
    </w:p>
    <w:p>
      <w:pPr>
        <w:pStyle w:val="165"/>
      </w:pPr>
      <w:r>
        <w:t>应优先采用现场测试。</w:t>
      </w:r>
    </w:p>
    <w:p>
      <w:pPr>
        <w:pStyle w:val="165"/>
      </w:pPr>
      <w:r>
        <w:t>对于不适用现场测试的智能设备或系统，宜采用试验评估或远程操作进行检验。</w:t>
      </w:r>
    </w:p>
    <w:p>
      <w:pPr>
        <w:pStyle w:val="105"/>
        <w:spacing w:before="156" w:after="156"/>
      </w:pPr>
      <w:r>
        <w:rPr>
          <w:rFonts w:hAnsi="黑体"/>
        </w:rPr>
        <w:t>评估要求</w:t>
      </w:r>
    </w:p>
    <w:p>
      <w:pPr>
        <w:pStyle w:val="165"/>
      </w:pPr>
      <w:r>
        <w:t>连续运行5年后，应对智能设备或系统等进行评估。</w:t>
      </w:r>
    </w:p>
    <w:p>
      <w:pPr>
        <w:pStyle w:val="165"/>
      </w:pPr>
      <w:r>
        <w:t>可采用功能验证、性能测试、专家评审等多种评估方式。</w:t>
      </w:r>
    </w:p>
    <w:p>
      <w:pPr>
        <w:pStyle w:val="165"/>
      </w:pPr>
      <w:r>
        <w:t>宜对泵站安全、经济、环保运行水平提升成效进行评估。</w:t>
      </w:r>
    </w:p>
    <w:p>
      <w:pPr>
        <w:pStyle w:val="165"/>
      </w:pPr>
      <w:r>
        <w:rPr>
          <w:rFonts w:hint="eastAsia"/>
        </w:rPr>
        <w:t>应</w:t>
      </w:r>
      <w:r>
        <w:t>通过运检智能作业、设备设施健康评价、虚拟仿真运行等高级应用</w:t>
      </w:r>
      <w:r>
        <w:rPr>
          <w:rFonts w:hint="eastAsia"/>
        </w:rPr>
        <w:t>，对</w:t>
      </w:r>
      <w:r>
        <w:t>运检作业标准化、状态评价专业化、生产操作可视化、管理应用智能化</w:t>
      </w:r>
      <w:r>
        <w:rPr>
          <w:rFonts w:hint="eastAsia"/>
        </w:rPr>
        <w:t>进行评价。</w:t>
      </w:r>
    </w:p>
    <w:p>
      <w:pPr>
        <w:pStyle w:val="165"/>
        <w:rPr>
          <w:rFonts w:ascii="Times New Roman"/>
        </w:rPr>
      </w:pPr>
      <w:r>
        <w:t>应随着新技术、新方法、新工艺、新设备的应用进行重新评估。</w:t>
      </w:r>
    </w:p>
    <w:p>
      <w:pPr>
        <w:pStyle w:val="165"/>
      </w:pPr>
      <w:r>
        <w:t>应根据评估结果制定泵站智能化完善</w:t>
      </w:r>
      <w:r>
        <w:rPr>
          <w:rFonts w:hint="eastAsia"/>
        </w:rPr>
        <w:t>方案</w:t>
      </w:r>
      <w:r>
        <w:t>。</w:t>
      </w:r>
    </w:p>
    <w:p>
      <w:pPr>
        <w:pStyle w:val="105"/>
        <w:spacing w:before="156" w:after="156"/>
      </w:pPr>
      <w:r>
        <w:t>智能化分级</w:t>
      </w:r>
    </w:p>
    <w:p>
      <w:pPr>
        <w:pStyle w:val="165"/>
        <w:rPr>
          <w:rFonts w:ascii="Times New Roman"/>
        </w:rPr>
      </w:pPr>
      <w:r>
        <w:t>智能化程度评估可分为初级、中级和高级。</w:t>
      </w:r>
    </w:p>
    <w:p>
      <w:pPr>
        <w:pStyle w:val="165"/>
      </w:pPr>
      <w:r>
        <w:t>初级：关键技术特征体现为自动化，利用计算机、通信、网络等技术，实现全站信号的数字化采集、传输和存储，并在此基础上实现全站范围内的生产过程自动化，同时实现生产数据与管理信息融合利用，并为管理决策提供支持。</w:t>
      </w:r>
    </w:p>
    <w:p>
      <w:pPr>
        <w:pStyle w:val="165"/>
      </w:pPr>
      <w:r>
        <w:t>中级：关键技术特征体现为信息化，充分利用云计算、大数据、物联网、移动互联等现代信息技术，在信息获取中实现全息感知与智能融合，在信息使用中实现多系统间信息共享与互动、递进式可视化展示，在运行过程中实现可预测、可控制及全流程优化，实现泵站“无人值班，少人值守”模式下的安全、稳定、高效运行。</w:t>
      </w:r>
    </w:p>
    <w:p>
      <w:pPr>
        <w:pStyle w:val="165"/>
      </w:pPr>
      <w:r>
        <w:t>高级：关键技术特征体现为自学习、自寻优、自适应，其表象为广泛应用智能化技术，在进行自我寻优与进化的基础上，能够自动根据泵站内、外部环境，设备等影响因素的变化，优化控制策略、方法、参数，实现泵站安全、稳定、高效的自主运行。</w:t>
      </w:r>
    </w:p>
    <w:p>
      <w:pPr>
        <w:pStyle w:val="56"/>
        <w:ind w:firstLine="420"/>
      </w:pPr>
    </w:p>
    <w:p>
      <w:pPr>
        <w:pStyle w:val="56"/>
        <w:ind w:firstLine="420"/>
      </w:pPr>
    </w:p>
    <w:p>
      <w:pPr>
        <w:pStyle w:val="56"/>
        <w:ind w:firstLine="420"/>
      </w:pPr>
    </w:p>
    <w:p>
      <w:pPr>
        <w:pStyle w:val="56"/>
        <w:ind w:firstLine="420"/>
      </w:pPr>
    </w:p>
    <w:p>
      <w:pPr>
        <w:pStyle w:val="56"/>
        <w:ind w:firstLine="420"/>
        <w:sectPr>
          <w:footerReference r:id="rId16" w:type="default"/>
          <w:pgSz w:w="11906" w:h="16838"/>
          <w:pgMar w:top="2410" w:right="1134" w:bottom="1134" w:left="1134" w:header="1418" w:footer="1134" w:gutter="284"/>
          <w:pgNumType w:start="1"/>
          <w:cols w:space="425" w:num="1"/>
          <w:formProt w:val="0"/>
          <w:docGrid w:type="lines" w:linePitch="312" w:charSpace="0"/>
        </w:sectPr>
      </w:pPr>
    </w:p>
    <w:bookmarkEnd w:id="15"/>
    <w:p>
      <w:pPr>
        <w:pStyle w:val="198"/>
        <w:rPr>
          <w:vanish w:val="0"/>
        </w:rPr>
      </w:pPr>
      <w:bookmarkStart w:id="70" w:name="BookMark5"/>
    </w:p>
    <w:p>
      <w:pPr>
        <w:pStyle w:val="199"/>
        <w:rPr>
          <w:vanish w:val="0"/>
        </w:rPr>
      </w:pPr>
    </w:p>
    <w:p>
      <w:pPr>
        <w:pStyle w:val="76"/>
        <w:spacing w:before="78" w:after="156"/>
      </w:pPr>
      <w:r>
        <w:br w:type="textWrapping"/>
      </w:r>
      <w:bookmarkStart w:id="71" w:name="_Toc150759025"/>
      <w:bookmarkStart w:id="72" w:name="_Toc150762965"/>
      <w:r>
        <w:rPr>
          <w:rFonts w:hint="eastAsia"/>
        </w:rPr>
        <w:t>（资料性）</w:t>
      </w:r>
      <w:r>
        <w:br w:type="textWrapping"/>
      </w:r>
      <w:r>
        <w:rPr>
          <w:rFonts w:hint="eastAsia"/>
        </w:rPr>
        <w:t>智能泵站系统典型架构示意图</w:t>
      </w:r>
      <w:bookmarkEnd w:id="71"/>
      <w:bookmarkEnd w:id="72"/>
    </w:p>
    <w:p>
      <w:pPr>
        <w:pStyle w:val="56"/>
        <w:ind w:firstLine="420"/>
      </w:pPr>
      <w:r>
        <w:rPr>
          <w:rFonts w:hint="eastAsia"/>
        </w:rPr>
        <w:t>图A.1 给出了智能泵站系统典型架构。</w:t>
      </w:r>
    </w:p>
    <w:p>
      <w:pPr>
        <w:pStyle w:val="83"/>
        <w:spacing w:before="156" w:after="156"/>
        <w:rPr>
          <w:kern w:val="2"/>
          <w:szCs w:val="21"/>
        </w:rPr>
      </w:pPr>
      <w:r>
        <w:rPr>
          <w:rFonts w:hint="eastAsia"/>
        </w:rPr>
        <w:t>智能泵站系统典型架构</w:t>
      </w:r>
      <w:r>
        <w:drawing>
          <wp:anchor distT="0" distB="0" distL="114300" distR="114300" simplePos="0" relativeHeight="251662336" behindDoc="0" locked="0" layoutInCell="1" allowOverlap="1">
            <wp:simplePos x="0" y="0"/>
            <wp:positionH relativeFrom="column">
              <wp:posOffset>-1270</wp:posOffset>
            </wp:positionH>
            <wp:positionV relativeFrom="paragraph">
              <wp:posOffset>0</wp:posOffset>
            </wp:positionV>
            <wp:extent cx="8387715" cy="4075430"/>
            <wp:effectExtent l="0" t="0" r="0" b="1905"/>
            <wp:wrapSquare wrapText="bothSides"/>
            <wp:docPr id="2" name="图片 2" descr="C:\Users\DELL\AppData\Local\Temp\ksohtml106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AppData\Local\Temp\ksohtml1064\wps1.png"/>
                    <pic:cNvPicPr>
                      <a:picLocks noChangeAspect="1" noChangeArrowheads="1"/>
                    </pic:cNvPicPr>
                  </pic:nvPicPr>
                  <pic:blipFill>
                    <a:blip r:embed="rId19"/>
                    <a:srcRect/>
                    <a:stretch>
                      <a:fillRect/>
                    </a:stretch>
                  </pic:blipFill>
                  <pic:spPr>
                    <a:xfrm>
                      <a:off x="0" y="0"/>
                      <a:ext cx="8388000" cy="4075200"/>
                    </a:xfrm>
                    <a:prstGeom prst="rect">
                      <a:avLst/>
                    </a:prstGeom>
                    <a:noFill/>
                    <a:ln>
                      <a:noFill/>
                    </a:ln>
                  </pic:spPr>
                </pic:pic>
              </a:graphicData>
            </a:graphic>
          </wp:anchor>
        </w:drawing>
      </w:r>
    </w:p>
    <w:p>
      <w:pPr>
        <w:pStyle w:val="56"/>
        <w:ind w:firstLine="420"/>
        <w:sectPr>
          <w:pgSz w:w="16838" w:h="11906" w:orient="landscape"/>
          <w:pgMar w:top="1134" w:right="1134" w:bottom="1134" w:left="2410"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before="78" w:after="156"/>
      </w:pPr>
      <w:r>
        <w:br w:type="textWrapping"/>
      </w:r>
      <w:bookmarkStart w:id="73" w:name="_Toc150762966"/>
      <w:bookmarkStart w:id="74" w:name="_Toc150759026"/>
      <w:r>
        <w:rPr>
          <w:rFonts w:hint="eastAsia"/>
        </w:rPr>
        <w:t>（资料性）</w:t>
      </w:r>
      <w:r>
        <w:br w:type="textWrapping"/>
      </w:r>
      <w:r>
        <w:rPr>
          <w:rFonts w:hint="eastAsia"/>
        </w:rPr>
        <w:t>智能主机组典型智能单元示意图</w:t>
      </w:r>
      <w:bookmarkEnd w:id="73"/>
      <w:bookmarkEnd w:id="74"/>
    </w:p>
    <w:p>
      <w:pPr>
        <w:pStyle w:val="56"/>
        <w:ind w:firstLine="420"/>
      </w:pPr>
      <w:r>
        <w:t>图B.1 给出了智能主机组典型智能单元</w:t>
      </w:r>
      <w:r>
        <w:rPr>
          <w:rFonts w:hint="eastAsia"/>
        </w:rPr>
        <w:t>。</w:t>
      </w:r>
    </w:p>
    <w:p>
      <w:pPr>
        <w:pStyle w:val="232"/>
        <w:jc w:val="center"/>
      </w:pPr>
      <w:r>
        <w:drawing>
          <wp:inline distT="0" distB="0" distL="0" distR="0">
            <wp:extent cx="5337810" cy="6219825"/>
            <wp:effectExtent l="0" t="0" r="0" b="9525"/>
            <wp:docPr id="4" name="图片 4" descr="C:\Users\DELL\AppData\Local\Temp\ksohtml106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DELL\AppData\Local\Temp\ksohtml1064\wps2.png"/>
                    <pic:cNvPicPr>
                      <a:picLocks noChangeAspect="1" noChangeArrowheads="1"/>
                    </pic:cNvPicPr>
                  </pic:nvPicPr>
                  <pic:blipFill>
                    <a:blip r:embed="rId20"/>
                    <a:srcRect/>
                    <a:stretch>
                      <a:fillRect/>
                    </a:stretch>
                  </pic:blipFill>
                  <pic:spPr>
                    <a:xfrm>
                      <a:off x="0" y="0"/>
                      <a:ext cx="5337810" cy="6219825"/>
                    </a:xfrm>
                    <a:prstGeom prst="rect">
                      <a:avLst/>
                    </a:prstGeom>
                    <a:noFill/>
                    <a:ln>
                      <a:noFill/>
                    </a:ln>
                  </pic:spPr>
                </pic:pic>
              </a:graphicData>
            </a:graphic>
          </wp:inline>
        </w:drawing>
      </w:r>
    </w:p>
    <w:p>
      <w:pPr>
        <w:pStyle w:val="83"/>
        <w:spacing w:before="156" w:after="156"/>
        <w:rPr>
          <w:kern w:val="2"/>
          <w:szCs w:val="21"/>
        </w:rPr>
      </w:pPr>
      <w:r>
        <w:t>智能主机组典型智能单元示意</w:t>
      </w:r>
    </w:p>
    <w:p>
      <w:pPr>
        <w:pStyle w:val="56"/>
        <w:ind w:firstLine="420"/>
      </w:pPr>
    </w:p>
    <w:bookmarkEnd w:id="70"/>
    <w:p>
      <w:pPr>
        <w:pStyle w:val="56"/>
        <w:ind w:firstLine="0" w:firstLineChars="0"/>
        <w:jc w:val="center"/>
      </w:pPr>
      <w:bookmarkStart w:id="7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PAGE   \* MERGEFORMAT</w:instrText>
                          </w:r>
                          <w:r>
                            <w:fldChar w:fldCharType="separate"/>
                          </w:r>
                          <w:r>
                            <w:rPr>
                              <w:lang w:val="zh-CN"/>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52"/>
                    </w:pPr>
                    <w:r>
                      <w:fldChar w:fldCharType="begin"/>
                    </w:r>
                    <w:r>
                      <w:instrText xml:space="preserve">PAGE   \* MERGEFORMAT</w:instrText>
                    </w:r>
                    <w:r>
                      <w:fldChar w:fldCharType="separate"/>
                    </w:r>
                    <w:r>
                      <w:rPr>
                        <w:lang w:val="zh-CN"/>
                      </w:rPr>
                      <w:t>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PAGE   \* MERGEFORMAT</w:instrText>
                          </w:r>
                          <w:r>
                            <w:fldChar w:fldCharType="separate"/>
                          </w:r>
                          <w:r>
                            <w:rPr>
                              <w:lang w:val="zh-CN"/>
                            </w:rP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52"/>
                    </w:pPr>
                    <w:r>
                      <w:fldChar w:fldCharType="begin"/>
                    </w:r>
                    <w:r>
                      <w:instrText xml:space="preserve">PAGE   \* MERGEFORMAT</w:instrText>
                    </w:r>
                    <w:r>
                      <w:fldChar w:fldCharType="separate"/>
                    </w:r>
                    <w:r>
                      <w:rPr>
                        <w:lang w:val="zh-CN"/>
                      </w:rPr>
                      <w:t>III</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PAGE   \* MERGEFORMAT</w:instrText>
                          </w:r>
                          <w:r>
                            <w:fldChar w:fldCharType="separate"/>
                          </w:r>
                          <w:r>
                            <w:rPr>
                              <w:lang w:val="zh-CN"/>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52"/>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5NmFjMmM4ZTljMGJiZDAxN2JmYTc0NGI0NmFiNDgifQ=="/>
  </w:docVars>
  <w:rsids>
    <w:rsidRoot w:val="007B560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3F6F5A"/>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80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3F"/>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665"/>
    <w:rsid w:val="007A0521"/>
    <w:rsid w:val="007A2E12"/>
    <w:rsid w:val="007A3475"/>
    <w:rsid w:val="007A41C8"/>
    <w:rsid w:val="007A54CE"/>
    <w:rsid w:val="007A6FD9"/>
    <w:rsid w:val="007A7FFA"/>
    <w:rsid w:val="007B04EB"/>
    <w:rsid w:val="007B0D4F"/>
    <w:rsid w:val="007B560C"/>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8C2"/>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1D14"/>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7AD4"/>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396"/>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E14"/>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B7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3D3EE7"/>
    <w:rsid w:val="0F896982"/>
    <w:rsid w:val="11806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99"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99"/>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1">
    <w:name w:val="列表段落"/>
    <w:basedOn w:val="1"/>
    <w:qFormat/>
    <w:uiPriority w:val="0"/>
    <w:pPr>
      <w:adjustRightInd/>
      <w:spacing w:line="240" w:lineRule="auto"/>
      <w:ind w:firstLine="420" w:firstLineChars="200"/>
    </w:pPr>
    <w:rPr>
      <w:rFonts w:ascii="Times New Roman" w:hAnsi="Times New Roman"/>
    </w:rPr>
  </w:style>
  <w:style w:type="paragraph" w:customStyle="1" w:styleId="232">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4.jpe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8A3B84693C748398FB7733FCD150295"/>
        <w:style w:val=""/>
        <w:category>
          <w:name w:val="常规"/>
          <w:gallery w:val="placeholder"/>
        </w:category>
        <w:types>
          <w:type w:val="bbPlcHdr"/>
        </w:types>
        <w:behaviors>
          <w:behavior w:val="content"/>
        </w:behaviors>
        <w:description w:val=""/>
        <w:guid w:val="{7674353D-50CA-4224-A826-B71BE12903B9}"/>
      </w:docPartPr>
      <w:docPartBody>
        <w:p>
          <w:pPr>
            <w:pStyle w:val="5"/>
          </w:pPr>
          <w:r>
            <w:rPr>
              <w:rStyle w:val="4"/>
              <w:rFonts w:hint="eastAsia"/>
            </w:rPr>
            <w:t>单击或点击此处输入文字。</w:t>
          </w:r>
        </w:p>
      </w:docPartBody>
    </w:docPart>
    <w:docPart>
      <w:docPartPr>
        <w:name w:val="51839B148973409090821D9E1FC96D73"/>
        <w:style w:val=""/>
        <w:category>
          <w:name w:val="常规"/>
          <w:gallery w:val="placeholder"/>
        </w:category>
        <w:types>
          <w:type w:val="bbPlcHdr"/>
        </w:types>
        <w:behaviors>
          <w:behavior w:val="content"/>
        </w:behaviors>
        <w:description w:val=""/>
        <w:guid w:val="{77507B2D-2362-4BA6-8290-5689D47372F2}"/>
      </w:docPartPr>
      <w:docPartBody>
        <w:p>
          <w:pPr>
            <w:pStyle w:val="6"/>
          </w:pPr>
          <w:r>
            <w:rPr>
              <w:rStyle w:val="4"/>
              <w:rFonts w:hint="eastAsia"/>
            </w:rPr>
            <w:t>选择一项。</w:t>
          </w:r>
        </w:p>
      </w:docPartBody>
    </w:docPart>
    <w:docPart>
      <w:docPartPr>
        <w:name w:val="767454189B4045A0AF72B9AE4D5DE0E6"/>
        <w:style w:val=""/>
        <w:category>
          <w:name w:val="常规"/>
          <w:gallery w:val="placeholder"/>
        </w:category>
        <w:types>
          <w:type w:val="bbPlcHdr"/>
        </w:types>
        <w:behaviors>
          <w:behavior w:val="content"/>
        </w:behaviors>
        <w:description w:val=""/>
        <w:guid w:val="{55F16470-784F-482E-B9B9-D91FB4A2439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7D8"/>
    <w:rsid w:val="001A0ADA"/>
    <w:rsid w:val="006F67D8"/>
    <w:rsid w:val="00BA2604"/>
    <w:rsid w:val="00BF4949"/>
    <w:rsid w:val="00D77E65"/>
    <w:rsid w:val="00F97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8A3B84693C748398FB7733FCD15029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1839B148973409090821D9E1FC96D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67454189B4045A0AF72B9AE4D5DE0E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0BC397-3B72-4DBC-BD2E-D672787106A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885</Words>
  <Characters>5045</Characters>
  <Lines>42</Lines>
  <Paragraphs>11</Paragraphs>
  <TotalTime>1</TotalTime>
  <ScaleCrop>false</ScaleCrop>
  <LinksUpToDate>false</LinksUpToDate>
  <CharactersWithSpaces>5919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2023-11-13T01:10:00Z</dcterms:created>
  <dc:creator>DELL</dc:creator>
  <dc:description>&lt;config cover="true" show_menu="true" version="1.0.0" doctype="SDKXY"&gt;_x000d_
&lt;/config&gt;</dc:description>
  <cp:lastModifiedBy>苏信</cp:lastModifiedBy>
  <cp:lastPrinted>2020-08-30T10:00:00Z</cp:lastPrinted>
  <dcterms:modified xsi:type="dcterms:W3CDTF">2023-11-30T07:56:43Z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685E6FCF78F04BAA84BC871A5B86E57E_13</vt:lpwstr>
  </property>
</Properties>
</file>