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5</w:t>
            </w:r>
            <w:r>
              <w:rPr>
                <w:rFonts w:hint="eastAsia" w:ascii="黑体" w:hAnsi="黑体" w:eastAsia="黑体"/>
                <w:sz w:val="21"/>
                <w:szCs w:val="21"/>
                <w:lang w:val="en-US" w:eastAsia="zh-CN"/>
              </w:rPr>
              <w:t>9.080.30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W</w:t>
            </w:r>
            <w:r>
              <w:rPr>
                <w:rFonts w:hint="eastAsia" w:ascii="黑体" w:hAnsi="黑体" w:eastAsia="黑体"/>
                <w:sz w:val="21"/>
                <w:szCs w:val="21"/>
                <w:lang w:val="en-US" w:eastAsia="zh-CN"/>
              </w:rPr>
              <w:t>43</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生物基</w:t>
      </w:r>
      <w:r>
        <w:rPr>
          <w:rFonts w:hint="eastAsia"/>
          <w:lang w:eastAsia="zh-CN"/>
        </w:rPr>
        <w:t>聚酯纤维（</w:t>
      </w:r>
      <w:r>
        <w:rPr>
          <w:rFonts w:hint="eastAsia"/>
        </w:rPr>
        <w:t>PTT</w:t>
      </w:r>
      <w:r>
        <w:rPr>
          <w:rFonts w:hint="eastAsia"/>
          <w:lang w:eastAsia="zh-CN"/>
        </w:rPr>
        <w:t>）织物</w:t>
      </w:r>
      <w:r>
        <w:rPr>
          <w:rFonts w:hint="eastAsia"/>
        </w:rPr>
        <w:t>通用技术规范</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General </w:t>
      </w:r>
      <w:r>
        <w:rPr>
          <w:rFonts w:hint="eastAsia" w:eastAsia="黑体"/>
          <w:szCs w:val="28"/>
          <w:lang w:val="en-US" w:eastAsia="zh-CN"/>
        </w:rPr>
        <w:t xml:space="preserve">technical </w:t>
      </w:r>
      <w:r>
        <w:rPr>
          <w:rFonts w:hint="eastAsia" w:eastAsia="黑体"/>
          <w:szCs w:val="28"/>
        </w:rPr>
        <w:t>specification for b</w:t>
      </w:r>
      <w:r>
        <w:rPr>
          <w:rFonts w:eastAsia="黑体"/>
          <w:szCs w:val="28"/>
        </w:rPr>
        <w:t>io-based PTT</w:t>
      </w:r>
      <w:r>
        <w:rPr>
          <w:rFonts w:hint="eastAsia" w:eastAsia="黑体"/>
          <w:szCs w:val="28"/>
          <w:lang w:val="en-US" w:eastAsia="zh-CN"/>
        </w:rPr>
        <w:t xml:space="preserve"> fiber</w:t>
      </w:r>
      <w:r>
        <w:rPr>
          <w:rFonts w:eastAsia="黑体"/>
          <w:szCs w:val="28"/>
        </w:rPr>
        <w:t xml:space="preserve"> fabric</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1"/>
        <w:spacing w:after="468"/>
      </w:pPr>
      <w:bookmarkStart w:id="21" w:name="BookMark2"/>
      <w:r>
        <w:rPr>
          <w:spacing w:val="320"/>
        </w:rPr>
        <w:t>前</w:t>
      </w:r>
      <w:r>
        <w:t>言</w:t>
      </w: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请注意本文件的某些内容可能涉及专利。本文件的发布机构不承担识别专利的责任。</w:t>
      </w:r>
    </w:p>
    <w:p>
      <w:pPr>
        <w:pStyle w:val="58"/>
        <w:ind w:firstLine="420"/>
      </w:pPr>
      <w:r>
        <w:rPr>
          <w:rFonts w:hint="eastAsia"/>
        </w:rPr>
        <w:t>本文件由江苏省工业和信息化厅提出和归口。</w:t>
      </w:r>
    </w:p>
    <w:p>
      <w:pPr>
        <w:pStyle w:val="58"/>
        <w:ind w:firstLine="420"/>
        <w:rPr>
          <w:rFonts w:hint="eastAsia" w:eastAsia="宋体"/>
          <w:lang w:eastAsia="zh-CN"/>
        </w:rPr>
      </w:pPr>
      <w:r>
        <w:rPr>
          <w:rFonts w:hint="eastAsia"/>
        </w:rPr>
        <w:t>本文件起草单位：江苏省纺织工业协会</w:t>
      </w:r>
      <w:r>
        <w:rPr>
          <w:rFonts w:hint="eastAsia"/>
          <w:lang w:eastAsia="zh-CN"/>
        </w:rPr>
        <w:t>、</w:t>
      </w:r>
      <w:r>
        <w:rPr>
          <w:rFonts w:hint="eastAsia"/>
        </w:rPr>
        <w:t>盛虹集团有限公司、江苏苏美达轻纺科技产业有限公司、吴江福华织造有限公司、苏州新民印染有限公司、</w:t>
      </w:r>
      <w:r>
        <w:rPr>
          <w:rFonts w:hint="eastAsia"/>
          <w:lang w:val="en-US" w:eastAsia="zh-CN"/>
        </w:rPr>
        <w:t>江苏舜天股份有限公司、</w:t>
      </w:r>
      <w:r>
        <w:rPr>
          <w:rFonts w:hint="eastAsia"/>
        </w:rPr>
        <w:t>张家港欣欣高纤股份有限公司、吴江飞翔印染有限公司、吴江平望漂染厂有限公司、江苏新视界检验检测认证有限公司、江苏省纺织产品质量监督检验研究院、张家港市纺织行业协会</w:t>
      </w:r>
      <w:r>
        <w:rPr>
          <w:rFonts w:hint="eastAsia"/>
          <w:lang w:eastAsia="zh-CN"/>
        </w:rPr>
        <w:t>。</w:t>
      </w:r>
      <w:bookmarkStart w:id="41" w:name="_GoBack"/>
      <w:bookmarkEnd w:id="41"/>
    </w:p>
    <w:p>
      <w:pPr>
        <w:pStyle w:val="58"/>
        <w:ind w:firstLine="420"/>
        <w:rPr>
          <w:rFonts w:hint="eastAsia" w:ascii="宋体" w:hAnsi="Times New Roman" w:eastAsia="宋体" w:cs="Times New Roman"/>
          <w:kern w:val="0"/>
          <w:sz w:val="21"/>
          <w:lang w:val="en-US" w:eastAsia="zh-CN" w:bidi="ar-SA"/>
        </w:rPr>
      </w:pPr>
      <w:r>
        <w:rPr>
          <w:rFonts w:hint="eastAsia"/>
        </w:rPr>
        <w:t>本文件主要起草人：</w:t>
      </w:r>
      <w:r>
        <w:rPr>
          <w:rFonts w:hint="eastAsia" w:ascii="宋体" w:hAnsi="Times New Roman" w:eastAsia="宋体" w:cs="Times New Roman"/>
          <w:kern w:val="0"/>
          <w:sz w:val="21"/>
          <w:lang w:val="en-US" w:eastAsia="zh-CN" w:bidi="ar-SA"/>
        </w:rPr>
        <w:t>张建国、段佳、濮平、钱琴芳、吴晓飞、陈丹、李昂、陈明、张越、</w:t>
      </w:r>
      <w:r>
        <w:rPr>
          <w:rFonts w:hint="default" w:ascii="宋体" w:hAnsi="Times New Roman" w:eastAsia="宋体" w:cs="Times New Roman"/>
          <w:kern w:val="0"/>
          <w:sz w:val="21"/>
          <w:lang w:val="en-US" w:eastAsia="zh-CN" w:bidi="ar-SA"/>
        </w:rPr>
        <w:t>蔡小庆</w:t>
      </w:r>
      <w:r>
        <w:rPr>
          <w:rFonts w:hint="eastAsia" w:ascii="宋体" w:hAnsi="Times New Roman" w:eastAsia="宋体" w:cs="Times New Roman"/>
          <w:kern w:val="0"/>
          <w:sz w:val="21"/>
          <w:lang w:val="en-US" w:eastAsia="zh-CN" w:bidi="ar-SA"/>
        </w:rPr>
        <w:t>、沙婷婷、王茜璇 、周燕、顾一希</w:t>
      </w:r>
    </w:p>
    <w:p>
      <w:pPr>
        <w:pStyle w:val="58"/>
        <w:ind w:firstLine="420"/>
        <w:rPr>
          <w:rFonts w:hint="eastAsia"/>
        </w:rPr>
      </w:pPr>
    </w:p>
    <w:p>
      <w:pPr>
        <w:pStyle w:val="58"/>
        <w:ind w:firstLine="420"/>
        <w:rPr>
          <w:rFonts w:hint="eastAsia"/>
        </w:rPr>
      </w:pPr>
    </w:p>
    <w:p>
      <w:pPr>
        <w:pStyle w:val="58"/>
        <w:ind w:firstLine="420"/>
        <w:rPr>
          <w:rFonts w:hint="eastAsia"/>
        </w:rPr>
      </w:pPr>
    </w:p>
    <w:p>
      <w:pPr>
        <w:pStyle w:val="58"/>
        <w:ind w:firstLine="420"/>
        <w:rPr>
          <w:rFonts w:hint="eastAsia"/>
        </w:rPr>
      </w:pPr>
    </w:p>
    <w:p>
      <w:pPr>
        <w:pStyle w:val="58"/>
        <w:ind w:firstLine="420"/>
        <w:rPr>
          <w:rFonts w:hint="eastAsia"/>
        </w:rPr>
      </w:pPr>
    </w:p>
    <w:p>
      <w:pPr>
        <w:pStyle w:val="58"/>
        <w:ind w:firstLine="420"/>
      </w:pPr>
    </w:p>
    <w:p>
      <w:pPr>
        <w:pStyle w:val="58"/>
        <w:ind w:firstLine="420"/>
        <w:sectPr>
          <w:headerReference r:id="rId11" w:type="default"/>
          <w:footerReference r:id="rId13" w:type="default"/>
          <w:head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60F33B32D549486AA6816EE663777EB1"/>
        </w:placeholder>
      </w:sdtPr>
      <w:sdtContent>
        <w:p>
          <w:pPr>
            <w:pStyle w:val="179"/>
            <w:spacing w:beforeLines="100" w:afterLines="220"/>
          </w:pPr>
          <w:bookmarkStart w:id="23" w:name="NEW_STAND_NAME"/>
          <w:r>
            <w:rPr>
              <w:rFonts w:hint="eastAsia"/>
            </w:rPr>
            <w:t>生物基</w:t>
          </w:r>
          <w:r>
            <w:rPr>
              <w:rFonts w:hint="eastAsia"/>
              <w:lang w:eastAsia="zh-CN"/>
            </w:rPr>
            <w:t>聚酯纤维（</w:t>
          </w:r>
          <w:r>
            <w:t>PTT</w:t>
          </w:r>
          <w:r>
            <w:rPr>
              <w:rFonts w:hint="eastAsia"/>
              <w:lang w:eastAsia="zh-CN"/>
            </w:rPr>
            <w:t>）织物</w:t>
          </w:r>
          <w:r>
            <w:t>通用技术规范</w:t>
          </w:r>
        </w:p>
      </w:sdtContent>
    </w:sdt>
    <w:bookmarkEnd w:id="23"/>
    <w:p>
      <w:pPr>
        <w:pStyle w:val="106"/>
        <w:spacing w:before="312" w:after="312"/>
      </w:pPr>
      <w:bookmarkStart w:id="24" w:name="_Toc24884218"/>
      <w:bookmarkStart w:id="25" w:name="_Toc26986771"/>
      <w:bookmarkStart w:id="26" w:name="_Toc26986530"/>
      <w:bookmarkStart w:id="27" w:name="_Toc17233333"/>
      <w:bookmarkStart w:id="28" w:name="_Toc26718930"/>
      <w:bookmarkStart w:id="29" w:name="_Toc24884211"/>
      <w:bookmarkStart w:id="30" w:name="_Toc26648465"/>
      <w:bookmarkStart w:id="31" w:name="_Toc17233325"/>
      <w:r>
        <w:rPr>
          <w:rFonts w:hint="eastAsia"/>
        </w:rPr>
        <w:t>范围</w:t>
      </w:r>
      <w:bookmarkEnd w:id="24"/>
      <w:bookmarkEnd w:id="25"/>
      <w:bookmarkEnd w:id="26"/>
      <w:bookmarkEnd w:id="27"/>
      <w:bookmarkEnd w:id="28"/>
      <w:bookmarkEnd w:id="29"/>
      <w:bookmarkEnd w:id="30"/>
      <w:bookmarkEnd w:id="31"/>
    </w:p>
    <w:p>
      <w:pPr>
        <w:pStyle w:val="58"/>
        <w:ind w:firstLine="420"/>
        <w:rPr>
          <w:color w:val="auto"/>
        </w:rPr>
      </w:pPr>
      <w:bookmarkStart w:id="32" w:name="_Toc24884212"/>
      <w:bookmarkStart w:id="33" w:name="_Toc24884219"/>
      <w:bookmarkStart w:id="34" w:name="_Toc26648466"/>
      <w:bookmarkStart w:id="35" w:name="_Toc17233334"/>
      <w:bookmarkStart w:id="36" w:name="_Toc17233326"/>
      <w:r>
        <w:rPr>
          <w:rFonts w:hint="eastAsia"/>
          <w:color w:val="auto"/>
        </w:rPr>
        <w:t>本文件规定了生物基</w:t>
      </w:r>
      <w:r>
        <w:rPr>
          <w:rFonts w:hint="eastAsia"/>
          <w:color w:val="auto"/>
          <w:lang w:eastAsia="zh-CN"/>
        </w:rPr>
        <w:t>聚酯纤维（</w:t>
      </w:r>
      <w:r>
        <w:rPr>
          <w:rFonts w:hint="eastAsia"/>
          <w:color w:val="auto"/>
        </w:rPr>
        <w:t>PTT</w:t>
      </w:r>
      <w:r>
        <w:rPr>
          <w:rFonts w:hint="eastAsia"/>
          <w:color w:val="auto"/>
          <w:lang w:eastAsia="zh-CN"/>
        </w:rPr>
        <w:t>）织物</w:t>
      </w:r>
      <w:r>
        <w:rPr>
          <w:color w:val="auto"/>
        </w:rPr>
        <w:t>的术语和定义、要求、试验方法、检验规则、标志和包装。</w:t>
      </w:r>
    </w:p>
    <w:p>
      <w:pPr>
        <w:pStyle w:val="58"/>
        <w:ind w:firstLine="420"/>
        <w:rPr>
          <w:color w:val="auto"/>
        </w:rPr>
      </w:pPr>
      <w:r>
        <w:rPr>
          <w:rFonts w:hint="eastAsia"/>
          <w:color w:val="auto"/>
        </w:rPr>
        <w:t>本文件适用于以生物基</w:t>
      </w:r>
      <w:r>
        <w:rPr>
          <w:rFonts w:hint="eastAsia"/>
          <w:color w:val="auto"/>
          <w:lang w:eastAsia="zh-CN"/>
        </w:rPr>
        <w:t>聚酯纤维（</w:t>
      </w:r>
      <w:r>
        <w:rPr>
          <w:rFonts w:hint="eastAsia"/>
          <w:color w:val="auto"/>
        </w:rPr>
        <w:t>PTT</w:t>
      </w:r>
      <w:r>
        <w:rPr>
          <w:rFonts w:hint="eastAsia"/>
          <w:color w:val="auto"/>
          <w:lang w:eastAsia="zh-CN"/>
        </w:rPr>
        <w:t>）</w:t>
      </w:r>
      <w:r>
        <w:rPr>
          <w:rFonts w:hint="eastAsia"/>
          <w:color w:val="auto"/>
        </w:rPr>
        <w:t>为主要原料，经</w:t>
      </w:r>
      <w:r>
        <w:rPr>
          <w:rFonts w:hint="eastAsia"/>
          <w:color w:val="auto"/>
          <w:lang w:eastAsia="zh-CN"/>
        </w:rPr>
        <w:t>织造、染整加工</w:t>
      </w:r>
      <w:r>
        <w:rPr>
          <w:rFonts w:hint="eastAsia"/>
          <w:color w:val="auto"/>
        </w:rPr>
        <w:t>制成的</w:t>
      </w:r>
      <w:r>
        <w:rPr>
          <w:rFonts w:hint="eastAsia"/>
          <w:color w:val="auto"/>
          <w:lang w:eastAsia="zh-CN"/>
        </w:rPr>
        <w:t>长丝</w:t>
      </w:r>
      <w:r>
        <w:rPr>
          <w:color w:val="auto"/>
        </w:rPr>
        <w:t>机织</w:t>
      </w:r>
      <w:r>
        <w:rPr>
          <w:rFonts w:hint="eastAsia"/>
          <w:color w:val="auto"/>
          <w:lang w:val="en-US" w:eastAsia="zh-CN"/>
        </w:rPr>
        <w:t>物</w:t>
      </w:r>
      <w:r>
        <w:rPr>
          <w:color w:val="auto"/>
        </w:rPr>
        <w:t>。其他同类织物可参照执行</w:t>
      </w:r>
      <w:r>
        <w:rPr>
          <w:rFonts w:hint="eastAsia"/>
          <w:color w:val="auto"/>
        </w:rPr>
        <w:t>。</w:t>
      </w:r>
    </w:p>
    <w:p>
      <w:pPr>
        <w:pStyle w:val="106"/>
        <w:spacing w:before="312" w:after="312"/>
      </w:pPr>
      <w:bookmarkStart w:id="37" w:name="_Toc26986531"/>
      <w:bookmarkStart w:id="38" w:name="_Toc267189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2C9E3D2C54CF4028BBA5F23608CC34F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rFonts w:hint="eastAsia"/>
        </w:rPr>
      </w:pPr>
      <w:r>
        <w:rPr>
          <w:rFonts w:hint="eastAsia"/>
        </w:rPr>
        <w:t>GB/T 250 纺织品 色牢度试验 评定变色用灰色样卡</w:t>
      </w:r>
    </w:p>
    <w:p>
      <w:pPr>
        <w:pStyle w:val="58"/>
        <w:ind w:firstLine="420"/>
        <w:rPr>
          <w:rFonts w:hint="default" w:eastAsia="宋体"/>
          <w:lang w:val="en-US" w:eastAsia="zh-CN"/>
        </w:rPr>
      </w:pPr>
      <w:r>
        <w:rPr>
          <w:rFonts w:hint="eastAsia"/>
          <w:lang w:val="en-US" w:eastAsia="zh-CN"/>
        </w:rPr>
        <w:t xml:space="preserve">GB/T 2910 </w:t>
      </w:r>
      <w:r>
        <w:rPr>
          <w:rFonts w:hint="eastAsia" w:ascii="Times New Roman" w:hAnsi="Times New Roman"/>
        </w:rPr>
        <w:t>（所有部分）纺织品  定量化学分析</w:t>
      </w:r>
    </w:p>
    <w:p>
      <w:pPr>
        <w:pStyle w:val="58"/>
        <w:ind w:firstLine="420"/>
      </w:pPr>
      <w:r>
        <w:rPr>
          <w:rFonts w:hint="eastAsia"/>
        </w:rPr>
        <w:t>GB/T 3819-1997 纺织品 织物折痕回复性的测定 回复角法</w:t>
      </w:r>
    </w:p>
    <w:p>
      <w:pPr>
        <w:pStyle w:val="58"/>
        <w:ind w:firstLine="420"/>
      </w:pPr>
      <w:r>
        <w:t>GB/T 3917.2-2009</w:t>
      </w:r>
      <w:r>
        <w:rPr>
          <w:rFonts w:hint="eastAsia"/>
        </w:rPr>
        <w:t xml:space="preserve"> 纺织品 织物撕破性能 第2部分：裤型试样（单缝）撕破强力的测定</w:t>
      </w:r>
    </w:p>
    <w:p>
      <w:pPr>
        <w:pStyle w:val="58"/>
        <w:ind w:firstLine="420"/>
      </w:pPr>
      <w:r>
        <w:t>GB/T 3920</w:t>
      </w:r>
      <w:r>
        <w:rPr>
          <w:rFonts w:hint="eastAsia"/>
        </w:rPr>
        <w:t xml:space="preserve"> </w:t>
      </w:r>
      <w:r>
        <w:t>纺织品 色牢度试验</w:t>
      </w:r>
      <w:r>
        <w:rPr>
          <w:rFonts w:hint="eastAsia"/>
        </w:rPr>
        <w:t xml:space="preserve"> </w:t>
      </w:r>
      <w:r>
        <w:t>耐摩擦色牢度</w:t>
      </w:r>
    </w:p>
    <w:p>
      <w:pPr>
        <w:pStyle w:val="58"/>
        <w:ind w:firstLine="420"/>
      </w:pPr>
      <w:r>
        <w:t>GB/T 3921</w:t>
      </w:r>
      <w:r>
        <w:rPr>
          <w:rFonts w:hint="eastAsia"/>
        </w:rPr>
        <w:t xml:space="preserve">-2008 </w:t>
      </w:r>
      <w:r>
        <w:t>纺织品 色牢度试验</w:t>
      </w:r>
      <w:r>
        <w:rPr>
          <w:rFonts w:hint="eastAsia"/>
        </w:rPr>
        <w:t xml:space="preserve"> </w:t>
      </w:r>
      <w:r>
        <w:t>耐皂洗色牢度</w:t>
      </w:r>
    </w:p>
    <w:p>
      <w:pPr>
        <w:pStyle w:val="58"/>
        <w:ind w:firstLine="420"/>
      </w:pPr>
      <w:r>
        <w:t>GB/T 3922</w:t>
      </w:r>
      <w:r>
        <w:rPr>
          <w:rFonts w:hint="eastAsia"/>
        </w:rPr>
        <w:t xml:space="preserve"> </w:t>
      </w:r>
      <w:r>
        <w:t>纺织品 色牢度试验</w:t>
      </w:r>
      <w:r>
        <w:rPr>
          <w:rFonts w:hint="eastAsia"/>
        </w:rPr>
        <w:t xml:space="preserve"> </w:t>
      </w:r>
      <w:r>
        <w:t>耐汗渍色牢度</w:t>
      </w:r>
    </w:p>
    <w:p>
      <w:pPr>
        <w:pStyle w:val="58"/>
        <w:ind w:firstLine="420"/>
      </w:pPr>
      <w:r>
        <w:t>GB/T</w:t>
      </w:r>
      <w:r>
        <w:rPr>
          <w:rFonts w:hint="eastAsia"/>
        </w:rPr>
        <w:t xml:space="preserve"> </w:t>
      </w:r>
      <w:r>
        <w:t>3923.1</w:t>
      </w:r>
      <w:r>
        <w:rPr>
          <w:rFonts w:hint="eastAsia"/>
        </w:rPr>
        <w:t xml:space="preserve">-2013 </w:t>
      </w:r>
      <w:r>
        <w:t>纺织品</w:t>
      </w:r>
      <w:r>
        <w:rPr>
          <w:rFonts w:hint="eastAsia"/>
        </w:rPr>
        <w:t xml:space="preserve"> </w:t>
      </w:r>
      <w:r>
        <w:t>织物拉伸性能</w:t>
      </w:r>
      <w:r>
        <w:rPr>
          <w:rFonts w:hint="eastAsia"/>
        </w:rPr>
        <w:t xml:space="preserve"> </w:t>
      </w:r>
      <w:r>
        <w:t>第l部分：断裂强力和断裂伸长率的测定（条样法）</w:t>
      </w:r>
    </w:p>
    <w:p>
      <w:pPr>
        <w:pStyle w:val="58"/>
        <w:ind w:firstLine="420"/>
      </w:pPr>
      <w:r>
        <w:t>GB/T</w:t>
      </w:r>
      <w:r>
        <w:rPr>
          <w:rFonts w:hint="eastAsia"/>
        </w:rPr>
        <w:t xml:space="preserve"> </w:t>
      </w:r>
      <w:r>
        <w:t>4666</w:t>
      </w:r>
      <w:r>
        <w:rPr>
          <w:rFonts w:hint="eastAsia"/>
        </w:rPr>
        <w:t xml:space="preserve">-2009 </w:t>
      </w:r>
      <w:r>
        <w:t>纺织品 织物长度和幅宽的测定</w:t>
      </w:r>
    </w:p>
    <w:p>
      <w:pPr>
        <w:pStyle w:val="58"/>
        <w:ind w:firstLine="420"/>
      </w:pPr>
      <w:r>
        <w:t>GB/T</w:t>
      </w:r>
      <w:r>
        <w:rPr>
          <w:rFonts w:hint="eastAsia"/>
        </w:rPr>
        <w:t xml:space="preserve"> </w:t>
      </w:r>
      <w:r>
        <w:t>4668</w:t>
      </w:r>
      <w:r>
        <w:rPr>
          <w:rFonts w:hint="eastAsia"/>
        </w:rPr>
        <w:t xml:space="preserve">-1995 </w:t>
      </w:r>
      <w:r>
        <w:t>机织物密度的测定</w:t>
      </w:r>
    </w:p>
    <w:p>
      <w:pPr>
        <w:pStyle w:val="58"/>
        <w:ind w:firstLine="420"/>
      </w:pPr>
      <w:r>
        <w:t>GB/T</w:t>
      </w:r>
      <w:r>
        <w:rPr>
          <w:rFonts w:hint="eastAsia"/>
        </w:rPr>
        <w:t xml:space="preserve"> </w:t>
      </w:r>
      <w:r>
        <w:t>4802.1</w:t>
      </w:r>
      <w:r>
        <w:rPr>
          <w:rFonts w:hint="eastAsia"/>
        </w:rPr>
        <w:t>-2008</w:t>
      </w:r>
      <w:r>
        <w:t xml:space="preserve"> 纺织品 织物起毛起球性能的测定 第l部分：</w:t>
      </w:r>
      <w:r>
        <w:rPr>
          <w:rFonts w:hint="eastAsia"/>
        </w:rPr>
        <w:t>圆</w:t>
      </w:r>
      <w:r>
        <w:t>轨迹法</w:t>
      </w:r>
    </w:p>
    <w:p>
      <w:pPr>
        <w:pStyle w:val="58"/>
        <w:ind w:firstLine="420"/>
      </w:pPr>
      <w:r>
        <w:t>GB/T</w:t>
      </w:r>
      <w:r>
        <w:rPr>
          <w:rFonts w:hint="eastAsia"/>
        </w:rPr>
        <w:t xml:space="preserve"> </w:t>
      </w:r>
      <w:r>
        <w:t>5296.4 消费品使用说明 纺织品和服装使用说明</w:t>
      </w:r>
    </w:p>
    <w:p>
      <w:pPr>
        <w:pStyle w:val="58"/>
        <w:ind w:firstLine="420"/>
      </w:pPr>
      <w:r>
        <w:t>GB/T 5713</w:t>
      </w:r>
      <w:r>
        <w:rPr>
          <w:rFonts w:hint="eastAsia"/>
        </w:rPr>
        <w:t xml:space="preserve"> </w:t>
      </w:r>
      <w:r>
        <w:t>纺织品 色牢度试验</w:t>
      </w:r>
      <w:r>
        <w:rPr>
          <w:rFonts w:hint="eastAsia"/>
        </w:rPr>
        <w:t xml:space="preserve"> </w:t>
      </w:r>
      <w:r>
        <w:t>耐水色牢度</w:t>
      </w:r>
    </w:p>
    <w:p>
      <w:pPr>
        <w:pStyle w:val="58"/>
        <w:ind w:firstLine="420"/>
      </w:pPr>
      <w:r>
        <w:t>GB/T</w:t>
      </w:r>
      <w:r>
        <w:rPr>
          <w:rFonts w:hint="eastAsia"/>
        </w:rPr>
        <w:t xml:space="preserve"> </w:t>
      </w:r>
      <w:r>
        <w:t>6152-1997 纺织品 色牢度试验</w:t>
      </w:r>
      <w:r>
        <w:rPr>
          <w:rFonts w:hint="eastAsia"/>
        </w:rPr>
        <w:t xml:space="preserve"> </w:t>
      </w:r>
      <w:r>
        <w:t>耐热压色牢度</w:t>
      </w:r>
    </w:p>
    <w:p>
      <w:pPr>
        <w:pStyle w:val="58"/>
        <w:ind w:firstLine="420"/>
      </w:pPr>
      <w:r>
        <w:t>GB/T 6529</w:t>
      </w:r>
      <w:r>
        <w:rPr>
          <w:rFonts w:hint="eastAsia"/>
        </w:rPr>
        <w:t xml:space="preserve"> </w:t>
      </w:r>
      <w:r>
        <w:t>纺织品 调湿和试验用标准大气</w:t>
      </w:r>
    </w:p>
    <w:p>
      <w:pPr>
        <w:pStyle w:val="58"/>
        <w:ind w:firstLine="420"/>
      </w:pPr>
      <w:r>
        <w:t>GB/T</w:t>
      </w:r>
      <w:r>
        <w:rPr>
          <w:rFonts w:hint="eastAsia"/>
        </w:rPr>
        <w:t xml:space="preserve"> </w:t>
      </w:r>
      <w:r>
        <w:t>8170</w:t>
      </w:r>
      <w:r>
        <w:rPr>
          <w:rFonts w:hint="eastAsia"/>
        </w:rPr>
        <w:t xml:space="preserve"> </w:t>
      </w:r>
      <w:r>
        <w:t>数值修约规则与极限数值的表示和判定</w:t>
      </w:r>
    </w:p>
    <w:p>
      <w:pPr>
        <w:pStyle w:val="58"/>
        <w:ind w:firstLine="420"/>
      </w:pPr>
      <w:r>
        <w:t>GB/T</w:t>
      </w:r>
      <w:r>
        <w:rPr>
          <w:rFonts w:hint="eastAsia"/>
        </w:rPr>
        <w:t xml:space="preserve"> </w:t>
      </w:r>
      <w:r>
        <w:t>8427-20</w:t>
      </w:r>
      <w:r>
        <w:rPr>
          <w:rFonts w:hint="eastAsia"/>
        </w:rPr>
        <w:t>19</w:t>
      </w:r>
      <w:r>
        <w:t xml:space="preserve"> 纺织品 色牢度试验</w:t>
      </w:r>
      <w:r>
        <w:rPr>
          <w:rFonts w:hint="eastAsia"/>
        </w:rPr>
        <w:t xml:space="preserve"> </w:t>
      </w:r>
      <w:r>
        <w:t>耐人造光</w:t>
      </w:r>
      <w:r>
        <w:rPr>
          <w:rFonts w:hint="eastAsia"/>
        </w:rPr>
        <w:t>色牢度</w:t>
      </w:r>
      <w:r>
        <w:t>：氙弧</w:t>
      </w:r>
    </w:p>
    <w:p>
      <w:pPr>
        <w:pStyle w:val="58"/>
        <w:ind w:firstLine="420"/>
      </w:pPr>
      <w:r>
        <w:t>GB/T</w:t>
      </w:r>
      <w:r>
        <w:rPr>
          <w:rFonts w:hint="eastAsia"/>
        </w:rPr>
        <w:t xml:space="preserve"> </w:t>
      </w:r>
      <w:r>
        <w:t>8628</w:t>
      </w:r>
      <w:r>
        <w:rPr>
          <w:rFonts w:hint="eastAsia"/>
        </w:rPr>
        <w:t xml:space="preserve">-2013 </w:t>
      </w:r>
      <w:r>
        <w:t>纺织品 测定尺寸变化的试验中织物试样和服装的准备、标记及测量</w:t>
      </w:r>
    </w:p>
    <w:p>
      <w:pPr>
        <w:pStyle w:val="58"/>
        <w:ind w:firstLine="420"/>
      </w:pPr>
      <w:r>
        <w:t>GB/T</w:t>
      </w:r>
      <w:r>
        <w:rPr>
          <w:rFonts w:hint="eastAsia"/>
        </w:rPr>
        <w:t xml:space="preserve"> </w:t>
      </w:r>
      <w:r>
        <w:t>8629-20</w:t>
      </w:r>
      <w:r>
        <w:rPr>
          <w:rFonts w:hint="eastAsia"/>
        </w:rPr>
        <w:t>17</w:t>
      </w:r>
      <w:r>
        <w:t xml:space="preserve"> 纺织品 试验用家庭洗涤和干燥程序</w:t>
      </w:r>
    </w:p>
    <w:p>
      <w:pPr>
        <w:pStyle w:val="58"/>
        <w:ind w:firstLine="420"/>
      </w:pPr>
      <w:r>
        <w:t>GB/T</w:t>
      </w:r>
      <w:r>
        <w:rPr>
          <w:rFonts w:hint="eastAsia"/>
        </w:rPr>
        <w:t xml:space="preserve"> </w:t>
      </w:r>
      <w:r>
        <w:t>8630</w:t>
      </w:r>
      <w:r>
        <w:rPr>
          <w:rFonts w:hint="eastAsia"/>
        </w:rPr>
        <w:t xml:space="preserve">-2013 </w:t>
      </w:r>
      <w:r>
        <w:t>纺织品 洗涤和干燥后尺寸变化的测定</w:t>
      </w:r>
    </w:p>
    <w:p>
      <w:pPr>
        <w:pStyle w:val="58"/>
        <w:ind w:firstLine="420"/>
      </w:pPr>
      <w:r>
        <w:rPr>
          <w:rFonts w:hint="eastAsia"/>
        </w:rPr>
        <w:t>GB/T 13772.2-2018 纺织品 机织物接缝处纱线抗滑移的测定 第2部分：定负荷法</w:t>
      </w:r>
    </w:p>
    <w:p>
      <w:pPr>
        <w:pStyle w:val="58"/>
        <w:ind w:firstLine="420"/>
      </w:pPr>
      <w:r>
        <w:t>GB/T</w:t>
      </w:r>
      <w:r>
        <w:rPr>
          <w:rFonts w:hint="eastAsia"/>
        </w:rPr>
        <w:t xml:space="preserve"> </w:t>
      </w:r>
      <w:r>
        <w:t>14801</w:t>
      </w:r>
      <w:r>
        <w:rPr>
          <w:rFonts w:hint="eastAsia"/>
        </w:rPr>
        <w:t xml:space="preserve">-2009 </w:t>
      </w:r>
      <w:r>
        <w:t>机织物与针织物纬斜和弓纬试验方法</w:t>
      </w:r>
    </w:p>
    <w:p>
      <w:pPr>
        <w:pStyle w:val="58"/>
        <w:ind w:firstLine="420"/>
        <w:rPr>
          <w:rFonts w:hint="eastAsia"/>
        </w:rPr>
      </w:pPr>
      <w:r>
        <w:rPr>
          <w:rFonts w:hint="eastAsia"/>
        </w:rPr>
        <w:t>GB/T 17253-2018 合成纤维丝织物</w:t>
      </w:r>
    </w:p>
    <w:p>
      <w:pPr>
        <w:pStyle w:val="58"/>
        <w:ind w:firstLine="420"/>
        <w:rPr>
          <w:rFonts w:hint="eastAsia"/>
        </w:rPr>
      </w:pPr>
      <w:r>
        <w:t>GB 18401</w:t>
      </w:r>
      <w:r>
        <w:rPr>
          <w:rFonts w:hint="eastAsia"/>
        </w:rPr>
        <w:t xml:space="preserve"> </w:t>
      </w:r>
      <w:r>
        <w:t>国家纺织产品基本安全技术规范</w:t>
      </w:r>
    </w:p>
    <w:p>
      <w:pPr>
        <w:pStyle w:val="58"/>
        <w:ind w:firstLine="420"/>
      </w:pPr>
      <w:r>
        <w:t>GB/T 29862</w:t>
      </w:r>
      <w:r>
        <w:rPr>
          <w:rFonts w:hint="eastAsia"/>
        </w:rPr>
        <w:t xml:space="preserve"> </w:t>
      </w:r>
      <w:r>
        <w:t>纺织品纤维含量的标识</w:t>
      </w:r>
    </w:p>
    <w:p>
      <w:pPr>
        <w:pStyle w:val="58"/>
        <w:ind w:firstLine="420"/>
      </w:pPr>
      <w:r>
        <w:rPr>
          <w:rFonts w:hint="eastAsia"/>
        </w:rPr>
        <w:t xml:space="preserve">GB/T </w:t>
      </w:r>
      <w:r>
        <w:rPr>
          <w:rFonts w:hint="eastAsia"/>
          <w:lang w:val="en-US" w:eastAsia="zh-CN"/>
        </w:rPr>
        <w:t>24250-2009</w:t>
      </w:r>
      <w:r>
        <w:rPr>
          <w:rFonts w:hint="eastAsia"/>
        </w:rPr>
        <w:t xml:space="preserve"> 机织物</w:t>
      </w:r>
      <w:r>
        <w:rPr>
          <w:rFonts w:hint="eastAsia"/>
          <w:lang w:val="en-US" w:eastAsia="zh-CN"/>
        </w:rPr>
        <w:t xml:space="preserve"> </w:t>
      </w:r>
      <w:r>
        <w:rPr>
          <w:rFonts w:hint="eastAsia"/>
        </w:rPr>
        <w:t>疵点</w:t>
      </w:r>
      <w:r>
        <w:rPr>
          <w:rFonts w:hint="eastAsia"/>
          <w:lang w:val="en-US" w:eastAsia="zh-CN"/>
        </w:rPr>
        <w:t xml:space="preserve">的描述 </w:t>
      </w:r>
      <w:r>
        <w:rPr>
          <w:rFonts w:hint="eastAsia"/>
        </w:rPr>
        <w:t>术语</w:t>
      </w:r>
    </w:p>
    <w:p>
      <w:pPr>
        <w:pStyle w:val="58"/>
        <w:ind w:firstLine="420"/>
      </w:pPr>
      <w:r>
        <w:t>GB 31701</w:t>
      </w:r>
      <w:r>
        <w:rPr>
          <w:rFonts w:hint="eastAsia"/>
        </w:rPr>
        <w:t xml:space="preserve"> </w:t>
      </w:r>
      <w:r>
        <w:t>婴幼儿及儿童纺织产品安全技术规范</w:t>
      </w:r>
    </w:p>
    <w:p>
      <w:pPr>
        <w:pStyle w:val="58"/>
        <w:ind w:firstLine="420"/>
        <w:rPr>
          <w:rFonts w:hint="default" w:eastAsia="宋体"/>
          <w:lang w:val="en-US" w:eastAsia="zh-CN"/>
        </w:rPr>
      </w:pPr>
      <w:r>
        <w:rPr>
          <w:rFonts w:hint="eastAsia"/>
          <w:lang w:val="en-US" w:eastAsia="zh-CN"/>
        </w:rPr>
        <w:t>GB/T 38015 纺织品 定量化学分析 氨纶与其他某些纤维的混合物</w:t>
      </w:r>
    </w:p>
    <w:p>
      <w:pPr>
        <w:pStyle w:val="58"/>
        <w:ind w:firstLine="420"/>
      </w:pPr>
      <w:r>
        <w:t>FZ/T 01034-2008</w:t>
      </w:r>
      <w:r>
        <w:rPr>
          <w:rFonts w:hint="eastAsia"/>
        </w:rPr>
        <w:t xml:space="preserve"> </w:t>
      </w:r>
      <w:r>
        <w:t>纺织品 机织物拉伸弹性试验方法</w:t>
      </w:r>
    </w:p>
    <w:p>
      <w:pPr>
        <w:pStyle w:val="58"/>
        <w:ind w:firstLine="420"/>
        <w:rPr>
          <w:rFonts w:hint="default" w:eastAsia="宋体"/>
          <w:lang w:val="en-US" w:eastAsia="zh-CN"/>
        </w:rPr>
      </w:pPr>
      <w:r>
        <w:rPr>
          <w:rFonts w:hint="eastAsia"/>
          <w:lang w:val="en-US" w:eastAsia="zh-CN"/>
        </w:rPr>
        <w:t>FZ/T 01057 (所有部分） 纺织纤维鉴别试验方法</w:t>
      </w:r>
    </w:p>
    <w:p>
      <w:pPr>
        <w:pStyle w:val="58"/>
        <w:ind w:firstLine="420"/>
      </w:pPr>
      <w:r>
        <w:t>FZ/T 10005</w:t>
      </w:r>
      <w:r>
        <w:rPr>
          <w:rFonts w:hint="eastAsia"/>
        </w:rPr>
        <w:t>-2018</w:t>
      </w:r>
      <w:r>
        <w:t xml:space="preserve"> 棉及化纤纯纺、混纺印染布检验规则</w:t>
      </w:r>
    </w:p>
    <w:p>
      <w:pPr>
        <w:pStyle w:val="58"/>
        <w:ind w:firstLine="420"/>
      </w:pPr>
      <w:r>
        <w:t>FZ/T 10010</w:t>
      </w:r>
      <w:r>
        <w:rPr>
          <w:rFonts w:hint="eastAsia"/>
        </w:rPr>
        <w:t>-20</w:t>
      </w:r>
      <w:r>
        <w:rPr>
          <w:rFonts w:hint="eastAsia"/>
          <w:lang w:val="en-US" w:eastAsia="zh-CN"/>
        </w:rPr>
        <w:t>18</w:t>
      </w:r>
      <w:r>
        <w:t xml:space="preserve"> 棉及化纤纯纺、混纺印染布标志与包装</w:t>
      </w:r>
    </w:p>
    <w:p>
      <w:pPr>
        <w:pStyle w:val="106"/>
        <w:spacing w:before="312" w:after="312"/>
      </w:pPr>
      <w:r>
        <w:rPr>
          <w:rFonts w:hint="eastAsia"/>
          <w:szCs w:val="21"/>
        </w:rPr>
        <w:t>术语和定义</w:t>
      </w:r>
    </w:p>
    <w:sdt>
      <w:sdtPr>
        <w:id w:val="-1909835108"/>
        <w:placeholder>
          <w:docPart w:val="31BE3B1421DA44CDA074C3C5D4A117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0" w:name="_Toc26986532"/>
          <w:bookmarkEnd w:id="40"/>
          <w:r>
            <w:rPr>
              <w:rFonts w:hint="eastAsia"/>
            </w:rPr>
            <w:t>GB/T 411</w:t>
          </w:r>
          <w:r>
            <w:t>界定的以及下列术语和定义适用于本文件。</w:t>
          </w:r>
        </w:p>
      </w:sdtContent>
    </w:sdt>
    <w:p>
      <w:pPr>
        <w:pStyle w:val="225"/>
        <w:ind w:left="420" w:hanging="420" w:hangingChars="200"/>
        <w:rPr>
          <w:rFonts w:ascii="黑体" w:hAnsi="黑体" w:eastAsia="黑体"/>
        </w:rPr>
      </w:pPr>
      <w:r>
        <w:rPr>
          <w:rFonts w:hint="eastAsia" w:ascii="黑体" w:hAnsi="黑体" w:eastAsia="黑体"/>
        </w:rPr>
        <w:t>生物基</w:t>
      </w:r>
      <w:r>
        <w:rPr>
          <w:rFonts w:hint="eastAsia" w:ascii="黑体" w:hAnsi="黑体" w:eastAsia="黑体"/>
          <w:lang w:val="en-US" w:eastAsia="zh-CN"/>
        </w:rPr>
        <w:t>聚酯（PTT）</w:t>
      </w:r>
      <w:r>
        <w:rPr>
          <w:rFonts w:hint="eastAsia" w:ascii="黑体" w:hAnsi="黑体" w:eastAsia="黑体"/>
        </w:rPr>
        <w:t>纤维 Bio-based PTT fibers</w:t>
      </w:r>
    </w:p>
    <w:p>
      <w:pPr>
        <w:pStyle w:val="58"/>
        <w:ind w:firstLine="420"/>
      </w:pPr>
      <w:r>
        <w:rPr>
          <w:rFonts w:hint="eastAsia"/>
        </w:rPr>
        <w:t>以</w:t>
      </w:r>
      <w:r>
        <w:rPr>
          <w:rFonts w:hint="eastAsia"/>
          <w:lang w:val="en-US" w:eastAsia="zh-CN"/>
        </w:rPr>
        <w:t>生物质</w:t>
      </w:r>
      <w:r>
        <w:rPr>
          <w:rFonts w:hint="eastAsia"/>
        </w:rPr>
        <w:t>甘油或者葡萄糖为原料，</w:t>
      </w:r>
      <w:r>
        <w:rPr>
          <w:rFonts w:hint="eastAsia"/>
          <w:lang w:val="en-US" w:eastAsia="zh-CN"/>
        </w:rPr>
        <w:t>采用</w:t>
      </w:r>
      <w:r>
        <w:rPr>
          <w:rFonts w:hint="eastAsia"/>
        </w:rPr>
        <w:t>生物</w:t>
      </w:r>
      <w:r>
        <w:rPr>
          <w:rFonts w:hint="eastAsia"/>
          <w:lang w:val="en-US" w:eastAsia="zh-CN"/>
        </w:rPr>
        <w:t>发酵制备</w:t>
      </w:r>
      <w:r>
        <w:rPr>
          <w:rFonts w:hint="eastAsia"/>
        </w:rPr>
        <w:t>1,3</w:t>
      </w:r>
      <w:r>
        <w:t>-</w:t>
      </w:r>
      <w:r>
        <w:rPr>
          <w:rFonts w:hint="eastAsia"/>
        </w:rPr>
        <w:t>丙二醇，再通过</w:t>
      </w:r>
      <w:r>
        <w:rPr>
          <w:rFonts w:hint="eastAsia"/>
          <w:lang w:val="en-US" w:eastAsia="zh-CN"/>
        </w:rPr>
        <w:t>酯化、</w:t>
      </w:r>
      <w:r>
        <w:rPr>
          <w:rFonts w:hint="eastAsia"/>
        </w:rPr>
        <w:t>缩聚反应，合成聚对苯二甲酸1,3</w:t>
      </w:r>
      <w:r>
        <w:t>-</w:t>
      </w:r>
      <w:r>
        <w:rPr>
          <w:rFonts w:hint="eastAsia"/>
        </w:rPr>
        <w:t>丙二酯后，经</w:t>
      </w:r>
      <w:r>
        <w:rPr>
          <w:rFonts w:hint="eastAsia"/>
          <w:lang w:eastAsia="zh-CN"/>
        </w:rPr>
        <w:t>纺丝</w:t>
      </w:r>
      <w:r>
        <w:rPr>
          <w:rFonts w:hint="eastAsia"/>
        </w:rPr>
        <w:t>获得的纤维</w:t>
      </w:r>
      <w:r>
        <w:t>。</w:t>
      </w:r>
    </w:p>
    <w:p>
      <w:pPr>
        <w:pStyle w:val="225"/>
        <w:ind w:left="420" w:hanging="420" w:hangingChars="200"/>
        <w:rPr>
          <w:rFonts w:ascii="黑体" w:hAnsi="黑体" w:eastAsia="黑体"/>
        </w:rPr>
      </w:pPr>
      <w:r>
        <w:rPr>
          <w:rFonts w:hint="eastAsia" w:ascii="黑体" w:hAnsi="黑体" w:eastAsia="黑体"/>
        </w:rPr>
        <w:t>生物基</w:t>
      </w:r>
      <w:r>
        <w:rPr>
          <w:rFonts w:hint="eastAsia" w:ascii="黑体" w:hAnsi="黑体" w:eastAsia="黑体"/>
          <w:lang w:val="en-US" w:eastAsia="zh-CN"/>
        </w:rPr>
        <w:t>聚酯（</w:t>
      </w:r>
      <w:r>
        <w:rPr>
          <w:rFonts w:hint="eastAsia" w:ascii="黑体" w:hAnsi="黑体" w:eastAsia="黑体"/>
        </w:rPr>
        <w:t>PTT</w:t>
      </w:r>
      <w:r>
        <w:rPr>
          <w:rFonts w:hint="eastAsia" w:ascii="黑体" w:hAnsi="黑体" w:eastAsia="黑体"/>
          <w:lang w:eastAsia="zh-CN"/>
        </w:rPr>
        <w:t>）</w:t>
      </w:r>
      <w:r>
        <w:rPr>
          <w:rFonts w:hint="eastAsia" w:ascii="黑体" w:hAnsi="黑体" w:eastAsia="黑体"/>
          <w:lang w:val="en-US" w:eastAsia="zh-CN"/>
        </w:rPr>
        <w:t>织物</w:t>
      </w:r>
      <w:r>
        <w:rPr>
          <w:rFonts w:hint="eastAsia" w:ascii="黑体" w:hAnsi="黑体" w:eastAsia="黑体"/>
        </w:rPr>
        <w:t xml:space="preserve"> Bio-based PTT dyed fabric</w:t>
      </w:r>
    </w:p>
    <w:p>
      <w:pPr>
        <w:pStyle w:val="58"/>
      </w:pPr>
      <w:r>
        <w:rPr>
          <w:rFonts w:hint="eastAsia"/>
        </w:rPr>
        <w:t>以生物基</w:t>
      </w:r>
      <w:r>
        <w:rPr>
          <w:rFonts w:hint="eastAsia"/>
          <w:lang w:val="en-US" w:eastAsia="zh-CN"/>
        </w:rPr>
        <w:t>聚酯（</w:t>
      </w:r>
      <w:r>
        <w:rPr>
          <w:rFonts w:hint="eastAsia" w:eastAsiaTheme="minorEastAsia"/>
          <w:color w:val="000000" w:themeColor="text1"/>
          <w:spacing w:val="10"/>
          <w:sz w:val="24"/>
          <w14:textFill>
            <w14:solidFill>
              <w14:schemeClr w14:val="tx1"/>
            </w14:solidFill>
          </w14:textFill>
        </w:rPr>
        <w:t>PTT</w:t>
      </w:r>
      <w:r>
        <w:rPr>
          <w:rFonts w:hint="eastAsia" w:eastAsiaTheme="minorEastAsia"/>
          <w:color w:val="000000" w:themeColor="text1"/>
          <w:spacing w:val="10"/>
          <w:sz w:val="24"/>
          <w:lang w:eastAsia="zh-CN"/>
          <w14:textFill>
            <w14:solidFill>
              <w14:schemeClr w14:val="tx1"/>
            </w14:solidFill>
          </w14:textFill>
        </w:rPr>
        <w:t>）</w:t>
      </w:r>
      <w:r>
        <w:rPr>
          <w:rFonts w:hint="eastAsia"/>
        </w:rPr>
        <w:t>纤维</w:t>
      </w:r>
      <w:r>
        <w:t>为</w:t>
      </w:r>
      <w:r>
        <w:rPr>
          <w:rFonts w:hint="eastAsia"/>
        </w:rPr>
        <w:t>主要</w:t>
      </w:r>
      <w:r>
        <w:t>原料，经</w:t>
      </w:r>
      <w:r>
        <w:rPr>
          <w:rFonts w:hint="eastAsia"/>
          <w:lang w:val="en-US" w:eastAsia="zh-CN"/>
        </w:rPr>
        <w:t>织造、</w:t>
      </w:r>
      <w:r>
        <w:t>染整加工后的</w:t>
      </w:r>
      <w:r>
        <w:rPr>
          <w:rFonts w:hint="eastAsia"/>
          <w:lang w:eastAsia="zh-CN"/>
        </w:rPr>
        <w:t>机织物</w:t>
      </w:r>
      <w:r>
        <w:t>。</w:t>
      </w:r>
    </w:p>
    <w:p>
      <w:pPr>
        <w:pStyle w:val="58"/>
        <w:ind w:firstLine="420"/>
        <w:rPr>
          <w:sz w:val="21"/>
          <w:szCs w:val="21"/>
        </w:rPr>
      </w:pPr>
    </w:p>
    <w:p>
      <w:pPr>
        <w:pStyle w:val="106"/>
        <w:spacing w:before="312" w:after="312"/>
      </w:pPr>
      <w:r>
        <w:rPr>
          <w:rFonts w:hint="eastAsia"/>
        </w:rPr>
        <w:t>要求</w:t>
      </w:r>
    </w:p>
    <w:p>
      <w:pPr>
        <w:pStyle w:val="107"/>
        <w:spacing w:before="156" w:after="156"/>
      </w:pPr>
      <w:r>
        <w:rPr>
          <w:rFonts w:hint="eastAsia"/>
        </w:rPr>
        <w:t>分等规定</w:t>
      </w:r>
    </w:p>
    <w:p>
      <w:pPr>
        <w:pStyle w:val="167"/>
      </w:pPr>
      <w:r>
        <w:rPr>
          <w:rFonts w:hint="eastAsia"/>
        </w:rPr>
        <w:t>产品</w:t>
      </w:r>
      <w:r>
        <w:t>的品等分为优等品、一等品、</w:t>
      </w:r>
      <w:r>
        <w:rPr>
          <w:rFonts w:hint="eastAsia"/>
        </w:rPr>
        <w:t>合格</w:t>
      </w:r>
      <w:r>
        <w:t>品</w:t>
      </w:r>
      <w:r>
        <w:rPr>
          <w:rFonts w:hint="eastAsia"/>
        </w:rPr>
        <w:t>。</w:t>
      </w:r>
    </w:p>
    <w:p>
      <w:pPr>
        <w:pStyle w:val="167"/>
      </w:pPr>
      <w:r>
        <w:rPr>
          <w:rFonts w:hint="eastAsia"/>
          <w:color w:val="auto"/>
          <w:lang w:val="en-US" w:eastAsia="zh-CN"/>
        </w:rPr>
        <w:t>产品</w:t>
      </w:r>
      <w:r>
        <w:t>的评等，内在质量按批评等，外观质量按匹（段）评等，以内在质量和外观质量中最低一项品等作为该匹（段）</w:t>
      </w:r>
      <w:r>
        <w:rPr>
          <w:rFonts w:hint="eastAsia"/>
        </w:rPr>
        <w:t>布</w:t>
      </w:r>
      <w:r>
        <w:t>的品等</w:t>
      </w:r>
      <w:r>
        <w:rPr>
          <w:rFonts w:hint="eastAsia"/>
        </w:rPr>
        <w:t>。</w:t>
      </w:r>
    </w:p>
    <w:p>
      <w:pPr>
        <w:pStyle w:val="167"/>
      </w:pPr>
      <w:r>
        <w:rPr>
          <w:rFonts w:hint="eastAsia"/>
          <w:lang w:eastAsia="zh-CN"/>
        </w:rPr>
        <w:t>在同一匹（段）布内，内在质量以最低一项评等；外观疵点采用每百平方米允许评分的方法评定等级。</w:t>
      </w:r>
    </w:p>
    <w:p>
      <w:pPr>
        <w:pStyle w:val="107"/>
        <w:spacing w:before="156" w:after="156"/>
      </w:pPr>
      <w:r>
        <w:rPr>
          <w:rFonts w:hint="eastAsia"/>
        </w:rPr>
        <w:t>内在质量</w:t>
      </w:r>
    </w:p>
    <w:p>
      <w:pPr>
        <w:pStyle w:val="167"/>
      </w:pPr>
      <w:r>
        <w:rPr>
          <w:rFonts w:hint="eastAsia"/>
        </w:rPr>
        <w:t>产品的</w:t>
      </w:r>
      <w:r>
        <w:rPr>
          <w:rFonts w:hint="eastAsia"/>
          <w:color w:val="auto"/>
        </w:rPr>
        <w:t>基本</w:t>
      </w:r>
      <w:r>
        <w:rPr>
          <w:rFonts w:hint="eastAsia"/>
          <w:color w:val="auto"/>
          <w:lang w:val="en-US" w:eastAsia="zh-CN"/>
        </w:rPr>
        <w:t>安全</w:t>
      </w:r>
      <w:r>
        <w:rPr>
          <w:color w:val="auto"/>
        </w:rPr>
        <w:t>性能</w:t>
      </w:r>
      <w:r>
        <w:rPr>
          <w:rFonts w:hint="eastAsia"/>
          <w:color w:val="auto"/>
        </w:rPr>
        <w:t>要求</w:t>
      </w:r>
      <w:r>
        <w:t>应符合GB18401和GB3170</w:t>
      </w:r>
      <w:r>
        <w:rPr>
          <w:rFonts w:hint="eastAsia"/>
        </w:rPr>
        <w:t>1</w:t>
      </w:r>
      <w:r>
        <w:t>的规定。</w:t>
      </w:r>
    </w:p>
    <w:p>
      <w:pPr>
        <w:pStyle w:val="167"/>
      </w:pPr>
      <w:r>
        <w:rPr>
          <w:rFonts w:hint="eastAsia"/>
        </w:rPr>
        <w:t>内在质量分等规定按表1执行。</w:t>
      </w:r>
    </w:p>
    <w:p>
      <w:pPr>
        <w:pStyle w:val="114"/>
        <w:spacing w:before="156" w:after="156"/>
      </w:pPr>
      <w:r>
        <w:rPr>
          <w:rFonts w:hint="eastAsia"/>
        </w:rPr>
        <w:t>内在质量分等规定</w:t>
      </w:r>
    </w:p>
    <w:tbl>
      <w:tblPr>
        <w:tblStyle w:val="29"/>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2"/>
        <w:gridCol w:w="1560"/>
        <w:gridCol w:w="1564"/>
        <w:gridCol w:w="1564"/>
        <w:gridCol w:w="15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82" w:type="dxa"/>
            <w:gridSpan w:val="2"/>
            <w:tcBorders>
              <w:top w:val="single" w:color="auto" w:sz="8" w:space="0"/>
              <w:bottom w:val="single" w:color="auto" w:sz="8" w:space="0"/>
            </w:tcBorders>
            <w:shd w:val="clear" w:color="auto" w:fill="auto"/>
            <w:vAlign w:val="center"/>
          </w:tcPr>
          <w:p>
            <w:pPr>
              <w:pStyle w:val="180"/>
            </w:pPr>
            <w:r>
              <w:rPr>
                <w:rFonts w:hint="eastAsia"/>
              </w:rPr>
              <w:t>项目</w:t>
            </w:r>
          </w:p>
        </w:tc>
        <w:tc>
          <w:tcPr>
            <w:tcW w:w="1564" w:type="dxa"/>
            <w:tcBorders>
              <w:top w:val="single" w:color="auto" w:sz="8" w:space="0"/>
              <w:bottom w:val="single" w:color="auto" w:sz="8" w:space="0"/>
            </w:tcBorders>
            <w:shd w:val="clear" w:color="auto" w:fill="auto"/>
            <w:vAlign w:val="center"/>
          </w:tcPr>
          <w:p>
            <w:pPr>
              <w:pStyle w:val="180"/>
            </w:pPr>
            <w:r>
              <w:rPr>
                <w:rFonts w:hint="eastAsia"/>
              </w:rPr>
              <w:t>优等品</w:t>
            </w:r>
          </w:p>
        </w:tc>
        <w:tc>
          <w:tcPr>
            <w:tcW w:w="1564" w:type="dxa"/>
            <w:tcBorders>
              <w:top w:val="single" w:color="auto" w:sz="8" w:space="0"/>
              <w:bottom w:val="single" w:color="auto" w:sz="8" w:space="0"/>
            </w:tcBorders>
            <w:shd w:val="clear" w:color="auto" w:fill="auto"/>
            <w:vAlign w:val="center"/>
          </w:tcPr>
          <w:p>
            <w:pPr>
              <w:pStyle w:val="180"/>
            </w:pPr>
            <w:r>
              <w:rPr>
                <w:rFonts w:hint="eastAsia"/>
              </w:rPr>
              <w:t>一等品</w:t>
            </w:r>
          </w:p>
        </w:tc>
        <w:tc>
          <w:tcPr>
            <w:tcW w:w="1564" w:type="dxa"/>
            <w:tcBorders>
              <w:top w:val="single" w:color="auto" w:sz="8" w:space="0"/>
              <w:bottom w:val="single" w:color="auto" w:sz="8" w:space="0"/>
            </w:tcBorders>
            <w:shd w:val="clear" w:color="auto" w:fill="auto"/>
            <w:vAlign w:val="center"/>
          </w:tcPr>
          <w:p>
            <w:pPr>
              <w:pStyle w:val="180"/>
            </w:pPr>
            <w:r>
              <w:rPr>
                <w:rFonts w:hint="eastAsia"/>
              </w:rPr>
              <w:t>合格品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682" w:type="dxa"/>
            <w:gridSpan w:val="2"/>
            <w:tcBorders>
              <w:top w:val="single" w:color="auto" w:sz="8" w:space="0"/>
            </w:tcBorders>
            <w:shd w:val="clear" w:color="auto" w:fill="auto"/>
            <w:vAlign w:val="center"/>
          </w:tcPr>
          <w:p>
            <w:pPr>
              <w:pStyle w:val="180"/>
            </w:pPr>
            <w:r>
              <w:rPr>
                <w:rFonts w:hint="eastAsia"/>
              </w:rPr>
              <w:t>纤维含量/%</w:t>
            </w:r>
          </w:p>
        </w:tc>
        <w:tc>
          <w:tcPr>
            <w:tcW w:w="4692" w:type="dxa"/>
            <w:gridSpan w:val="3"/>
            <w:tcBorders>
              <w:top w:val="single" w:color="auto" w:sz="8" w:space="0"/>
            </w:tcBorders>
            <w:shd w:val="clear" w:color="auto" w:fill="auto"/>
            <w:vAlign w:val="center"/>
          </w:tcPr>
          <w:p>
            <w:pPr>
              <w:pStyle w:val="180"/>
            </w:pPr>
            <w:r>
              <w:rPr>
                <w:rFonts w:hint="eastAsia"/>
              </w:rPr>
              <w:t>按GB/T 29862-2013执行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lang w:eastAsia="zh-CN"/>
              </w:rPr>
              <w:t>经纬</w:t>
            </w:r>
            <w:r>
              <w:rPr>
                <w:rFonts w:hint="eastAsia"/>
              </w:rPr>
              <w:t>密度偏差率/%</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2.0</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3.0</w:t>
            </w:r>
          </w:p>
        </w:tc>
        <w:tc>
          <w:tcPr>
            <w:tcW w:w="1564" w:type="dxa"/>
            <w:shd w:val="clear" w:color="auto" w:fill="auto"/>
            <w:vAlign w:val="center"/>
          </w:tcPr>
          <w:p>
            <w:pPr>
              <w:pStyle w:val="180"/>
              <w:rPr>
                <w:rFonts w:hint="default" w:eastAsia="宋体"/>
                <w:lang w:val="en-US" w:eastAsia="zh-CN"/>
              </w:rPr>
            </w:pPr>
            <w:r>
              <w:rPr>
                <w:rFonts w:hint="eastAsia"/>
              </w:rPr>
              <w:t>±</w:t>
            </w:r>
            <w:r>
              <w:rPr>
                <w:rFonts w:hint="eastAsia"/>
                <w:lang w:val="en-US" w:eastAsia="zh-CN"/>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断裂强力/N                  ≥</w:t>
            </w:r>
          </w:p>
        </w:tc>
        <w:tc>
          <w:tcPr>
            <w:tcW w:w="4692" w:type="dxa"/>
            <w:gridSpan w:val="3"/>
            <w:shd w:val="clear" w:color="auto" w:fill="auto"/>
            <w:vAlign w:val="center"/>
          </w:tcPr>
          <w:p>
            <w:pPr>
              <w:pStyle w:val="180"/>
            </w:pPr>
            <w:r>
              <w:rPr>
                <w:rFonts w:hint="eastAsia"/>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撕破强力/N                  ≥</w:t>
            </w:r>
          </w:p>
        </w:tc>
        <w:tc>
          <w:tcPr>
            <w:tcW w:w="1564" w:type="dxa"/>
            <w:shd w:val="clear" w:color="auto" w:fill="auto"/>
            <w:vAlign w:val="center"/>
          </w:tcPr>
          <w:p>
            <w:pPr>
              <w:pStyle w:val="180"/>
              <w:rPr>
                <w:rFonts w:hint="eastAsia" w:eastAsia="宋体"/>
                <w:lang w:eastAsia="zh-CN"/>
              </w:rPr>
            </w:pPr>
            <w:r>
              <w:rPr>
                <w:rFonts w:hint="eastAsia"/>
                <w:lang w:val="en-US" w:eastAsia="zh-CN"/>
              </w:rPr>
              <w:t>7</w:t>
            </w:r>
          </w:p>
        </w:tc>
        <w:tc>
          <w:tcPr>
            <w:tcW w:w="1564" w:type="dxa"/>
            <w:shd w:val="clear" w:color="auto" w:fill="auto"/>
            <w:vAlign w:val="center"/>
          </w:tcPr>
          <w:p>
            <w:pPr>
              <w:pStyle w:val="180"/>
              <w:rPr>
                <w:rFonts w:hint="eastAsia" w:eastAsia="宋体"/>
                <w:lang w:val="en-US" w:eastAsia="zh-CN"/>
              </w:rPr>
            </w:pPr>
            <w:r>
              <w:rPr>
                <w:rFonts w:hint="eastAsia"/>
                <w:lang w:val="en-US" w:eastAsia="zh-CN"/>
              </w:rPr>
              <w:t>6</w:t>
            </w:r>
          </w:p>
        </w:tc>
        <w:tc>
          <w:tcPr>
            <w:tcW w:w="1564" w:type="dxa"/>
            <w:shd w:val="clear" w:color="auto" w:fill="auto"/>
            <w:vAlign w:val="center"/>
          </w:tcPr>
          <w:p>
            <w:pPr>
              <w:pStyle w:val="180"/>
              <w:rPr>
                <w:rFonts w:hint="eastAsia" w:eastAsia="宋体"/>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水洗尺寸变化率/%</w:t>
            </w:r>
          </w:p>
        </w:tc>
        <w:tc>
          <w:tcPr>
            <w:tcW w:w="4692" w:type="dxa"/>
            <w:gridSpan w:val="3"/>
            <w:shd w:val="clear" w:color="auto" w:fill="auto"/>
            <w:vAlign w:val="center"/>
          </w:tcPr>
          <w:p>
            <w:pPr>
              <w:pStyle w:val="180"/>
            </w:pPr>
            <w:r>
              <w:rPr>
                <w:rFonts w:hint="eastAsia"/>
              </w:rPr>
              <w:t>-2.0</w:t>
            </w:r>
            <w:r>
              <w:rPr>
                <w:rFonts w:ascii="Times New Roman"/>
              </w:rPr>
              <w:t>~</w:t>
            </w: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起毛起球/级                 ≥</w:t>
            </w:r>
          </w:p>
        </w:tc>
        <w:tc>
          <w:tcPr>
            <w:tcW w:w="3128" w:type="dxa"/>
            <w:gridSpan w:val="2"/>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纰裂程度（定负荷）/mm         ≤</w:t>
            </w:r>
          </w:p>
        </w:tc>
        <w:tc>
          <w:tcPr>
            <w:tcW w:w="1564" w:type="dxa"/>
            <w:shd w:val="clear" w:color="auto" w:fill="auto"/>
            <w:vAlign w:val="center"/>
          </w:tcPr>
          <w:p>
            <w:pPr>
              <w:pStyle w:val="180"/>
              <w:rPr>
                <w:rFonts w:hint="eastAsia" w:eastAsia="宋体"/>
                <w:lang w:eastAsia="zh-CN"/>
              </w:rPr>
            </w:pPr>
            <w:r>
              <w:rPr>
                <w:rFonts w:hint="eastAsia"/>
                <w:lang w:val="en-US" w:eastAsia="zh-CN"/>
              </w:rPr>
              <w:t>4</w:t>
            </w:r>
          </w:p>
        </w:tc>
        <w:tc>
          <w:tcPr>
            <w:tcW w:w="3128" w:type="dxa"/>
            <w:gridSpan w:val="2"/>
            <w:shd w:val="clear" w:color="auto" w:fill="auto"/>
            <w:vAlign w:val="center"/>
          </w:tcPr>
          <w:p>
            <w:pPr>
              <w:pStyle w:val="180"/>
              <w:rPr>
                <w:rFonts w:hint="eastAsia" w:eastAsia="宋体"/>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塑性变形率/%                ≤</w:t>
            </w:r>
          </w:p>
        </w:tc>
        <w:tc>
          <w:tcPr>
            <w:tcW w:w="1564" w:type="dxa"/>
            <w:shd w:val="clear" w:color="auto" w:fill="auto"/>
            <w:vAlign w:val="center"/>
          </w:tcPr>
          <w:p>
            <w:pPr>
              <w:pStyle w:val="180"/>
              <w:rPr>
                <w:rFonts w:hint="eastAsia" w:eastAsia="宋体"/>
                <w:lang w:eastAsia="zh-CN"/>
              </w:rPr>
            </w:pPr>
            <w:r>
              <w:rPr>
                <w:rFonts w:hint="eastAsia"/>
                <w:lang w:val="en-US" w:eastAsia="zh-CN"/>
              </w:rPr>
              <w:t>2</w:t>
            </w:r>
          </w:p>
        </w:tc>
        <w:tc>
          <w:tcPr>
            <w:tcW w:w="1564" w:type="dxa"/>
            <w:shd w:val="clear" w:color="auto" w:fill="auto"/>
            <w:vAlign w:val="center"/>
          </w:tcPr>
          <w:p>
            <w:pPr>
              <w:pStyle w:val="180"/>
              <w:rPr>
                <w:rFonts w:hint="eastAsia" w:eastAsia="宋体"/>
                <w:lang w:eastAsia="zh-CN"/>
              </w:rPr>
            </w:pPr>
            <w:r>
              <w:rPr>
                <w:rFonts w:hint="eastAsia"/>
                <w:lang w:val="en-US" w:eastAsia="zh-CN"/>
              </w:rPr>
              <w:t>3</w:t>
            </w:r>
          </w:p>
        </w:tc>
        <w:tc>
          <w:tcPr>
            <w:tcW w:w="1564" w:type="dxa"/>
            <w:shd w:val="clear" w:color="auto" w:fill="auto"/>
            <w:vAlign w:val="center"/>
          </w:tcPr>
          <w:p>
            <w:pPr>
              <w:pStyle w:val="180"/>
              <w:rPr>
                <w:rFonts w:hint="eastAsia" w:eastAsia="宋体"/>
                <w:lang w:eastAsia="zh-CN"/>
              </w:rPr>
            </w:pP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82" w:type="dxa"/>
            <w:gridSpan w:val="2"/>
            <w:shd w:val="clear" w:color="auto" w:fill="auto"/>
            <w:vAlign w:val="center"/>
          </w:tcPr>
          <w:p>
            <w:pPr>
              <w:pStyle w:val="180"/>
            </w:pPr>
            <w:r>
              <w:rPr>
                <w:rFonts w:hint="eastAsia"/>
              </w:rPr>
              <w:t xml:space="preserve">    </w:t>
            </w:r>
            <w:r>
              <w:rPr>
                <w:rFonts w:hint="eastAsia"/>
                <w:lang w:val="en-US" w:eastAsia="zh-CN"/>
              </w:rPr>
              <w:t xml:space="preserve">                </w:t>
            </w:r>
            <w:r>
              <w:rPr>
                <w:rFonts w:hint="eastAsia"/>
              </w:rPr>
              <w:t>总折痕回复角/°</w:t>
            </w:r>
            <w:r>
              <w:rPr>
                <w:rFonts w:hint="eastAsia"/>
                <w:lang w:val="en-US" w:eastAsia="zh-CN"/>
              </w:rPr>
              <w:t xml:space="preserve">             </w:t>
            </w:r>
            <w:r>
              <w:rPr>
                <w:rFonts w:hint="eastAsia"/>
              </w:rPr>
              <w:t>≥</w:t>
            </w:r>
          </w:p>
        </w:tc>
        <w:tc>
          <w:tcPr>
            <w:tcW w:w="1564" w:type="dxa"/>
            <w:shd w:val="clear" w:color="auto" w:fill="auto"/>
            <w:vAlign w:val="center"/>
          </w:tcPr>
          <w:p>
            <w:pPr>
              <w:pStyle w:val="180"/>
            </w:pPr>
            <w:r>
              <w:rPr>
                <w:rFonts w:hint="eastAsia"/>
              </w:rPr>
              <w:t>2</w:t>
            </w:r>
            <w:r>
              <w:rPr>
                <w:rFonts w:hint="eastAsia"/>
                <w:lang w:val="en-US" w:eastAsia="zh-CN"/>
              </w:rPr>
              <w:t>4</w:t>
            </w:r>
            <w:r>
              <w:rPr>
                <w:rFonts w:hint="eastAsia"/>
              </w:rPr>
              <w:t>0</w:t>
            </w:r>
          </w:p>
        </w:tc>
        <w:tc>
          <w:tcPr>
            <w:tcW w:w="1564" w:type="dxa"/>
            <w:shd w:val="clear" w:color="auto" w:fill="auto"/>
            <w:vAlign w:val="center"/>
          </w:tcPr>
          <w:p>
            <w:pPr>
              <w:pStyle w:val="180"/>
            </w:pPr>
            <w:r>
              <w:rPr>
                <w:rFonts w:hint="eastAsia"/>
              </w:rPr>
              <w:t>2</w:t>
            </w:r>
            <w:r>
              <w:rPr>
                <w:rFonts w:hint="eastAsia"/>
                <w:lang w:val="en-US" w:eastAsia="zh-CN"/>
              </w:rPr>
              <w:t>0</w:t>
            </w:r>
            <w:r>
              <w:rPr>
                <w:rFonts w:hint="eastAsia"/>
              </w:rPr>
              <w:t>0</w:t>
            </w:r>
          </w:p>
        </w:tc>
        <w:tc>
          <w:tcPr>
            <w:tcW w:w="1564" w:type="dxa"/>
            <w:shd w:val="clear" w:color="auto" w:fill="auto"/>
            <w:vAlign w:val="center"/>
          </w:tcPr>
          <w:p>
            <w:pPr>
              <w:pStyle w:val="180"/>
            </w:pPr>
            <w:r>
              <w:rPr>
                <w:rFonts w:hint="eastAsia"/>
              </w:rPr>
              <w:t>180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shd w:val="clear" w:color="auto" w:fill="auto"/>
            <w:vAlign w:val="center"/>
          </w:tcPr>
          <w:p>
            <w:pPr>
              <w:pStyle w:val="180"/>
            </w:pPr>
            <w:r>
              <w:rPr>
                <w:rFonts w:hint="eastAsia"/>
              </w:rPr>
              <w:t xml:space="preserve">          耐光色牢度/级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耐皂洗色牢度/级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rPr>
                <w:rFonts w:hint="default" w:eastAsia="宋体"/>
                <w:lang w:val="en-US" w:eastAsia="zh-CN"/>
              </w:rPr>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耐摩擦色牢度/级       ≥</w:t>
            </w:r>
          </w:p>
        </w:tc>
        <w:tc>
          <w:tcPr>
            <w:tcW w:w="1560" w:type="dxa"/>
            <w:shd w:val="clear" w:color="auto" w:fill="auto"/>
            <w:vAlign w:val="center"/>
          </w:tcPr>
          <w:p>
            <w:pPr>
              <w:pStyle w:val="180"/>
            </w:pPr>
            <w:r>
              <w:rPr>
                <w:rFonts w:hint="eastAsia"/>
              </w:rPr>
              <w:t>干摩</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湿摩</w:t>
            </w:r>
          </w:p>
        </w:tc>
        <w:tc>
          <w:tcPr>
            <w:tcW w:w="1564" w:type="dxa"/>
            <w:shd w:val="clear" w:color="auto" w:fill="auto"/>
            <w:vAlign w:val="center"/>
          </w:tcPr>
          <w:p>
            <w:pPr>
              <w:pStyle w:val="180"/>
              <w:rPr>
                <w:rFonts w:hint="eastAsia" w:eastAsia="宋体"/>
                <w:lang w:eastAsia="zh-CN"/>
              </w:rPr>
            </w:pPr>
            <w:r>
              <w:rPr>
                <w:rFonts w:hint="eastAsia"/>
                <w:lang w:val="en-US" w:eastAsia="zh-CN"/>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耐汗渍色牢度/级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rPr>
                <w:rFonts w:hint="default" w:eastAsia="宋体"/>
                <w:lang w:val="en-US" w:eastAsia="zh-CN"/>
              </w:rPr>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jc w:val="center"/>
            </w:pPr>
            <w:r>
              <w:rPr>
                <w:rFonts w:hint="eastAsia"/>
                <w:lang w:val="en-US" w:eastAsia="zh-CN"/>
              </w:rPr>
              <w:t xml:space="preserve">          </w:t>
            </w:r>
            <w:r>
              <w:rPr>
                <w:rFonts w:hint="eastAsia"/>
              </w:rPr>
              <w:t>耐</w:t>
            </w:r>
            <w:r>
              <w:rPr>
                <w:rFonts w:hint="eastAsia"/>
                <w:lang w:val="en-US" w:eastAsia="zh-CN"/>
              </w:rPr>
              <w:t>水</w:t>
            </w:r>
            <w:r>
              <w:rPr>
                <w:rFonts w:hint="eastAsia"/>
              </w:rPr>
              <w:t>色牢度/级      ≥</w:t>
            </w:r>
          </w:p>
        </w:tc>
        <w:tc>
          <w:tcPr>
            <w:tcW w:w="1560"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变色</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沾色</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4</w:t>
            </w:r>
          </w:p>
        </w:tc>
        <w:tc>
          <w:tcPr>
            <w:tcW w:w="1564" w:type="dxa"/>
            <w:shd w:val="clear" w:color="auto" w:fill="auto"/>
            <w:vAlign w:val="center"/>
          </w:tcPr>
          <w:p>
            <w:pPr>
              <w:pStyle w:val="180"/>
              <w:ind w:firstLine="0" w:firstLineChars="0"/>
              <w:rPr>
                <w:rFonts w:hint="eastAsia" w:ascii="宋体" w:hAnsi="Times New Roman" w:eastAsia="宋体" w:cs="Times New Roman"/>
                <w:sz w:val="18"/>
                <w:lang w:val="en-US" w:eastAsia="zh-CN" w:bidi="ar-SA"/>
              </w:rPr>
            </w:pPr>
            <w:r>
              <w:rPr>
                <w:rFonts w:hint="eastAsia"/>
              </w:rPr>
              <w:t>3-4</w:t>
            </w:r>
          </w:p>
        </w:tc>
        <w:tc>
          <w:tcPr>
            <w:tcW w:w="1564" w:type="dxa"/>
            <w:shd w:val="clear" w:color="auto" w:fill="auto"/>
            <w:vAlign w:val="center"/>
          </w:tcPr>
          <w:p>
            <w:pPr>
              <w:pStyle w:val="180"/>
              <w:ind w:firstLine="0" w:firstLineChars="0"/>
              <w:rPr>
                <w:rFonts w:hint="default" w:ascii="宋体" w:hAnsi="Times New Roman" w:eastAsia="宋体" w:cs="Times New Roman"/>
                <w:sz w:val="18"/>
                <w:lang w:val="en-US" w:eastAsia="zh-CN" w:bidi="ar-SA"/>
              </w:rPr>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restart"/>
            <w:shd w:val="clear" w:color="auto" w:fill="auto"/>
            <w:vAlign w:val="center"/>
          </w:tcPr>
          <w:p>
            <w:pPr>
              <w:pStyle w:val="180"/>
            </w:pPr>
            <w:r>
              <w:rPr>
                <w:rFonts w:hint="eastAsia"/>
              </w:rPr>
              <w:t xml:space="preserve">     耐热压（潮压）色牢度/级   ≥</w:t>
            </w:r>
          </w:p>
        </w:tc>
        <w:tc>
          <w:tcPr>
            <w:tcW w:w="1560" w:type="dxa"/>
            <w:shd w:val="clear" w:color="auto" w:fill="auto"/>
            <w:vAlign w:val="center"/>
          </w:tcPr>
          <w:p>
            <w:pPr>
              <w:pStyle w:val="180"/>
            </w:pPr>
            <w:r>
              <w:rPr>
                <w:rFonts w:hint="eastAsia"/>
              </w:rPr>
              <w:t>变色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lang w:val="en-US" w:eastAsia="zh-CN"/>
              </w:rPr>
              <w:t>3-</w:t>
            </w: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2" w:type="dxa"/>
            <w:vMerge w:val="continue"/>
            <w:shd w:val="clear" w:color="auto" w:fill="auto"/>
            <w:vAlign w:val="center"/>
          </w:tcPr>
          <w:p>
            <w:pPr>
              <w:pStyle w:val="180"/>
            </w:pPr>
          </w:p>
        </w:tc>
        <w:tc>
          <w:tcPr>
            <w:tcW w:w="1560" w:type="dxa"/>
            <w:shd w:val="clear" w:color="auto" w:fill="auto"/>
            <w:vAlign w:val="center"/>
          </w:tcPr>
          <w:p>
            <w:pPr>
              <w:pStyle w:val="180"/>
            </w:pPr>
            <w:r>
              <w:rPr>
                <w:rFonts w:hint="eastAsia"/>
              </w:rPr>
              <w:t>沾色</w:t>
            </w:r>
          </w:p>
        </w:tc>
        <w:tc>
          <w:tcPr>
            <w:tcW w:w="1564" w:type="dxa"/>
            <w:shd w:val="clear" w:color="auto" w:fill="auto"/>
            <w:vAlign w:val="center"/>
          </w:tcPr>
          <w:p>
            <w:pPr>
              <w:pStyle w:val="180"/>
            </w:pPr>
            <w:r>
              <w:rPr>
                <w:rFonts w:hint="eastAsia"/>
              </w:rPr>
              <w:t>4</w:t>
            </w:r>
          </w:p>
        </w:tc>
        <w:tc>
          <w:tcPr>
            <w:tcW w:w="1564" w:type="dxa"/>
            <w:shd w:val="clear" w:color="auto" w:fill="auto"/>
            <w:vAlign w:val="center"/>
          </w:tcPr>
          <w:p>
            <w:pPr>
              <w:pStyle w:val="180"/>
            </w:pPr>
            <w:r>
              <w:rPr>
                <w:rFonts w:hint="eastAsia"/>
              </w:rPr>
              <w:t>3-4</w:t>
            </w:r>
          </w:p>
        </w:tc>
        <w:tc>
          <w:tcPr>
            <w:tcW w:w="1564" w:type="dxa"/>
            <w:shd w:val="clear" w:color="auto" w:fill="auto"/>
            <w:vAlign w:val="center"/>
          </w:tcPr>
          <w:p>
            <w:pPr>
              <w:pStyle w:val="180"/>
            </w:pPr>
            <w:r>
              <w:rPr>
                <w:rFonts w:hint="eastAsia"/>
              </w:rPr>
              <w:t>3</w:t>
            </w:r>
          </w:p>
        </w:tc>
      </w:tr>
    </w:tbl>
    <w:p>
      <w:pPr>
        <w:pStyle w:val="107"/>
        <w:spacing w:before="156" w:after="156"/>
      </w:pPr>
      <w:r>
        <w:rPr>
          <w:rFonts w:hint="eastAsia"/>
        </w:rPr>
        <w:t>外观质量</w:t>
      </w:r>
    </w:p>
    <w:p>
      <w:pPr>
        <w:pStyle w:val="167"/>
      </w:pPr>
      <w:r>
        <w:rPr>
          <w:rFonts w:hint="eastAsia"/>
        </w:rPr>
        <w:t>分等规定按表2执行。</w:t>
      </w:r>
    </w:p>
    <w:p>
      <w:pPr>
        <w:pStyle w:val="114"/>
        <w:spacing w:before="156" w:after="156"/>
      </w:pPr>
      <w:r>
        <w:rPr>
          <w:rFonts w:hint="eastAsia"/>
        </w:rPr>
        <w:t>外观质量分等规定</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29"/>
        <w:gridCol w:w="2081"/>
        <w:gridCol w:w="2082"/>
        <w:gridCol w:w="20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9" w:type="dxa"/>
            <w:tcBorders>
              <w:top w:val="single" w:color="auto" w:sz="8" w:space="0"/>
              <w:bottom w:val="single" w:color="auto" w:sz="8" w:space="0"/>
            </w:tcBorders>
            <w:shd w:val="clear" w:color="auto" w:fill="auto"/>
            <w:vAlign w:val="center"/>
          </w:tcPr>
          <w:p>
            <w:pPr>
              <w:pStyle w:val="180"/>
            </w:pPr>
            <w:r>
              <w:rPr>
                <w:rFonts w:hint="eastAsia"/>
              </w:rPr>
              <w:t>项目</w:t>
            </w:r>
          </w:p>
        </w:tc>
        <w:tc>
          <w:tcPr>
            <w:tcW w:w="2081" w:type="dxa"/>
            <w:tcBorders>
              <w:top w:val="single" w:color="auto" w:sz="8" w:space="0"/>
              <w:bottom w:val="single" w:color="auto" w:sz="8" w:space="0"/>
            </w:tcBorders>
            <w:shd w:val="clear" w:color="auto" w:fill="auto"/>
            <w:vAlign w:val="center"/>
          </w:tcPr>
          <w:p>
            <w:pPr>
              <w:pStyle w:val="180"/>
            </w:pPr>
            <w:r>
              <w:rPr>
                <w:rFonts w:hint="eastAsia"/>
              </w:rPr>
              <w:t>优等品</w:t>
            </w:r>
          </w:p>
        </w:tc>
        <w:tc>
          <w:tcPr>
            <w:tcW w:w="2082" w:type="dxa"/>
            <w:tcBorders>
              <w:top w:val="single" w:color="auto" w:sz="8" w:space="0"/>
              <w:bottom w:val="single" w:color="auto" w:sz="8" w:space="0"/>
            </w:tcBorders>
            <w:shd w:val="clear" w:color="auto" w:fill="auto"/>
            <w:vAlign w:val="center"/>
          </w:tcPr>
          <w:p>
            <w:pPr>
              <w:pStyle w:val="180"/>
            </w:pPr>
            <w:r>
              <w:rPr>
                <w:rFonts w:hint="eastAsia"/>
              </w:rPr>
              <w:t>一等品</w:t>
            </w:r>
          </w:p>
        </w:tc>
        <w:tc>
          <w:tcPr>
            <w:tcW w:w="2082" w:type="dxa"/>
            <w:tcBorders>
              <w:top w:val="single" w:color="auto" w:sz="8" w:space="0"/>
              <w:bottom w:val="single" w:color="auto" w:sz="8" w:space="0"/>
            </w:tcBorders>
            <w:shd w:val="clear" w:color="auto" w:fill="auto"/>
            <w:vAlign w:val="center"/>
          </w:tcPr>
          <w:p>
            <w:pPr>
              <w:pStyle w:val="180"/>
            </w:pPr>
            <w:r>
              <w:rPr>
                <w:rFonts w:hint="eastAsia"/>
              </w:rPr>
              <w:t>合格品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tcBorders>
              <w:top w:val="single" w:color="auto" w:sz="8" w:space="0"/>
            </w:tcBorders>
            <w:shd w:val="clear" w:color="auto" w:fill="auto"/>
            <w:vAlign w:val="center"/>
          </w:tcPr>
          <w:p>
            <w:pPr>
              <w:pStyle w:val="180"/>
            </w:pPr>
            <w:r>
              <w:rPr>
                <w:rFonts w:hint="eastAsia"/>
              </w:rPr>
              <w:t>幅宽偏差率/%</w:t>
            </w:r>
          </w:p>
        </w:tc>
        <w:tc>
          <w:tcPr>
            <w:tcW w:w="2081" w:type="dxa"/>
            <w:tcBorders>
              <w:top w:val="single" w:color="auto" w:sz="8" w:space="0"/>
            </w:tcBorders>
            <w:shd w:val="clear" w:color="auto" w:fill="auto"/>
            <w:vAlign w:val="center"/>
          </w:tcPr>
          <w:p>
            <w:pPr>
              <w:pStyle w:val="180"/>
            </w:pPr>
            <w:r>
              <w:rPr>
                <w:rFonts w:hint="eastAsia"/>
              </w:rPr>
              <w:t>-1.0</w:t>
            </w:r>
            <w:r>
              <w:rPr>
                <w:rFonts w:ascii="Times New Roman"/>
              </w:rPr>
              <w:t>~</w:t>
            </w:r>
            <w:r>
              <w:rPr>
                <w:rFonts w:hint="eastAsia"/>
              </w:rPr>
              <w:t>+2.0</w:t>
            </w:r>
          </w:p>
        </w:tc>
        <w:tc>
          <w:tcPr>
            <w:tcW w:w="4164" w:type="dxa"/>
            <w:gridSpan w:val="2"/>
            <w:tcBorders>
              <w:top w:val="single" w:color="auto" w:sz="8" w:space="0"/>
            </w:tcBorders>
            <w:shd w:val="clear" w:color="auto" w:fill="auto"/>
            <w:vAlign w:val="center"/>
          </w:tcPr>
          <w:p>
            <w:pPr>
              <w:pStyle w:val="180"/>
            </w:pPr>
            <w:r>
              <w:rPr>
                <w:rFonts w:hint="eastAsia"/>
              </w:rPr>
              <w:t>-2.0</w:t>
            </w:r>
            <w:r>
              <w:rPr>
                <w:rFonts w:ascii="Times New Roman"/>
              </w:rPr>
              <w:t>~</w:t>
            </w: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shd w:val="clear" w:color="auto" w:fill="auto"/>
            <w:vAlign w:val="center"/>
          </w:tcPr>
          <w:p>
            <w:pPr>
              <w:pStyle w:val="180"/>
              <w:rPr>
                <w:rFonts w:hint="eastAsia" w:eastAsia="宋体"/>
                <w:lang w:eastAsia="zh-CN"/>
              </w:rPr>
            </w:pPr>
            <w:r>
              <w:rPr>
                <w:rFonts w:hint="eastAsia"/>
                <w:lang w:val="en-US" w:eastAsia="zh-CN"/>
              </w:rPr>
              <w:t xml:space="preserve">        </w:t>
            </w:r>
            <w:r>
              <w:rPr>
                <w:rFonts w:hint="eastAsia"/>
              </w:rPr>
              <w:t>色差（与标样对比）/</w:t>
            </w:r>
            <w:r>
              <w:rPr>
                <w:rFonts w:hint="eastAsia"/>
                <w:lang w:eastAsia="zh-CN"/>
              </w:rPr>
              <w:t>级</w:t>
            </w:r>
            <w:r>
              <w:rPr>
                <w:rFonts w:hint="eastAsia"/>
                <w:lang w:val="en-US" w:eastAsia="zh-CN"/>
              </w:rPr>
              <w:t xml:space="preserve">  </w:t>
            </w:r>
            <w:r>
              <w:rPr>
                <w:rFonts w:hint="eastAsia"/>
                <w:lang w:eastAsia="zh-CN"/>
              </w:rPr>
              <w:t>≥</w:t>
            </w:r>
          </w:p>
        </w:tc>
        <w:tc>
          <w:tcPr>
            <w:tcW w:w="2081" w:type="dxa"/>
            <w:shd w:val="clear" w:color="auto" w:fill="auto"/>
            <w:vAlign w:val="center"/>
          </w:tcPr>
          <w:p>
            <w:pPr>
              <w:pStyle w:val="180"/>
            </w:pPr>
            <w:r>
              <w:rPr>
                <w:rFonts w:hint="eastAsia"/>
              </w:rPr>
              <w:t>4</w:t>
            </w:r>
          </w:p>
        </w:tc>
        <w:tc>
          <w:tcPr>
            <w:tcW w:w="4164" w:type="dxa"/>
            <w:gridSpan w:val="2"/>
            <w:shd w:val="clear" w:color="auto" w:fill="auto"/>
            <w:vAlign w:val="center"/>
          </w:tcPr>
          <w:p>
            <w:pPr>
              <w:pStyle w:val="180"/>
            </w:pPr>
            <w:r>
              <w:rPr>
                <w:rFonts w:hint="eastAsia"/>
              </w:rPr>
              <w:t>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9" w:type="dxa"/>
            <w:shd w:val="clear" w:color="auto" w:fill="auto"/>
            <w:vAlign w:val="center"/>
          </w:tcPr>
          <w:p>
            <w:pPr>
              <w:pStyle w:val="180"/>
            </w:pPr>
            <w:r>
              <w:rPr>
                <w:rFonts w:hint="eastAsia"/>
                <w:lang w:val="en-US" w:eastAsia="zh-CN"/>
              </w:rPr>
              <w:t xml:space="preserve">  </w:t>
            </w:r>
            <w:r>
              <w:rPr>
                <w:rFonts w:hint="eastAsia"/>
              </w:rPr>
              <w:t>外观疵点评分限度/（分/100m</w:t>
            </w:r>
            <w:r>
              <w:rPr>
                <w:rFonts w:hint="eastAsia"/>
                <w:vertAlign w:val="superscript"/>
              </w:rPr>
              <w:t>2</w:t>
            </w:r>
            <w:r>
              <w:rPr>
                <w:rFonts w:hint="eastAsia"/>
              </w:rPr>
              <w:t>）≤</w:t>
            </w:r>
          </w:p>
        </w:tc>
        <w:tc>
          <w:tcPr>
            <w:tcW w:w="2081" w:type="dxa"/>
            <w:shd w:val="clear" w:color="auto" w:fill="auto"/>
            <w:vAlign w:val="center"/>
          </w:tcPr>
          <w:p>
            <w:pPr>
              <w:pStyle w:val="180"/>
            </w:pPr>
            <w:r>
              <w:rPr>
                <w:rFonts w:hint="eastAsia"/>
              </w:rPr>
              <w:t>10</w:t>
            </w:r>
          </w:p>
        </w:tc>
        <w:tc>
          <w:tcPr>
            <w:tcW w:w="2082" w:type="dxa"/>
            <w:shd w:val="clear" w:color="auto" w:fill="auto"/>
            <w:vAlign w:val="center"/>
          </w:tcPr>
          <w:p>
            <w:pPr>
              <w:pStyle w:val="180"/>
            </w:pPr>
            <w:r>
              <w:rPr>
                <w:rFonts w:hint="eastAsia"/>
              </w:rPr>
              <w:t>20</w:t>
            </w:r>
          </w:p>
        </w:tc>
        <w:tc>
          <w:tcPr>
            <w:tcW w:w="2082" w:type="dxa"/>
            <w:shd w:val="clear" w:color="auto" w:fill="auto"/>
            <w:vAlign w:val="center"/>
          </w:tcPr>
          <w:p>
            <w:pPr>
              <w:pStyle w:val="180"/>
            </w:pPr>
            <w:r>
              <w:rPr>
                <w:rFonts w:hint="eastAsia"/>
              </w:rPr>
              <w:t>40</w:t>
            </w:r>
          </w:p>
        </w:tc>
      </w:tr>
    </w:tbl>
    <w:p>
      <w:pPr>
        <w:pStyle w:val="167"/>
      </w:pPr>
      <w:r>
        <w:rPr>
          <w:rFonts w:hint="eastAsia"/>
        </w:rPr>
        <w:t>外观疵点评分按表3执行。</w:t>
      </w:r>
    </w:p>
    <w:p>
      <w:pPr>
        <w:pStyle w:val="114"/>
        <w:spacing w:before="156" w:after="156"/>
      </w:pPr>
      <w:r>
        <w:rPr>
          <w:rFonts w:hint="eastAsia"/>
        </w:rPr>
        <w:t>外观疵点评分表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19"/>
        <w:gridCol w:w="2268"/>
        <w:gridCol w:w="1596"/>
        <w:gridCol w:w="1597"/>
        <w:gridCol w:w="1597"/>
        <w:gridCol w:w="1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19" w:type="dxa"/>
            <w:vMerge w:val="restart"/>
            <w:tcBorders>
              <w:top w:val="single" w:color="auto" w:sz="8" w:space="0"/>
            </w:tcBorders>
            <w:shd w:val="clear" w:color="auto" w:fill="auto"/>
            <w:vAlign w:val="center"/>
          </w:tcPr>
          <w:p>
            <w:pPr>
              <w:pStyle w:val="180"/>
            </w:pPr>
            <w:r>
              <w:rPr>
                <w:rFonts w:hint="eastAsia"/>
              </w:rPr>
              <w:t>序号</w:t>
            </w:r>
          </w:p>
        </w:tc>
        <w:tc>
          <w:tcPr>
            <w:tcW w:w="2268" w:type="dxa"/>
            <w:vMerge w:val="restart"/>
            <w:tcBorders>
              <w:top w:val="single" w:color="auto" w:sz="8" w:space="0"/>
            </w:tcBorders>
            <w:shd w:val="clear" w:color="auto" w:fill="auto"/>
            <w:vAlign w:val="center"/>
          </w:tcPr>
          <w:p>
            <w:pPr>
              <w:pStyle w:val="180"/>
            </w:pPr>
            <w:r>
              <w:rPr>
                <w:rFonts w:hint="eastAsia"/>
              </w:rPr>
              <w:t>疵点名称</w:t>
            </w:r>
            <w:r>
              <w:rPr>
                <w:rFonts w:hint="eastAsia"/>
                <w:vertAlign w:val="superscript"/>
              </w:rPr>
              <w:t>a</w:t>
            </w:r>
          </w:p>
        </w:tc>
        <w:tc>
          <w:tcPr>
            <w:tcW w:w="6387" w:type="dxa"/>
            <w:gridSpan w:val="4"/>
            <w:tcBorders>
              <w:top w:val="single" w:color="auto" w:sz="8" w:space="0"/>
              <w:bottom w:val="single" w:color="auto" w:sz="8" w:space="0"/>
            </w:tcBorders>
            <w:shd w:val="clear" w:color="auto" w:fill="auto"/>
            <w:vAlign w:val="center"/>
          </w:tcPr>
          <w:p>
            <w:pPr>
              <w:pStyle w:val="180"/>
            </w:pPr>
            <w:r>
              <w:rPr>
                <w:rFonts w:hint="eastAsia"/>
              </w:rPr>
              <w:t>分数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vMerge w:val="continue"/>
            <w:shd w:val="clear" w:color="auto" w:fill="auto"/>
            <w:vAlign w:val="center"/>
          </w:tcPr>
          <w:p>
            <w:pPr>
              <w:pStyle w:val="180"/>
            </w:pPr>
          </w:p>
        </w:tc>
        <w:tc>
          <w:tcPr>
            <w:tcW w:w="2268" w:type="dxa"/>
            <w:vMerge w:val="continue"/>
            <w:shd w:val="clear" w:color="auto" w:fill="auto"/>
            <w:vAlign w:val="center"/>
          </w:tcPr>
          <w:p>
            <w:pPr>
              <w:pStyle w:val="180"/>
            </w:pPr>
          </w:p>
        </w:tc>
        <w:tc>
          <w:tcPr>
            <w:tcW w:w="1596" w:type="dxa"/>
            <w:tcBorders>
              <w:top w:val="single" w:color="auto" w:sz="8" w:space="0"/>
            </w:tcBorders>
            <w:shd w:val="clear" w:color="auto" w:fill="auto"/>
            <w:vAlign w:val="center"/>
          </w:tcPr>
          <w:p>
            <w:pPr>
              <w:pStyle w:val="180"/>
            </w:pPr>
            <w:r>
              <w:rPr>
                <w:rFonts w:hint="eastAsia"/>
              </w:rPr>
              <w:t>1</w:t>
            </w:r>
          </w:p>
        </w:tc>
        <w:tc>
          <w:tcPr>
            <w:tcW w:w="1597" w:type="dxa"/>
            <w:tcBorders>
              <w:top w:val="single" w:color="auto" w:sz="8" w:space="0"/>
            </w:tcBorders>
            <w:shd w:val="clear" w:color="auto" w:fill="auto"/>
            <w:vAlign w:val="center"/>
          </w:tcPr>
          <w:p>
            <w:pPr>
              <w:pStyle w:val="180"/>
            </w:pPr>
            <w:r>
              <w:rPr>
                <w:rFonts w:hint="eastAsia"/>
              </w:rPr>
              <w:t>2</w:t>
            </w:r>
          </w:p>
        </w:tc>
        <w:tc>
          <w:tcPr>
            <w:tcW w:w="1597" w:type="dxa"/>
            <w:tcBorders>
              <w:top w:val="single" w:color="auto" w:sz="8" w:space="0"/>
            </w:tcBorders>
            <w:shd w:val="clear" w:color="auto" w:fill="auto"/>
            <w:vAlign w:val="center"/>
          </w:tcPr>
          <w:p>
            <w:pPr>
              <w:pStyle w:val="180"/>
            </w:pPr>
            <w:r>
              <w:rPr>
                <w:rFonts w:hint="eastAsia"/>
              </w:rPr>
              <w:t>3</w:t>
            </w:r>
          </w:p>
        </w:tc>
        <w:tc>
          <w:tcPr>
            <w:tcW w:w="1597" w:type="dxa"/>
            <w:tcBorders>
              <w:top w:val="single" w:color="auto" w:sz="8" w:space="0"/>
            </w:tcBorders>
            <w:shd w:val="clear" w:color="auto" w:fill="auto"/>
            <w:vAlign w:val="center"/>
          </w:tcPr>
          <w:p>
            <w:pPr>
              <w:pStyle w:val="180"/>
            </w:pPr>
            <w:r>
              <w:rPr>
                <w:rFonts w:hint="eastAsi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1</w:t>
            </w:r>
          </w:p>
        </w:tc>
        <w:tc>
          <w:tcPr>
            <w:tcW w:w="2268" w:type="dxa"/>
            <w:shd w:val="clear" w:color="auto" w:fill="auto"/>
            <w:vAlign w:val="center"/>
          </w:tcPr>
          <w:p>
            <w:pPr>
              <w:pStyle w:val="180"/>
            </w:pPr>
            <w:r>
              <w:rPr>
                <w:rFonts w:hint="eastAsia"/>
              </w:rPr>
              <w:t>经向疵点</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cm以上～16 cm</w:t>
            </w:r>
          </w:p>
        </w:tc>
        <w:tc>
          <w:tcPr>
            <w:tcW w:w="1597" w:type="dxa"/>
            <w:shd w:val="clear" w:color="auto" w:fill="auto"/>
          </w:tcPr>
          <w:p>
            <w:pPr>
              <w:pStyle w:val="180"/>
            </w:pPr>
            <w:r>
              <w:rPr>
                <w:rFonts w:hint="eastAsia"/>
              </w:rPr>
              <w:t>16 cm以上～24 cm</w:t>
            </w:r>
          </w:p>
        </w:tc>
        <w:tc>
          <w:tcPr>
            <w:tcW w:w="1597" w:type="dxa"/>
            <w:shd w:val="clear" w:color="auto" w:fill="auto"/>
          </w:tcPr>
          <w:p>
            <w:pPr>
              <w:pStyle w:val="180"/>
            </w:pPr>
            <w:r>
              <w:rPr>
                <w:rFonts w:hint="eastAsia"/>
              </w:rPr>
              <w:t>24 cm以上～100 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2</w:t>
            </w:r>
          </w:p>
        </w:tc>
        <w:tc>
          <w:tcPr>
            <w:tcW w:w="2268" w:type="dxa"/>
            <w:shd w:val="clear" w:color="auto" w:fill="auto"/>
            <w:vAlign w:val="center"/>
          </w:tcPr>
          <w:p>
            <w:pPr>
              <w:pStyle w:val="180"/>
            </w:pPr>
            <w:r>
              <w:rPr>
                <w:rFonts w:hint="eastAsia"/>
              </w:rPr>
              <w:t>纬向疵点</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cm以上～半幅</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半幅以上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3</w:t>
            </w:r>
          </w:p>
        </w:tc>
        <w:tc>
          <w:tcPr>
            <w:tcW w:w="2268" w:type="dxa"/>
            <w:shd w:val="clear" w:color="auto" w:fill="auto"/>
            <w:vAlign w:val="center"/>
          </w:tcPr>
          <w:p>
            <w:pPr>
              <w:pStyle w:val="180"/>
            </w:pPr>
            <w:r>
              <w:rPr>
                <w:rFonts w:hint="eastAsia"/>
              </w:rPr>
              <w:t>纬档</w:t>
            </w:r>
            <w:r>
              <w:rPr>
                <w:rFonts w:hint="eastAsia"/>
                <w:vertAlign w:val="superscript"/>
              </w:rPr>
              <w:t>b</w:t>
            </w:r>
          </w:p>
        </w:tc>
        <w:tc>
          <w:tcPr>
            <w:tcW w:w="1596" w:type="dxa"/>
            <w:shd w:val="clear" w:color="auto" w:fill="auto"/>
          </w:tcPr>
          <w:p>
            <w:pPr>
              <w:pStyle w:val="180"/>
            </w:pPr>
            <w:r>
              <w:rPr>
                <w:rFonts w:hint="eastAsia"/>
              </w:rPr>
              <w:t>--</w:t>
            </w:r>
          </w:p>
        </w:tc>
        <w:tc>
          <w:tcPr>
            <w:tcW w:w="1597" w:type="dxa"/>
            <w:shd w:val="clear" w:color="auto" w:fill="auto"/>
          </w:tcPr>
          <w:p>
            <w:pPr>
              <w:pStyle w:val="180"/>
            </w:pPr>
            <w:r>
              <w:rPr>
                <w:rFonts w:hint="eastAsia"/>
              </w:rPr>
              <w:t>普通</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明显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4</w:t>
            </w:r>
          </w:p>
        </w:tc>
        <w:tc>
          <w:tcPr>
            <w:tcW w:w="2268" w:type="dxa"/>
            <w:shd w:val="clear" w:color="auto" w:fill="auto"/>
            <w:vAlign w:val="center"/>
          </w:tcPr>
          <w:p>
            <w:pPr>
              <w:pStyle w:val="180"/>
            </w:pPr>
            <w:r>
              <w:rPr>
                <w:rFonts w:hint="eastAsia"/>
              </w:rPr>
              <w:t>染整疵</w:t>
            </w:r>
          </w:p>
        </w:tc>
        <w:tc>
          <w:tcPr>
            <w:tcW w:w="1596" w:type="dxa"/>
            <w:shd w:val="clear" w:color="auto" w:fill="auto"/>
          </w:tcPr>
          <w:p>
            <w:pPr>
              <w:pStyle w:val="180"/>
            </w:pPr>
            <w:r>
              <w:rPr>
                <w:rFonts w:hint="eastAsia"/>
              </w:rPr>
              <w:t>8 cm及以下</w:t>
            </w:r>
          </w:p>
        </w:tc>
        <w:tc>
          <w:tcPr>
            <w:tcW w:w="1597" w:type="dxa"/>
            <w:shd w:val="clear" w:color="auto" w:fill="auto"/>
          </w:tcPr>
          <w:p>
            <w:pPr>
              <w:pStyle w:val="180"/>
            </w:pPr>
            <w:r>
              <w:rPr>
                <w:rFonts w:hint="eastAsia"/>
              </w:rPr>
              <w:t>8 cm以上～16 cm</w:t>
            </w:r>
          </w:p>
        </w:tc>
        <w:tc>
          <w:tcPr>
            <w:tcW w:w="1597" w:type="dxa"/>
            <w:shd w:val="clear" w:color="auto" w:fill="auto"/>
          </w:tcPr>
          <w:p>
            <w:pPr>
              <w:pStyle w:val="180"/>
            </w:pPr>
            <w:r>
              <w:rPr>
                <w:rFonts w:hint="eastAsia"/>
              </w:rPr>
              <w:t>16 cm以上～24 cm</w:t>
            </w:r>
          </w:p>
        </w:tc>
        <w:tc>
          <w:tcPr>
            <w:tcW w:w="1597" w:type="dxa"/>
            <w:shd w:val="clear" w:color="auto" w:fill="auto"/>
          </w:tcPr>
          <w:p>
            <w:pPr>
              <w:pStyle w:val="180"/>
            </w:pPr>
            <w:r>
              <w:rPr>
                <w:rFonts w:hint="eastAsia"/>
              </w:rPr>
              <w:t>24 cm以上～100 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5</w:t>
            </w:r>
          </w:p>
        </w:tc>
        <w:tc>
          <w:tcPr>
            <w:tcW w:w="2268" w:type="dxa"/>
            <w:shd w:val="clear" w:color="auto" w:fill="auto"/>
            <w:vAlign w:val="center"/>
          </w:tcPr>
          <w:p>
            <w:pPr>
              <w:pStyle w:val="180"/>
            </w:pPr>
            <w:r>
              <w:rPr>
                <w:rFonts w:hint="eastAsia"/>
              </w:rPr>
              <w:t>渍、破损性疵点</w:t>
            </w:r>
          </w:p>
        </w:tc>
        <w:tc>
          <w:tcPr>
            <w:tcW w:w="1596" w:type="dxa"/>
            <w:shd w:val="clear" w:color="auto" w:fill="auto"/>
          </w:tcPr>
          <w:p>
            <w:pPr>
              <w:pStyle w:val="180"/>
            </w:pPr>
            <w:r>
              <w:rPr>
                <w:rFonts w:hint="eastAsia"/>
              </w:rPr>
              <w:t>--</w:t>
            </w:r>
          </w:p>
        </w:tc>
        <w:tc>
          <w:tcPr>
            <w:tcW w:w="1597" w:type="dxa"/>
            <w:shd w:val="clear" w:color="auto" w:fill="auto"/>
          </w:tcPr>
          <w:p>
            <w:pPr>
              <w:pStyle w:val="180"/>
            </w:pPr>
            <w:r>
              <w:rPr>
                <w:rFonts w:hint="eastAsia"/>
              </w:rPr>
              <w:t>2.0 cm及以下</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2.0 cm以上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shd w:val="clear" w:color="auto" w:fill="auto"/>
            <w:vAlign w:val="center"/>
          </w:tcPr>
          <w:p>
            <w:pPr>
              <w:pStyle w:val="180"/>
            </w:pPr>
            <w:r>
              <w:rPr>
                <w:rFonts w:hint="eastAsia"/>
              </w:rPr>
              <w:t>6</w:t>
            </w:r>
          </w:p>
        </w:tc>
        <w:tc>
          <w:tcPr>
            <w:tcW w:w="2268" w:type="dxa"/>
            <w:shd w:val="clear" w:color="auto" w:fill="auto"/>
            <w:vAlign w:val="center"/>
          </w:tcPr>
          <w:p>
            <w:pPr>
              <w:pStyle w:val="180"/>
            </w:pPr>
            <w:r>
              <w:rPr>
                <w:rFonts w:hint="eastAsia"/>
              </w:rPr>
              <w:t>边部疵点</w:t>
            </w:r>
            <w:r>
              <w:rPr>
                <w:rFonts w:hint="eastAsia"/>
                <w:vertAlign w:val="superscript"/>
              </w:rPr>
              <w:t>c</w:t>
            </w:r>
          </w:p>
        </w:tc>
        <w:tc>
          <w:tcPr>
            <w:tcW w:w="1596" w:type="dxa"/>
            <w:shd w:val="clear" w:color="auto" w:fill="auto"/>
          </w:tcPr>
          <w:p>
            <w:pPr>
              <w:pStyle w:val="180"/>
            </w:pPr>
            <w:r>
              <w:rPr>
                <w:rFonts w:hint="eastAsia"/>
              </w:rPr>
              <w:t>经向每100cm及以下</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w:t>
            </w:r>
          </w:p>
        </w:tc>
        <w:tc>
          <w:tcPr>
            <w:tcW w:w="1597" w:type="dxa"/>
            <w:shd w:val="clear" w:color="auto" w:fill="auto"/>
          </w:tcPr>
          <w:p>
            <w:pPr>
              <w:pStyle w:val="180"/>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19" w:type="dxa"/>
            <w:tcBorders>
              <w:bottom w:val="single" w:color="auto" w:sz="8" w:space="0"/>
            </w:tcBorders>
            <w:shd w:val="clear" w:color="auto" w:fill="auto"/>
            <w:vAlign w:val="center"/>
          </w:tcPr>
          <w:p>
            <w:pPr>
              <w:pStyle w:val="180"/>
            </w:pPr>
            <w:r>
              <w:rPr>
                <w:rFonts w:hint="eastAsia"/>
              </w:rPr>
              <w:t>7</w:t>
            </w:r>
          </w:p>
        </w:tc>
        <w:tc>
          <w:tcPr>
            <w:tcW w:w="2268" w:type="dxa"/>
            <w:tcBorders>
              <w:bottom w:val="single" w:color="auto" w:sz="8" w:space="0"/>
            </w:tcBorders>
            <w:shd w:val="clear" w:color="auto" w:fill="auto"/>
            <w:vAlign w:val="center"/>
          </w:tcPr>
          <w:p>
            <w:pPr>
              <w:pStyle w:val="180"/>
            </w:pPr>
            <w:r>
              <w:rPr>
                <w:rFonts w:hint="eastAsia"/>
              </w:rPr>
              <w:t>纬斜、花斜、格斜、幅不齐</w:t>
            </w:r>
          </w:p>
        </w:tc>
        <w:tc>
          <w:tcPr>
            <w:tcW w:w="1596"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w:t>
            </w:r>
          </w:p>
        </w:tc>
        <w:tc>
          <w:tcPr>
            <w:tcW w:w="1597" w:type="dxa"/>
            <w:tcBorders>
              <w:bottom w:val="single" w:color="auto" w:sz="8" w:space="0"/>
            </w:tcBorders>
            <w:shd w:val="clear" w:color="auto" w:fill="auto"/>
          </w:tcPr>
          <w:p>
            <w:pPr>
              <w:pStyle w:val="180"/>
            </w:pPr>
            <w:r>
              <w:rPr>
                <w:rFonts w:hint="eastAsia"/>
              </w:rPr>
              <w:t>100 cm及以下大于3%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74" w:type="dxa"/>
            <w:gridSpan w:val="6"/>
            <w:tcBorders>
              <w:top w:val="single" w:color="auto" w:sz="8" w:space="0"/>
              <w:bottom w:val="single" w:color="auto" w:sz="8" w:space="0"/>
            </w:tcBorders>
            <w:shd w:val="clear" w:color="auto" w:fill="auto"/>
            <w:vAlign w:val="center"/>
          </w:tcPr>
          <w:p>
            <w:pPr>
              <w:pStyle w:val="180"/>
              <w:jc w:val="both"/>
              <w:rPr>
                <w:rFonts w:hint="eastAsia"/>
              </w:rPr>
            </w:pPr>
            <w:r>
              <w:rPr>
                <w:rFonts w:hint="eastAsia"/>
              </w:rPr>
              <w:t xml:space="preserve">  </w:t>
            </w:r>
            <w:r>
              <w:rPr>
                <w:vertAlign w:val="superscript"/>
              </w:rPr>
              <w:t>a</w:t>
            </w:r>
            <w:r>
              <w:rPr>
                <w:rFonts w:hint="eastAsia"/>
                <w:vertAlign w:val="superscript"/>
              </w:rPr>
              <w:t xml:space="preserve"> </w:t>
            </w:r>
            <w:r>
              <w:rPr>
                <w:rFonts w:hint="eastAsia"/>
              </w:rPr>
              <w:t xml:space="preserve">疵点定义见GB/T </w:t>
            </w:r>
            <w:r>
              <w:rPr>
                <w:rFonts w:hint="eastAsia"/>
                <w:lang w:val="en-US" w:eastAsia="zh-CN"/>
              </w:rPr>
              <w:t>24250</w:t>
            </w:r>
            <w:r>
              <w:rPr>
                <w:rFonts w:hint="eastAsia"/>
              </w:rPr>
              <w:t>。</w:t>
            </w:r>
          </w:p>
          <w:p>
            <w:pPr>
              <w:pStyle w:val="180"/>
              <w:jc w:val="both"/>
              <w:rPr>
                <w:rFonts w:hint="eastAsia"/>
              </w:rPr>
            </w:pPr>
            <w:r>
              <w:rPr>
                <w:rFonts w:hint="eastAsia"/>
              </w:rPr>
              <w:t xml:space="preserve">  </w:t>
            </w:r>
            <w:r>
              <w:rPr>
                <w:rFonts w:hint="eastAsia"/>
                <w:vertAlign w:val="superscript"/>
              </w:rPr>
              <w:t xml:space="preserve">b </w:t>
            </w:r>
            <w:r>
              <w:rPr>
                <w:rFonts w:hint="eastAsia"/>
              </w:rPr>
              <w:t>纬档</w:t>
            </w:r>
            <w:r>
              <w:rPr>
                <w:rFonts w:hint="eastAsia" w:hAnsi="宋体" w:cs="宋体"/>
                <w:color w:val="000000" w:themeColor="text1"/>
                <w:spacing w:val="-4"/>
                <w:w w:val="105"/>
                <w:szCs w:val="18"/>
                <w14:textFill>
                  <w14:solidFill>
                    <w14:schemeClr w14:val="tx1"/>
                  </w14:solidFill>
                </w14:textFill>
              </w:rPr>
              <w:t>以经向10 cm及以下为一档</w:t>
            </w:r>
            <w:r>
              <w:rPr>
                <w:rFonts w:hint="eastAsia"/>
              </w:rPr>
              <w:t>。</w:t>
            </w:r>
          </w:p>
          <w:p>
            <w:pPr>
              <w:pStyle w:val="180"/>
              <w:ind w:firstLine="180" w:firstLineChars="100"/>
              <w:jc w:val="both"/>
            </w:pPr>
            <w:r>
              <w:rPr>
                <w:rFonts w:hint="eastAsia"/>
                <w:vertAlign w:val="superscript"/>
              </w:rPr>
              <w:t xml:space="preserve">c </w:t>
            </w:r>
            <w:r>
              <w:rPr>
                <w:rFonts w:hint="eastAsia"/>
              </w:rPr>
              <w:t>针板眼</w:t>
            </w:r>
            <w:r>
              <w:rPr>
                <w:rFonts w:hint="eastAsia" w:hAnsi="宋体" w:cs="宋体"/>
                <w:color w:val="000000" w:themeColor="text1"/>
                <w:spacing w:val="-4"/>
                <w:w w:val="105"/>
                <w:szCs w:val="18"/>
                <w14:textFill>
                  <w14:solidFill>
                    <w14:schemeClr w14:val="tx1"/>
                  </w14:solidFill>
                </w14:textFill>
              </w:rPr>
              <w:t>进入内幅1.5 cm及以下不计</w:t>
            </w:r>
            <w:r>
              <w:rPr>
                <w:rFonts w:hint="eastAsia"/>
              </w:rPr>
              <w:t>。</w:t>
            </w:r>
          </w:p>
        </w:tc>
      </w:tr>
    </w:tbl>
    <w:p>
      <w:pPr>
        <w:pStyle w:val="167"/>
      </w:pPr>
      <w:r>
        <w:rPr>
          <w:rFonts w:hint="eastAsia"/>
        </w:rPr>
        <w:t>外观疵点评分说明：</w:t>
      </w:r>
    </w:p>
    <w:p>
      <w:pPr>
        <w:pStyle w:val="166"/>
      </w:pPr>
      <w:r>
        <w:rPr>
          <w:rFonts w:hint="eastAsia"/>
        </w:rPr>
        <w:t>外观疵点的评分采用有限度的累计评分；</w:t>
      </w:r>
    </w:p>
    <w:p>
      <w:pPr>
        <w:pStyle w:val="166"/>
      </w:pPr>
      <w:r>
        <w:rPr>
          <w:rFonts w:hint="eastAsia"/>
        </w:rPr>
        <w:t>外观疵点长度以经向或纬向最大方向量计；</w:t>
      </w:r>
    </w:p>
    <w:p>
      <w:pPr>
        <w:pStyle w:val="166"/>
      </w:pPr>
      <w:r>
        <w:rPr>
          <w:rFonts w:hint="eastAsia"/>
        </w:rPr>
        <w:t>同匹色差(色泽不匀)不低于4级,低于4级的1 m 及以内评 4分；</w:t>
      </w:r>
    </w:p>
    <w:p>
      <w:pPr>
        <w:pStyle w:val="166"/>
      </w:pPr>
      <w:r>
        <w:rPr>
          <w:rFonts w:hint="eastAsia"/>
        </w:rPr>
        <w:t>经向1 m内累计评分最多4分,超过4分按4分计；</w:t>
      </w:r>
    </w:p>
    <w:p>
      <w:pPr>
        <w:pStyle w:val="166"/>
      </w:pPr>
      <w:r>
        <w:rPr>
          <w:rFonts w:hint="eastAsia"/>
        </w:rPr>
        <w:t>严重的连续性疵点每米</w:t>
      </w:r>
      <w:r>
        <w:rPr>
          <w:rFonts w:hint="eastAsia"/>
          <w:lang w:val="en-US" w:eastAsia="zh-CN"/>
        </w:rPr>
        <w:t>评</w:t>
      </w:r>
      <w:r>
        <w:rPr>
          <w:rFonts w:hint="eastAsia"/>
        </w:rPr>
        <w:t>4分。</w:t>
      </w:r>
    </w:p>
    <w:p>
      <w:pPr>
        <w:pStyle w:val="166"/>
      </w:pPr>
      <w:r>
        <w:rPr>
          <w:rFonts w:hint="eastAsia"/>
          <w:lang w:val="en-US" w:eastAsia="zh-CN"/>
        </w:rPr>
        <w:t>优等品、一等品内不允许有单独一处评4分的疵点；50.0cm内累计评满4分的明显疵点；破损性疵点。</w:t>
      </w:r>
    </w:p>
    <w:p>
      <w:pPr>
        <w:pStyle w:val="167"/>
      </w:pPr>
      <w:r>
        <w:rPr>
          <w:rFonts w:hint="eastAsia"/>
        </w:rPr>
        <w:t>每匹</w:t>
      </w:r>
      <w:r>
        <w:rPr>
          <w:rFonts w:hint="eastAsia"/>
          <w:color w:val="auto"/>
        </w:rPr>
        <w:t>生物基</w:t>
      </w:r>
      <w:r>
        <w:rPr>
          <w:rFonts w:hint="eastAsia"/>
          <w:color w:val="auto"/>
          <w:lang w:eastAsia="zh-CN"/>
        </w:rPr>
        <w:t>聚酯纤维（</w:t>
      </w:r>
      <w:r>
        <w:rPr>
          <w:rFonts w:hint="eastAsia"/>
          <w:color w:val="auto"/>
        </w:rPr>
        <w:t>PTT</w:t>
      </w:r>
      <w:r>
        <w:rPr>
          <w:rFonts w:hint="eastAsia"/>
          <w:color w:val="auto"/>
          <w:lang w:eastAsia="zh-CN"/>
        </w:rPr>
        <w:t>）织物</w:t>
      </w:r>
      <w:r>
        <w:rPr>
          <w:rFonts w:hint="eastAsia"/>
        </w:rPr>
        <w:t>的外观疵点定等分数按式(1)计算，计算结果按 GB/T 8170 修约至小数点后一位：</w:t>
      </w:r>
    </w:p>
    <w:p>
      <w:pPr>
        <w:pStyle w:val="115"/>
      </w:pPr>
      <w:r>
        <w:tab/>
      </w:r>
      <m:oMath>
        <m:r>
          <m:rPr/>
          <w:rPr>
            <w:rFonts w:ascii="Cambria Math" w:hAnsi="Cambria Math"/>
          </w:rPr>
          <m:t>c</m:t>
        </m:r>
        <m:r>
          <m:rPr>
            <m:sty m:val="p"/>
          </m:rPr>
          <w:rPr>
            <w:rFonts w:ascii="Cambria Math" w:hAnsi="Cambria Math"/>
          </w:rPr>
          <m:t>=</m:t>
        </m:r>
        <m:f>
          <m:fPr>
            <m:ctrlPr>
              <w:rPr>
                <w:rFonts w:ascii="Cambria Math" w:hAnsi="Cambria Math"/>
                <w:i/>
              </w:rPr>
            </m:ctrlPr>
          </m:fPr>
          <m:num>
            <m:r>
              <m:rPr/>
              <w:rPr>
                <w:rFonts w:ascii="Cambria Math" w:hAnsi="Cambria Math"/>
              </w:rPr>
              <m:t>q</m:t>
            </m:r>
            <m:ctrlPr>
              <w:rPr>
                <w:rFonts w:ascii="Cambria Math" w:hAnsi="Cambria Math"/>
                <w:i/>
              </w:rPr>
            </m:ctrlPr>
          </m:num>
          <m:den>
            <m:r>
              <m:rPr/>
              <w:rPr>
                <w:rFonts w:ascii="Cambria Math" w:hAnsi="Cambria Math"/>
              </w:rPr>
              <m:t>l×w</m:t>
            </m:r>
            <m:ctrlPr>
              <w:rPr>
                <w:rFonts w:ascii="Cambria Math" w:hAnsi="Cambria Math"/>
                <w:i/>
              </w:rPr>
            </m:ctrlPr>
          </m:den>
        </m:f>
        <m:r>
          <m:rPr>
            <m:sty m:val="p"/>
          </m:rPr>
          <w:rPr>
            <w:rFonts w:ascii="Cambria Math" w:hAnsi="Cambria Math"/>
          </w:rPr>
          <m:t>×100</m:t>
        </m:r>
      </m:oMath>
      <w:r>
        <w:rPr>
          <w:rFonts w:ascii="微软雅黑" w:hAnsi="微软雅黑" w:eastAsia="微软雅黑"/>
        </w:rPr>
        <w:tab/>
      </w:r>
      <w:r>
        <w:t>(</w:t>
      </w:r>
      <w:r>
        <w:fldChar w:fldCharType="begin"/>
      </w:r>
      <w:r>
        <w:instrText xml:space="preserve"> AUTONUM </w:instrText>
      </w:r>
      <w:r>
        <w:fldChar w:fldCharType="end"/>
      </w:r>
      <w:r>
        <w:t>)</w:t>
      </w:r>
    </w:p>
    <w:p>
      <w:pPr>
        <w:pStyle w:val="57"/>
        <w:ind w:firstLine="420"/>
      </w:pPr>
      <w:r>
        <w:rPr>
          <w:rFonts w:hint="eastAsia"/>
        </w:rPr>
        <w:t>式中：</w:t>
      </w:r>
    </w:p>
    <w:p>
      <w:pPr>
        <w:pStyle w:val="58"/>
        <w:ind w:firstLine="420"/>
      </w:pPr>
      <w:r>
        <w:t>c</w:t>
      </w:r>
      <w:r>
        <w:rPr>
          <w:rFonts w:hint="eastAsia"/>
        </w:rPr>
        <w:t>——每匹织物外观疵点定等分数，单位为分每百平米（分/100m</w:t>
      </w:r>
      <w:r>
        <w:rPr>
          <w:rFonts w:hint="eastAsia"/>
          <w:vertAlign w:val="superscript"/>
        </w:rPr>
        <w:t>2</w:t>
      </w:r>
      <w:r>
        <w:rPr>
          <w:rFonts w:hint="eastAsia"/>
        </w:rPr>
        <w:t>）；</w:t>
      </w:r>
    </w:p>
    <w:p>
      <w:pPr>
        <w:pStyle w:val="58"/>
        <w:ind w:firstLine="420"/>
      </w:pPr>
      <w:r>
        <w:t>q</w:t>
      </w:r>
      <w:r>
        <w:rPr>
          <w:rFonts w:hint="eastAsia"/>
        </w:rPr>
        <w:t>——每匹织物外观疵点实测分数，单位为分；</w:t>
      </w:r>
    </w:p>
    <w:p>
      <w:pPr>
        <w:pStyle w:val="58"/>
        <w:ind w:firstLine="420"/>
      </w:pPr>
      <w:r>
        <w:t>l</w:t>
      </w:r>
      <w:r>
        <w:rPr>
          <w:rFonts w:hint="eastAsia"/>
        </w:rPr>
        <w:t>——受检匹长，单位为米（m）；</w:t>
      </w:r>
    </w:p>
    <w:p>
      <w:pPr>
        <w:pStyle w:val="58"/>
        <w:ind w:firstLine="420"/>
      </w:pPr>
      <w:r>
        <w:rPr>
          <w:rFonts w:hint="eastAsia"/>
        </w:rPr>
        <w:t>w——有效幅宽，单位为米（m）。</w:t>
      </w:r>
    </w:p>
    <w:p>
      <w:pPr>
        <w:pStyle w:val="167"/>
      </w:pPr>
      <w:r>
        <w:rPr>
          <w:rFonts w:hint="eastAsia"/>
        </w:rPr>
        <w:t>开剪拼匹和标疵放尺的规定：</w:t>
      </w:r>
    </w:p>
    <w:p>
      <w:pPr>
        <w:pStyle w:val="166"/>
      </w:pPr>
      <w:r>
        <w:rPr>
          <w:rFonts w:hint="eastAsia"/>
          <w:color w:val="auto"/>
        </w:rPr>
        <w:t>生物基</w:t>
      </w:r>
      <w:r>
        <w:rPr>
          <w:rFonts w:hint="eastAsia"/>
          <w:color w:val="auto"/>
          <w:lang w:eastAsia="zh-CN"/>
        </w:rPr>
        <w:t>聚酯纤维（</w:t>
      </w:r>
      <w:r>
        <w:rPr>
          <w:rFonts w:hint="eastAsia"/>
          <w:color w:val="auto"/>
        </w:rPr>
        <w:t>PTT</w:t>
      </w:r>
      <w:r>
        <w:rPr>
          <w:rFonts w:hint="eastAsia"/>
          <w:color w:val="auto"/>
          <w:lang w:eastAsia="zh-CN"/>
        </w:rPr>
        <w:t>）织物</w:t>
      </w:r>
      <w:r>
        <w:rPr>
          <w:rFonts w:hint="eastAsia"/>
        </w:rPr>
        <w:t>允许开剪拼匹或标疵放尺 ,两者只能采用一种。</w:t>
      </w:r>
    </w:p>
    <w:p>
      <w:pPr>
        <w:pStyle w:val="166"/>
      </w:pPr>
      <w:r>
        <w:rPr>
          <w:rFonts w:hint="eastAsia"/>
        </w:rPr>
        <w:t>开剪拼匹各段的等级、幅宽、色泽、花型必须一致。</w:t>
      </w:r>
    </w:p>
    <w:p>
      <w:pPr>
        <w:pStyle w:val="166"/>
      </w:pPr>
      <w:r>
        <w:rPr>
          <w:rFonts w:hint="eastAsia"/>
          <w:color w:val="auto"/>
        </w:rPr>
        <w:t>生物基</w:t>
      </w:r>
      <w:r>
        <w:rPr>
          <w:rFonts w:hint="eastAsia"/>
          <w:color w:val="auto"/>
          <w:lang w:eastAsia="zh-CN"/>
        </w:rPr>
        <w:t>聚酯纤维（</w:t>
      </w:r>
      <w:r>
        <w:rPr>
          <w:rFonts w:hint="eastAsia"/>
          <w:color w:val="auto"/>
        </w:rPr>
        <w:t>PTT</w:t>
      </w:r>
      <w:r>
        <w:rPr>
          <w:rFonts w:hint="eastAsia"/>
          <w:color w:val="auto"/>
          <w:lang w:eastAsia="zh-CN"/>
        </w:rPr>
        <w:t>）织物</w:t>
      </w:r>
      <w:r>
        <w:rPr>
          <w:rFonts w:hint="eastAsia"/>
        </w:rPr>
        <w:t>平均每20m及以内允许标疵一次。每处3分和4分的疵点允许标疵，超过10cm的连续疵点可连标。每处标疵放尺10cm，已标疵后的疵点不再计分。局部性疵点的标疵间距或标疵疵点与匹端的距离不得少于4m。</w:t>
      </w:r>
    </w:p>
    <w:p>
      <w:pPr>
        <w:pStyle w:val="106"/>
        <w:spacing w:before="312" w:after="312"/>
      </w:pPr>
      <w:r>
        <w:rPr>
          <w:rFonts w:hint="eastAsia"/>
        </w:rPr>
        <w:t>试验方法</w:t>
      </w:r>
    </w:p>
    <w:p>
      <w:pPr>
        <w:pStyle w:val="107"/>
        <w:spacing w:before="156" w:after="156"/>
        <w:rPr>
          <w:rFonts w:hint="eastAsia" w:ascii="宋体" w:hAnsi="宋体" w:eastAsia="宋体" w:cs="宋体"/>
          <w:color w:val="000000"/>
          <w:sz w:val="24"/>
          <w:szCs w:val="24"/>
          <w:lang w:val="en-US" w:eastAsia="zh-CN"/>
        </w:rPr>
      </w:pPr>
      <w:r>
        <w:rPr>
          <w:rFonts w:hint="eastAsia"/>
        </w:rPr>
        <w:t>内在质量</w:t>
      </w:r>
    </w:p>
    <w:p>
      <w:pPr>
        <w:pStyle w:val="167"/>
      </w:pPr>
      <w:r>
        <w:rPr>
          <w:rFonts w:hint="eastAsia"/>
          <w:color w:val="auto"/>
        </w:rPr>
        <w:t>基本</w:t>
      </w:r>
      <w:r>
        <w:rPr>
          <w:rFonts w:hint="eastAsia"/>
          <w:color w:val="auto"/>
          <w:lang w:val="en-US" w:eastAsia="zh-CN"/>
        </w:rPr>
        <w:t>安全</w:t>
      </w:r>
      <w:r>
        <w:rPr>
          <w:color w:val="auto"/>
        </w:rPr>
        <w:t>性能</w:t>
      </w:r>
      <w:r>
        <w:rPr>
          <w:rFonts w:hint="eastAsia"/>
          <w:color w:val="auto"/>
          <w:lang w:val="en-US" w:eastAsia="zh-CN"/>
        </w:rPr>
        <w:t>按</w:t>
      </w:r>
      <w:r>
        <w:t>GB18401和GB3170</w:t>
      </w:r>
      <w:r>
        <w:rPr>
          <w:rFonts w:hint="eastAsia"/>
        </w:rPr>
        <w:t>1</w:t>
      </w:r>
      <w:r>
        <w:rPr>
          <w:rFonts w:hint="eastAsia"/>
          <w:lang w:val="en-US" w:eastAsia="zh-CN"/>
        </w:rPr>
        <w:t>执行。</w:t>
      </w:r>
    </w:p>
    <w:p>
      <w:pPr>
        <w:pStyle w:val="167"/>
      </w:pPr>
      <w:r>
        <w:rPr>
          <w:rFonts w:hint="eastAsia"/>
        </w:rPr>
        <w:t>纤维含量按</w:t>
      </w:r>
      <w:r>
        <w:rPr>
          <w:rFonts w:hint="eastAsia"/>
          <w:lang w:val="en-US" w:eastAsia="zh-CN"/>
        </w:rPr>
        <w:t>GB</w:t>
      </w:r>
      <w:r>
        <w:rPr>
          <w:rFonts w:hint="eastAsia"/>
        </w:rPr>
        <w:t xml:space="preserve">/T </w:t>
      </w:r>
      <w:r>
        <w:rPr>
          <w:rFonts w:hint="eastAsia"/>
          <w:lang w:val="en-US" w:eastAsia="zh-CN"/>
        </w:rPr>
        <w:t>2910（所有部分）</w:t>
      </w:r>
      <w:r>
        <w:rPr>
          <w:rFonts w:hint="eastAsia"/>
        </w:rPr>
        <w:t>、FZ/T 01057</w:t>
      </w:r>
      <w:r>
        <w:rPr>
          <w:rFonts w:hint="eastAsia"/>
          <w:lang w:eastAsia="zh-CN"/>
        </w:rPr>
        <w:t>（</w:t>
      </w:r>
      <w:r>
        <w:rPr>
          <w:rFonts w:hint="eastAsia"/>
          <w:lang w:val="en-US" w:eastAsia="zh-CN"/>
        </w:rPr>
        <w:t>所有部分</w:t>
      </w:r>
      <w:r>
        <w:rPr>
          <w:rFonts w:hint="eastAsia"/>
          <w:lang w:eastAsia="zh-CN"/>
        </w:rPr>
        <w:t>）</w:t>
      </w:r>
      <w:r>
        <w:rPr>
          <w:rFonts w:hint="eastAsia"/>
        </w:rPr>
        <w:t>、GB/T 38015或其他相关方法执行。</w:t>
      </w:r>
    </w:p>
    <w:p>
      <w:pPr>
        <w:pStyle w:val="167"/>
      </w:pPr>
      <w:r>
        <w:rPr>
          <w:rFonts w:hint="eastAsia"/>
        </w:rPr>
        <w:t>密度偏差率按GB/T 4668-1995执行。</w:t>
      </w:r>
    </w:p>
    <w:p>
      <w:pPr>
        <w:pStyle w:val="167"/>
      </w:pPr>
      <w:r>
        <w:rPr>
          <w:rFonts w:hint="eastAsia"/>
        </w:rPr>
        <w:t>断裂强力按GB/T 3923.l-2013执行。</w:t>
      </w:r>
    </w:p>
    <w:p>
      <w:pPr>
        <w:pStyle w:val="167"/>
      </w:pPr>
      <w:r>
        <w:rPr>
          <w:rFonts w:hint="eastAsia"/>
        </w:rPr>
        <w:t>撕破强力按GB/T 3917.2-2009执行。</w:t>
      </w:r>
    </w:p>
    <w:p>
      <w:pPr>
        <w:pStyle w:val="167"/>
      </w:pPr>
      <w:r>
        <w:rPr>
          <w:rFonts w:hint="eastAsia"/>
        </w:rPr>
        <w:t>水洗尺寸变化率按GB/T 8628-2013、GB/T 8629-2017（采用洗涤程序4N,干燥程序A）和GB/T 8630-2013执行。</w:t>
      </w:r>
    </w:p>
    <w:p>
      <w:pPr>
        <w:pStyle w:val="167"/>
      </w:pPr>
      <w:r>
        <w:rPr>
          <w:rFonts w:hint="eastAsia"/>
        </w:rPr>
        <w:t>起毛起球按GB/T 4802.1-2008执行。</w:t>
      </w:r>
    </w:p>
    <w:p>
      <w:pPr>
        <w:pStyle w:val="167"/>
      </w:pPr>
      <w:r>
        <w:rPr>
          <w:rFonts w:hint="eastAsia"/>
        </w:rPr>
        <w:t>纰裂程度</w:t>
      </w:r>
      <w:r>
        <w:t>按GB/T</w:t>
      </w:r>
      <w:r>
        <w:rPr>
          <w:rFonts w:hint="eastAsia"/>
          <w:lang w:val="en-US" w:eastAsia="zh-CN"/>
        </w:rPr>
        <w:t xml:space="preserve"> </w:t>
      </w:r>
      <w:r>
        <w:rPr>
          <w:rFonts w:hint="eastAsia"/>
        </w:rPr>
        <w:t>13772.2-2018执行。</w:t>
      </w:r>
    </w:p>
    <w:p>
      <w:pPr>
        <w:pStyle w:val="167"/>
      </w:pPr>
      <w:r>
        <w:rPr>
          <w:rFonts w:hint="eastAsia"/>
        </w:rPr>
        <w:t>塑性变形率按FZ/T 01034-2008中8.3.4(25N，循环3次）执行。</w:t>
      </w:r>
    </w:p>
    <w:p>
      <w:pPr>
        <w:pStyle w:val="167"/>
      </w:pPr>
      <w:r>
        <w:rPr>
          <w:rFonts w:hint="eastAsia"/>
          <w:color w:val="auto"/>
        </w:rPr>
        <w:t>总折痕回复角</w:t>
      </w:r>
      <w:r>
        <w:rPr>
          <w:rFonts w:hint="eastAsia"/>
        </w:rPr>
        <w:t>按GB/T</w:t>
      </w:r>
      <w:r>
        <w:rPr>
          <w:rFonts w:hint="eastAsia"/>
          <w:lang w:val="en-US" w:eastAsia="zh-CN"/>
        </w:rPr>
        <w:t xml:space="preserve"> </w:t>
      </w:r>
      <w:r>
        <w:rPr>
          <w:rFonts w:hint="eastAsia"/>
        </w:rPr>
        <w:t>3819-1997执行。</w:t>
      </w:r>
    </w:p>
    <w:p>
      <w:pPr>
        <w:pStyle w:val="167"/>
      </w:pPr>
      <w:r>
        <w:rPr>
          <w:rFonts w:hint="eastAsia"/>
        </w:rPr>
        <w:t>耐光色牢度按GB/T 8427-2019中方法3执行。</w:t>
      </w:r>
    </w:p>
    <w:p>
      <w:pPr>
        <w:pStyle w:val="167"/>
      </w:pPr>
      <w:r>
        <w:rPr>
          <w:rFonts w:hint="eastAsia"/>
        </w:rPr>
        <w:t>耐皂洗色牢度按GB/T 3921-2008中C(3）单纤维贴衬执行。</w:t>
      </w:r>
    </w:p>
    <w:p>
      <w:pPr>
        <w:pStyle w:val="167"/>
      </w:pPr>
      <w:r>
        <w:rPr>
          <w:rFonts w:hint="eastAsia"/>
        </w:rPr>
        <w:t>耐摩擦色牢度按GB/T 3920执行。</w:t>
      </w:r>
    </w:p>
    <w:p>
      <w:pPr>
        <w:pStyle w:val="167"/>
      </w:pPr>
      <w:r>
        <w:rPr>
          <w:rFonts w:hint="eastAsia"/>
        </w:rPr>
        <w:t>耐汗渍色牢度按GB/T 3922中单纤维贴衬执行。</w:t>
      </w:r>
    </w:p>
    <w:p>
      <w:pPr>
        <w:pStyle w:val="167"/>
      </w:pPr>
      <w:r>
        <w:rPr>
          <w:rFonts w:hint="eastAsia"/>
          <w:lang w:val="en-US" w:eastAsia="zh-CN"/>
        </w:rPr>
        <w:t>耐水色牢度按</w:t>
      </w:r>
      <w:r>
        <w:t>GB/T 5713</w:t>
      </w:r>
      <w:r>
        <w:rPr>
          <w:rFonts w:hint="eastAsia"/>
          <w:lang w:val="en-US" w:eastAsia="zh-CN"/>
        </w:rPr>
        <w:t>执行。</w:t>
      </w:r>
    </w:p>
    <w:p>
      <w:pPr>
        <w:pStyle w:val="167"/>
      </w:pPr>
      <w:r>
        <w:rPr>
          <w:rFonts w:hint="eastAsia"/>
        </w:rPr>
        <w:t>耐热压色牢度按GB/T 6152-1997（潮压法，温度为150℃±2℃）执行。</w:t>
      </w:r>
    </w:p>
    <w:p>
      <w:pPr>
        <w:pStyle w:val="107"/>
        <w:spacing w:before="156" w:after="156"/>
      </w:pPr>
      <w:r>
        <w:rPr>
          <w:rFonts w:hint="eastAsia"/>
        </w:rPr>
        <w:t>外观质量</w:t>
      </w:r>
    </w:p>
    <w:p>
      <w:pPr>
        <w:pStyle w:val="167"/>
      </w:pPr>
      <w:r>
        <w:rPr>
          <w:rFonts w:hint="eastAsia"/>
        </w:rPr>
        <w:t>幅宽偏差率按GB/T 4666-2009执行。</w:t>
      </w:r>
    </w:p>
    <w:p>
      <w:pPr>
        <w:pStyle w:val="167"/>
      </w:pPr>
      <w:r>
        <w:rPr>
          <w:rFonts w:hint="eastAsia"/>
        </w:rPr>
        <w:t>色差按GB/T 250-2008评定。</w:t>
      </w:r>
    </w:p>
    <w:p>
      <w:pPr>
        <w:pStyle w:val="167"/>
      </w:pPr>
      <w:r>
        <w:rPr>
          <w:rFonts w:hint="eastAsia"/>
        </w:rPr>
        <w:t>纬斜、花斜、格斜、幅不齐按GB/T</w:t>
      </w:r>
      <w:r>
        <w:rPr>
          <w:rFonts w:hint="eastAsia"/>
          <w:lang w:val="en-US" w:eastAsia="zh-CN"/>
        </w:rPr>
        <w:t xml:space="preserve"> </w:t>
      </w:r>
      <w:r>
        <w:rPr>
          <w:rFonts w:hint="eastAsia"/>
        </w:rPr>
        <w:t>14801-2009执行。</w:t>
      </w:r>
    </w:p>
    <w:p>
      <w:pPr>
        <w:pStyle w:val="167"/>
      </w:pPr>
      <w:r>
        <w:rPr>
          <w:rFonts w:hint="eastAsia"/>
        </w:rPr>
        <w:t>外观疵点：</w:t>
      </w:r>
    </w:p>
    <w:p>
      <w:pPr>
        <w:pStyle w:val="166"/>
      </w:pPr>
      <w:r>
        <w:rPr>
          <w:rFonts w:hint="eastAsia"/>
        </w:rPr>
        <w:t>采用经向检验机或纬向台板检验。仲裁检验采用经向检验机检验。</w:t>
      </w:r>
    </w:p>
    <w:p>
      <w:pPr>
        <w:pStyle w:val="166"/>
      </w:pPr>
      <w:r>
        <w:rPr>
          <w:rFonts w:hint="eastAsia"/>
        </w:rPr>
        <w:t>光源采用日光荧光灯时,台面平均照度为600lx～700lx，环境光源控制在150lx 以下。纬向检验可采用自然北向光，平均照度在320lx～6001x。</w:t>
      </w:r>
    </w:p>
    <w:p>
      <w:pPr>
        <w:pStyle w:val="166"/>
      </w:pPr>
      <w:r>
        <w:rPr>
          <w:rFonts w:hint="eastAsia"/>
        </w:rPr>
        <w:t>采用经向检验机时,检验速度为(15±5)m/min。纬向台板检验速度为15页/min。</w:t>
      </w:r>
    </w:p>
    <w:p>
      <w:pPr>
        <w:pStyle w:val="166"/>
      </w:pPr>
      <w:r>
        <w:rPr>
          <w:rFonts w:hint="eastAsia"/>
        </w:rPr>
        <w:t>检验员眼睛距织物中心约60cm～80 cm。幅宽114cm及以下的产品由一人检验,幅宽114cm以上的产品两个人检验。</w:t>
      </w:r>
    </w:p>
    <w:p>
      <w:pPr>
        <w:pStyle w:val="166"/>
      </w:pPr>
      <w:r>
        <w:rPr>
          <w:rFonts w:hint="eastAsia"/>
        </w:rPr>
        <w:t>外观疵点检验以织物正面为准,反面疵点影响织物正面时也应评分。疵点大小按经向或纬向的最大值量计。</w:t>
      </w:r>
    </w:p>
    <w:p>
      <w:pPr>
        <w:pStyle w:val="106"/>
        <w:spacing w:before="312" w:after="312"/>
      </w:pPr>
      <w:r>
        <w:rPr>
          <w:rFonts w:hint="eastAsia"/>
        </w:rPr>
        <w:t>检验规则</w:t>
      </w:r>
    </w:p>
    <w:p>
      <w:pPr>
        <w:pStyle w:val="58"/>
        <w:ind w:firstLine="420"/>
      </w:pPr>
      <w:r>
        <w:rPr>
          <w:rFonts w:hint="eastAsia"/>
        </w:rPr>
        <w:t>检验规则</w:t>
      </w:r>
      <w:r>
        <w:t>按FZ/T 10005-201</w:t>
      </w:r>
      <w:r>
        <w:rPr>
          <w:rFonts w:hint="eastAsia"/>
        </w:rPr>
        <w:t>8</w:t>
      </w:r>
      <w:r>
        <w:t>执行。</w:t>
      </w:r>
    </w:p>
    <w:bookmarkEnd w:id="22"/>
    <w:p>
      <w:pPr>
        <w:pStyle w:val="106"/>
        <w:spacing w:before="312" w:after="312"/>
      </w:pPr>
      <w:r>
        <w:rPr>
          <w:rFonts w:hint="eastAsia"/>
        </w:rPr>
        <w:t>标志和包装</w:t>
      </w:r>
    </w:p>
    <w:p>
      <w:pPr>
        <w:pStyle w:val="58"/>
        <w:ind w:left="0" w:leftChars="0" w:firstLine="0" w:firstLineChars="0"/>
        <w:rPr>
          <w:rFonts w:hint="eastAsia"/>
          <w:lang w:eastAsia="zh-CN"/>
        </w:rPr>
      </w:pPr>
      <w:r>
        <w:rPr>
          <w:rFonts w:hint="eastAsia"/>
          <w:lang w:val="en-US" w:eastAsia="zh-CN"/>
        </w:rPr>
        <w:t xml:space="preserve">7.1 </w:t>
      </w:r>
      <w:r>
        <w:rPr>
          <w:rFonts w:hint="eastAsia"/>
        </w:rPr>
        <w:t>标志和包装</w:t>
      </w:r>
      <w:r>
        <w:t>按FZ/T</w:t>
      </w:r>
      <w:r>
        <w:rPr>
          <w:rFonts w:hint="eastAsia"/>
          <w:lang w:val="en-US" w:eastAsia="zh-CN"/>
        </w:rPr>
        <w:t xml:space="preserve"> </w:t>
      </w:r>
      <w:r>
        <w:t>10010</w:t>
      </w:r>
      <w:r>
        <w:rPr>
          <w:rFonts w:hint="eastAsia"/>
        </w:rPr>
        <w:t>-20</w:t>
      </w:r>
      <w:r>
        <w:rPr>
          <w:rFonts w:hint="eastAsia"/>
          <w:lang w:val="en-US" w:eastAsia="zh-CN"/>
        </w:rPr>
        <w:t>18</w:t>
      </w:r>
      <w:r>
        <w:t>执行</w:t>
      </w:r>
      <w:r>
        <w:rPr>
          <w:rFonts w:hint="eastAsia"/>
          <w:lang w:eastAsia="zh-CN"/>
        </w:rPr>
        <w:t>。</w:t>
      </w:r>
    </w:p>
    <w:p>
      <w:pPr>
        <w:pStyle w:val="58"/>
        <w:ind w:left="0" w:leftChars="0" w:firstLine="0" w:firstLineChars="0"/>
      </w:pPr>
      <w:r>
        <w:rPr>
          <w:rFonts w:hint="eastAsia"/>
          <w:lang w:val="en-US" w:eastAsia="zh-CN"/>
        </w:rPr>
        <w:t xml:space="preserve">7.2 </w:t>
      </w:r>
      <w:r>
        <w:t>内包装的标志按GB/T 5296.4执行。</w:t>
      </w:r>
    </w:p>
    <w:p>
      <w:pPr>
        <w:pStyle w:val="58"/>
        <w:ind w:left="0" w:leftChars="0" w:firstLine="0" w:firstLineChars="0"/>
      </w:pPr>
      <w:r>
        <w:rPr>
          <w:rFonts w:hint="eastAsia"/>
          <w:lang w:val="en-US" w:eastAsia="zh-CN"/>
        </w:rPr>
        <w:t>7.3 包装上应明确注明</w:t>
      </w:r>
      <w:r>
        <w:rPr>
          <w:rFonts w:hint="eastAsia"/>
          <w:color w:val="auto"/>
        </w:rPr>
        <w:t>生物基</w:t>
      </w:r>
      <w:r>
        <w:rPr>
          <w:rFonts w:hint="eastAsia"/>
          <w:color w:val="auto"/>
          <w:lang w:eastAsia="zh-CN"/>
        </w:rPr>
        <w:t>聚酯纤维（</w:t>
      </w:r>
      <w:r>
        <w:rPr>
          <w:rFonts w:hint="eastAsia"/>
          <w:color w:val="auto"/>
        </w:rPr>
        <w:t>PTT</w:t>
      </w:r>
      <w:r>
        <w:rPr>
          <w:rFonts w:hint="eastAsia"/>
          <w:color w:val="auto"/>
          <w:lang w:eastAsia="zh-CN"/>
        </w:rPr>
        <w:t>）织物</w:t>
      </w:r>
      <w:r>
        <w:rPr>
          <w:rFonts w:hint="eastAsia"/>
          <w:lang w:val="en-US" w:eastAsia="zh-CN"/>
        </w:rPr>
        <w:t>及混用百分比。</w:t>
      </w:r>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DB32/TXXXX—XXXX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rPr>
        <w:lang w:val="fr-FR"/>
      </w:rPr>
    </w:pPr>
    <w:r>
      <w:fldChar w:fldCharType="begin"/>
    </w:r>
    <w:r>
      <w:instrText xml:space="preserve"> STYLEREF  标准文件_文件编号  \* MERGEFORMAT </w:instrText>
    </w:r>
    <w:r>
      <w:fldChar w:fldCharType="separate"/>
    </w:r>
    <w:r>
      <w:t>DB32/TXXXX—XXXX</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NDNkOWUxODQ5YzRjYzI2Mjk0ZTQ4NGE4MDc3ZDUifQ=="/>
  </w:docVars>
  <w:rsids>
    <w:rsidRoot w:val="008A1BF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804"/>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426"/>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DB9"/>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54E"/>
    <w:rsid w:val="004467FB"/>
    <w:rsid w:val="00452D6B"/>
    <w:rsid w:val="00454484"/>
    <w:rsid w:val="0045517B"/>
    <w:rsid w:val="00463B77"/>
    <w:rsid w:val="00463C7B"/>
    <w:rsid w:val="004644A6"/>
    <w:rsid w:val="004659BD"/>
    <w:rsid w:val="00470775"/>
    <w:rsid w:val="0047302B"/>
    <w:rsid w:val="004746B1"/>
    <w:rsid w:val="0047583F"/>
    <w:rsid w:val="00475DE8"/>
    <w:rsid w:val="00481C44"/>
    <w:rsid w:val="00483861"/>
    <w:rsid w:val="00484936"/>
    <w:rsid w:val="00485C89"/>
    <w:rsid w:val="00486BE3"/>
    <w:rsid w:val="004905E4"/>
    <w:rsid w:val="00490A89"/>
    <w:rsid w:val="00490AB4"/>
    <w:rsid w:val="00492F02"/>
    <w:rsid w:val="004939AE"/>
    <w:rsid w:val="00496501"/>
    <w:rsid w:val="004A12DF"/>
    <w:rsid w:val="004A17E6"/>
    <w:rsid w:val="004A1BA8"/>
    <w:rsid w:val="004A4B57"/>
    <w:rsid w:val="004A4EA6"/>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2F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6C5A"/>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1828"/>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BB9"/>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1545F"/>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A2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1998"/>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1BF1"/>
    <w:rsid w:val="008A3215"/>
    <w:rsid w:val="008A52AE"/>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A2B"/>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098"/>
    <w:rsid w:val="00A4661E"/>
    <w:rsid w:val="00A55BD6"/>
    <w:rsid w:val="00A55D50"/>
    <w:rsid w:val="00A57142"/>
    <w:rsid w:val="00A648CD"/>
    <w:rsid w:val="00A6537A"/>
    <w:rsid w:val="00A67866"/>
    <w:rsid w:val="00A70B07"/>
    <w:rsid w:val="00A723F8"/>
    <w:rsid w:val="00A77A04"/>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91A"/>
    <w:rsid w:val="00AE5EB4"/>
    <w:rsid w:val="00AF0C18"/>
    <w:rsid w:val="00AF47C5"/>
    <w:rsid w:val="00AF5398"/>
    <w:rsid w:val="00B049AF"/>
    <w:rsid w:val="00B07242"/>
    <w:rsid w:val="00B10534"/>
    <w:rsid w:val="00B113DB"/>
    <w:rsid w:val="00B11D8A"/>
    <w:rsid w:val="00B12981"/>
    <w:rsid w:val="00B147DD"/>
    <w:rsid w:val="00B156FD"/>
    <w:rsid w:val="00B21F61"/>
    <w:rsid w:val="00B243F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0C4"/>
    <w:rsid w:val="00BE22F3"/>
    <w:rsid w:val="00BE5B52"/>
    <w:rsid w:val="00BE7B8D"/>
    <w:rsid w:val="00BF0993"/>
    <w:rsid w:val="00BF10A9"/>
    <w:rsid w:val="00BF1703"/>
    <w:rsid w:val="00BF231C"/>
    <w:rsid w:val="00BF51E5"/>
    <w:rsid w:val="00BF74A6"/>
    <w:rsid w:val="00C006C4"/>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4DB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F8"/>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446"/>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348"/>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06C9"/>
    <w:rsid w:val="00F515EE"/>
    <w:rsid w:val="00F56511"/>
    <w:rsid w:val="00F6194E"/>
    <w:rsid w:val="00F623AC"/>
    <w:rsid w:val="00F6412A"/>
    <w:rsid w:val="00F65893"/>
    <w:rsid w:val="00F66A4A"/>
    <w:rsid w:val="00F71E22"/>
    <w:rsid w:val="00F72142"/>
    <w:rsid w:val="00F72AE7"/>
    <w:rsid w:val="00F746E7"/>
    <w:rsid w:val="00F81141"/>
    <w:rsid w:val="00F833BA"/>
    <w:rsid w:val="00F84FD0"/>
    <w:rsid w:val="00F859A8"/>
    <w:rsid w:val="00F86D87"/>
    <w:rsid w:val="00F9108B"/>
    <w:rsid w:val="00F91349"/>
    <w:rsid w:val="00F92E01"/>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6D0927"/>
    <w:rsid w:val="083D2443"/>
    <w:rsid w:val="0A3015C0"/>
    <w:rsid w:val="0FE40729"/>
    <w:rsid w:val="133053D8"/>
    <w:rsid w:val="17C3738F"/>
    <w:rsid w:val="1A592CB1"/>
    <w:rsid w:val="21BF1D0D"/>
    <w:rsid w:val="22DB168B"/>
    <w:rsid w:val="23FF3079"/>
    <w:rsid w:val="24937080"/>
    <w:rsid w:val="281178FD"/>
    <w:rsid w:val="32A868B3"/>
    <w:rsid w:val="3D0F3928"/>
    <w:rsid w:val="421E63F9"/>
    <w:rsid w:val="466660EA"/>
    <w:rsid w:val="553300A8"/>
    <w:rsid w:val="55A4331F"/>
    <w:rsid w:val="5BDB4A0E"/>
    <w:rsid w:val="64510824"/>
    <w:rsid w:val="66570AFD"/>
    <w:rsid w:val="673210E6"/>
    <w:rsid w:val="68602589"/>
    <w:rsid w:val="69450271"/>
    <w:rsid w:val="6DC84652"/>
    <w:rsid w:val="742D74F5"/>
    <w:rsid w:val="791D0E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Date"/>
    <w:basedOn w:val="1"/>
    <w:next w:val="1"/>
    <w:uiPriority w:val="0"/>
    <w:pPr>
      <w:widowControl/>
      <w:jc w:val="left"/>
    </w:pPr>
    <w:rPr>
      <w:rFonts w:ascii="Calibri" w:hAnsi="Calibri" w:eastAsia="仿宋_GB2312"/>
      <w:kern w:val="0"/>
      <w:sz w:val="32"/>
    </w:rPr>
  </w:style>
  <w:style w:type="paragraph" w:styleId="18">
    <w:name w:val="Balloon Text"/>
    <w:basedOn w:val="1"/>
    <w:link w:val="47"/>
    <w:semiHidden/>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qFormat/>
    <w:uiPriority w:val="0"/>
    <w:rPr>
      <w:rFonts w:ascii="Times New Roman" w:hAnsi="Times New Roman" w:eastAsia="宋体" w:cs="Times New Roman"/>
      <w:b/>
      <w:bCs/>
      <w:kern w:val="44"/>
      <w:sz w:val="44"/>
      <w:szCs w:val="44"/>
    </w:rPr>
  </w:style>
  <w:style w:type="character" w:customStyle="1" w:styleId="37">
    <w:name w:val="标题 2 Char"/>
    <w:link w:val="3"/>
    <w:qFormat/>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qFormat/>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qFormat/>
    <w:uiPriority w:val="0"/>
    <w:rPr>
      <w:rFonts w:ascii="Arial" w:hAnsi="Arial" w:eastAsia="黑体" w:cs="Times New Roman"/>
      <w:szCs w:val="21"/>
    </w:rPr>
  </w:style>
  <w:style w:type="character" w:customStyle="1" w:styleId="45">
    <w:name w:val="页眉 Char"/>
    <w:link w:val="20"/>
    <w:qFormat/>
    <w:uiPriority w:val="99"/>
    <w:rPr>
      <w:rFonts w:ascii="Times New Roman" w:hAnsi="Times New Roman" w:eastAsia="宋体" w:cs="Times New Roman"/>
      <w:sz w:val="18"/>
      <w:szCs w:val="18"/>
    </w:rPr>
  </w:style>
  <w:style w:type="character" w:customStyle="1" w:styleId="46">
    <w:name w:val="页脚 Char"/>
    <w:link w:val="19"/>
    <w:qFormat/>
    <w:uiPriority w:val="99"/>
    <w:rPr>
      <w:rFonts w:ascii="宋体" w:hAnsi="Times New Roman" w:eastAsia="宋体" w:cs="Times New Roman"/>
      <w:sz w:val="18"/>
      <w:szCs w:val="18"/>
    </w:rPr>
  </w:style>
  <w:style w:type="character" w:customStyle="1" w:styleId="47">
    <w:name w:val="批注框文本 Char"/>
    <w:link w:val="18"/>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4"/>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文档结构图 Char"/>
    <w:basedOn w:val="30"/>
    <w:link w:val="13"/>
    <w:semiHidden/>
    <w:qFormat/>
    <w:uiPriority w:val="99"/>
    <w:rPr>
      <w:rFonts w:ascii="宋体"/>
      <w:kern w:val="2"/>
      <w:sz w:val="18"/>
      <w:szCs w:val="18"/>
    </w:rPr>
  </w:style>
  <w:style w:type="paragraph" w:customStyle="1" w:styleId="233">
    <w:name w:val="三级无"/>
    <w:basedOn w:val="234"/>
    <w:qFormat/>
    <w:uiPriority w:val="0"/>
    <w:pPr>
      <w:spacing w:beforeLines="0" w:afterLines="0"/>
    </w:pPr>
    <w:rPr>
      <w:rFonts w:ascii="宋体" w:eastAsia="宋体"/>
    </w:rPr>
  </w:style>
  <w:style w:type="paragraph" w:customStyle="1" w:styleId="234">
    <w:name w:val="三级条标题"/>
    <w:basedOn w:val="235"/>
    <w:next w:val="237"/>
    <w:qFormat/>
    <w:uiPriority w:val="0"/>
    <w:pPr>
      <w:outlineLvl w:val="4"/>
    </w:pPr>
  </w:style>
  <w:style w:type="paragraph" w:customStyle="1" w:styleId="235">
    <w:name w:val="二级条标题"/>
    <w:basedOn w:val="236"/>
    <w:next w:val="237"/>
    <w:qFormat/>
    <w:uiPriority w:val="0"/>
    <w:pPr>
      <w:spacing w:before="50" w:after="50"/>
      <w:outlineLvl w:val="3"/>
    </w:pPr>
  </w:style>
  <w:style w:type="paragraph" w:customStyle="1" w:styleId="236">
    <w:name w:val="一级条标题"/>
    <w:next w:val="237"/>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23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0F33B32D549486AA6816EE663777EB1"/>
        <w:style w:val=""/>
        <w:category>
          <w:name w:val="常规"/>
          <w:gallery w:val="placeholder"/>
        </w:category>
        <w:types>
          <w:type w:val="bbPlcHdr"/>
        </w:types>
        <w:behaviors>
          <w:behavior w:val="content"/>
        </w:behaviors>
        <w:description w:val=""/>
        <w:guid w:val="{A0EB99A1-821A-48D2-B687-F90E2DC802AE}"/>
      </w:docPartPr>
      <w:docPartBody>
        <w:p>
          <w:pPr>
            <w:pStyle w:val="5"/>
          </w:pPr>
          <w:r>
            <w:rPr>
              <w:rStyle w:val="4"/>
              <w:rFonts w:hint="eastAsia"/>
            </w:rPr>
            <w:t>单击或点击此处输入文字。</w:t>
          </w:r>
        </w:p>
      </w:docPartBody>
    </w:docPart>
    <w:docPart>
      <w:docPartPr>
        <w:name w:val="2C9E3D2C54CF4028BBA5F23608CC34FD"/>
        <w:style w:val=""/>
        <w:category>
          <w:name w:val="常规"/>
          <w:gallery w:val="placeholder"/>
        </w:category>
        <w:types>
          <w:type w:val="bbPlcHdr"/>
        </w:types>
        <w:behaviors>
          <w:behavior w:val="content"/>
        </w:behaviors>
        <w:description w:val=""/>
        <w:guid w:val="{1B07A5DA-6F96-49F1-90B7-3B02C66DD423}"/>
      </w:docPartPr>
      <w:docPartBody>
        <w:p>
          <w:pPr>
            <w:pStyle w:val="6"/>
          </w:pPr>
          <w:r>
            <w:rPr>
              <w:rStyle w:val="4"/>
              <w:rFonts w:hint="eastAsia"/>
            </w:rPr>
            <w:t>选择一项。</w:t>
          </w:r>
        </w:p>
      </w:docPartBody>
    </w:docPart>
    <w:docPart>
      <w:docPartPr>
        <w:name w:val="31BE3B1421DA44CDA074C3C5D4A117EF"/>
        <w:style w:val=""/>
        <w:category>
          <w:name w:val="常规"/>
          <w:gallery w:val="placeholder"/>
        </w:category>
        <w:types>
          <w:type w:val="bbPlcHdr"/>
        </w:types>
        <w:behaviors>
          <w:behavior w:val="content"/>
        </w:behaviors>
        <w:description w:val=""/>
        <w:guid w:val="{A696897A-ADD7-47B1-A503-8CBCFF33DF0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294F2F"/>
    <w:rsid w:val="00294F2F"/>
    <w:rsid w:val="00447038"/>
    <w:rsid w:val="00596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0F33B32D549486AA6816EE663777E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C9E3D2C54CF4028BBA5F23608CC34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1BE3B1421DA44CDA074C3C5D4A117E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EAA66F-20E6-48E1-8D17-A523E553FFC0}">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2925</Words>
  <Characters>3943</Characters>
  <Lines>36</Lines>
  <Paragraphs>10</Paragraphs>
  <TotalTime>2</TotalTime>
  <ScaleCrop>false</ScaleCrop>
  <LinksUpToDate>false</LinksUpToDate>
  <CharactersWithSpaces>4431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2023-01-09T00:49:00Z</dcterms:created>
  <dc:creator>张越</dc:creator>
  <dc:description>&lt;config cover="true" show_menu="true" version="1.0.0" doctype="SDKXY"&gt;_x000d_
&lt;/config&gt;</dc:description>
  <cp:lastModifiedBy>DELL</cp:lastModifiedBy>
  <cp:lastPrinted>2020-08-30T10:00:00Z</cp:lastPrinted>
  <dcterms:modified xsi:type="dcterms:W3CDTF">2023-11-28T09:27:07Z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287CD4744E984D228A841D3A117E24A1</vt:lpwstr>
  </property>
</Properties>
</file>