
<file path=[Content_Types].xml><?xml version="1.0" encoding="utf-8"?>
<Types xmlns="http://schemas.openxmlformats.org/package/2006/content-types">
  <Default Extension="xml" ContentType="application/xml"/>
  <Default Extension="bin" ContentType="application/vnd.openxmlformats-officedocument.oleObject"/>
  <Default Extension="tiff" ContentType="image/tiff"/>
  <Default Extension="jpeg" ContentType="image/jpeg"/>
  <Default Extension="JPG" ContentType="image/.jp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91.120.40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90</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32</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2023</w:t>
      </w:r>
      <w:r>
        <w:fldChar w:fldCharType="end"/>
      </w:r>
      <w:bookmarkEnd w:id="7"/>
    </w:p>
    <w:p>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110kV全户内金属结构变电站雷电防护</w:t>
      </w:r>
    </w:p>
    <w:p>
      <w:pPr>
        <w:pStyle w:val="197"/>
        <w:framePr w:h="6974" w:hRule="exact" w:wrap="around" w:x="1419" w:anchorLock="1"/>
      </w:pPr>
      <w:r>
        <w:t xml:space="preserve">        设计规范     </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Design specifications for lightning protection of 110kV indoor power sub-stations with metal structure</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2023</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12</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2023</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12</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468"/>
      </w:pPr>
      <w:bookmarkStart w:id="21" w:name="BookMark1"/>
      <w:bookmarkStart w:id="22" w:name="_Toc151713099"/>
      <w:bookmarkStart w:id="23" w:name="_Toc151717682"/>
      <w:bookmarkStart w:id="24" w:name="_Toc151717660"/>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TOC \o "1-1" \h \t "标准文件_一级条标题,2,标准文件_二级条标题,3,标准文件_三级条标题,4,标准文件_附录一级条标题,2,标准文件_附录二级条标题,3,标准文件_附录三级条标题,4," </w:instrText>
      </w:r>
      <w:r>
        <w:fldChar w:fldCharType="separate"/>
      </w:r>
      <w:r>
        <w:fldChar w:fldCharType="begin"/>
      </w:r>
      <w:r>
        <w:instrText xml:space="preserve"> HYPERLINK \l "_Toc151734915" </w:instrText>
      </w:r>
      <w:r>
        <w:fldChar w:fldCharType="separate"/>
      </w:r>
      <w:r>
        <w:rPr>
          <w:rStyle w:val="32"/>
          <w:spacing w:val="320"/>
        </w:rPr>
        <w:t>前</w:t>
      </w:r>
      <w:r>
        <w:rPr>
          <w:rStyle w:val="32"/>
        </w:rPr>
        <w:t>言</w:t>
      </w:r>
      <w:r>
        <w:tab/>
      </w:r>
      <w:r>
        <w:fldChar w:fldCharType="begin"/>
      </w:r>
      <w:r>
        <w:instrText xml:space="preserve"> PAGEREF _Toc151734915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"_Toc151734916" </w:instrText>
      </w:r>
      <w:r>
        <w:fldChar w:fldCharType="separate"/>
      </w:r>
      <w:r>
        <w:rPr>
          <w:rStyle w:val="32"/>
          <w:spacing w:val="320"/>
        </w:rPr>
        <w:t>引</w:t>
      </w:r>
      <w:r>
        <w:rPr>
          <w:rStyle w:val="32"/>
        </w:rPr>
        <w:t>言</w:t>
      </w:r>
      <w:r>
        <w:tab/>
      </w:r>
      <w:r>
        <w:fldChar w:fldCharType="begin"/>
      </w:r>
      <w:r>
        <w:instrText xml:space="preserve"> PAGEREF _Toc151734916 \h </w:instrText>
      </w:r>
      <w:r>
        <w:fldChar w:fldCharType="separate"/>
      </w:r>
      <w:r>
        <w:t>III</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"_Toc151734917" </w:instrText>
      </w:r>
      <w:r>
        <w:fldChar w:fldCharType="separate"/>
      </w:r>
      <w:r>
        <w:rPr>
          <w:rStyle w:val="32"/>
        </w:rPr>
        <w:t>1 范围</w:t>
      </w:r>
      <w:r>
        <w:tab/>
      </w:r>
      <w:r>
        <w:fldChar w:fldCharType="begin"/>
      </w:r>
      <w:r>
        <w:instrText xml:space="preserve"> PAGEREF _Toc151734917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"_Toc151734918" </w:instrText>
      </w:r>
      <w:r>
        <w:fldChar w:fldCharType="separate"/>
      </w:r>
      <w:r>
        <w:rPr>
          <w:rStyle w:val="32"/>
        </w:rPr>
        <w:t>2 规范性引用文件</w:t>
      </w:r>
      <w:r>
        <w:tab/>
      </w:r>
      <w:r>
        <w:fldChar w:fldCharType="begin"/>
      </w:r>
      <w:r>
        <w:instrText xml:space="preserve"> PAGEREF _Toc151734918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"_Toc151734919" </w:instrText>
      </w:r>
      <w:r>
        <w:fldChar w:fldCharType="separate"/>
      </w:r>
      <w:r>
        <w:rPr>
          <w:rStyle w:val="32"/>
        </w:rPr>
        <w:t>3 术语和定义</w:t>
      </w:r>
      <w:r>
        <w:tab/>
      </w:r>
      <w:r>
        <w:fldChar w:fldCharType="begin"/>
      </w:r>
      <w:r>
        <w:instrText xml:space="preserve"> PAGEREF _Toc151734919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"_Toc151734920" </w:instrText>
      </w:r>
      <w:r>
        <w:fldChar w:fldCharType="separate"/>
      </w:r>
      <w:r>
        <w:rPr>
          <w:rStyle w:val="32"/>
        </w:rPr>
        <w:t>4 总体要求</w:t>
      </w:r>
      <w:r>
        <w:tab/>
      </w:r>
      <w:r>
        <w:fldChar w:fldCharType="begin"/>
      </w:r>
      <w:r>
        <w:instrText xml:space="preserve"> PAGEREF _Toc151734920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"_Toc151734921" </w:instrText>
      </w:r>
      <w:r>
        <w:fldChar w:fldCharType="separate"/>
      </w:r>
      <w:r>
        <w:rPr>
          <w:rStyle w:val="32"/>
        </w:rPr>
        <w:t>5 直击雷防护</w:t>
      </w:r>
      <w:r>
        <w:tab/>
      </w:r>
      <w:r>
        <w:fldChar w:fldCharType="begin"/>
      </w:r>
      <w:r>
        <w:instrText xml:space="preserve"> PAGEREF _Toc151734921 \h </w:instrText>
      </w:r>
      <w:r>
        <w:fldChar w:fldCharType="separate"/>
      </w:r>
      <w:r>
        <w:t>2</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"_Toc151734922" </w:instrText>
      </w:r>
      <w:r>
        <w:fldChar w:fldCharType="separate"/>
      </w:r>
      <w:r>
        <w:rPr>
          <w:rStyle w:val="32"/>
          <w14:scene3d w14:prst="orthographicFront">
            <w14:lightRig w14:rig="threePt" w14:dir="t">
              <w14:rot w14:lat="0" w14:lon="0" w14:rev="0"/>
            </w14:lightRig>
          </w14:scene3d>
        </w:rPr>
        <w:t>5.1</w:t>
      </w:r>
      <w:r>
        <w:rPr>
          <w:rStyle w:val="32"/>
        </w:rPr>
        <w:t xml:space="preserve"> 接闪器</w:t>
      </w:r>
      <w:r>
        <w:tab/>
      </w:r>
      <w:r>
        <w:fldChar w:fldCharType="begin"/>
      </w:r>
      <w:r>
        <w:instrText xml:space="preserve"> PAGEREF _Toc151734922 \h </w:instrText>
      </w:r>
      <w:r>
        <w:fldChar w:fldCharType="separate"/>
      </w:r>
      <w:r>
        <w:t>2</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"_Toc151734923" </w:instrText>
      </w:r>
      <w:r>
        <w:fldChar w:fldCharType="separate"/>
      </w:r>
      <w:r>
        <w:rPr>
          <w:rStyle w:val="32"/>
          <w14:scene3d w14:prst="orthographicFront">
            <w14:lightRig w14:rig="threePt" w14:dir="t">
              <w14:rot w14:lat="0" w14:lon="0" w14:rev="0"/>
            </w14:lightRig>
          </w14:scene3d>
        </w:rPr>
        <w:t>5.2</w:t>
      </w:r>
      <w:r>
        <w:rPr>
          <w:rStyle w:val="32"/>
        </w:rPr>
        <w:t xml:space="preserve"> 引下线</w:t>
      </w:r>
      <w:r>
        <w:tab/>
      </w:r>
      <w:r>
        <w:fldChar w:fldCharType="begin"/>
      </w:r>
      <w:r>
        <w:instrText xml:space="preserve"> PAGEREF _Toc151734923 \h </w:instrText>
      </w:r>
      <w:r>
        <w:fldChar w:fldCharType="separate"/>
      </w:r>
      <w:r>
        <w:t>3</w:t>
      </w:r>
      <w:r>
        <w:fldChar w:fldCharType="end"/>
      </w:r>
      <w:r>
        <w:fldChar w:fldCharType="end"/>
      </w:r>
    </w:p>
    <w:p>
      <w:pPr>
        <w:pStyle w:val="24"/>
        <w:rPr>
          <w:rFonts w:asciiTheme="minorHAnsi" w:hAnsiTheme="minorHAnsi" w:eastAsiaTheme="minorEastAsia" w:cstheme="minorBidi"/>
          <w:szCs w:val="22"/>
          <w14:ligatures w14:val="standardContextual"/>
        </w:rPr>
      </w:pPr>
      <w:r>
        <w:fldChar w:fldCharType="begin"/>
      </w:r>
      <w:r>
        <w:instrText xml:space="preserve"> HYPERLINK \l "_Toc151734924" </w:instrText>
      </w:r>
      <w:r>
        <w:fldChar w:fldCharType="separate"/>
      </w:r>
      <w:r>
        <w:rPr>
          <w:rStyle w:val="32"/>
          <w14:scene3d w14:prst="orthographicFront">
            <w14:lightRig w14:rig="threePt" w14:dir="t">
              <w14:rot w14:lat="0" w14:lon="0" w14:rev="0"/>
            </w14:lightRig>
          </w14:scene3d>
        </w:rPr>
        <w:t>5.3</w:t>
      </w:r>
      <w:r>
        <w:rPr>
          <w:rStyle w:val="32"/>
        </w:rPr>
        <w:t xml:space="preserve"> 防雷接地</w:t>
      </w:r>
      <w:r>
        <w:tab/>
      </w:r>
      <w:r>
        <w:fldChar w:fldCharType="begin"/>
      </w:r>
      <w:r>
        <w:instrText xml:space="preserve"> PAGEREF _Toc151734924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"_Toc151734925" </w:instrText>
      </w:r>
      <w:r>
        <w:fldChar w:fldCharType="separate"/>
      </w:r>
      <w:r>
        <w:rPr>
          <w:rStyle w:val="32"/>
        </w:rPr>
        <w:t>6 雷击电磁脉冲防护</w:t>
      </w:r>
      <w:r>
        <w:tab/>
      </w:r>
      <w:r>
        <w:fldChar w:fldCharType="begin"/>
      </w:r>
      <w:r>
        <w:instrText xml:space="preserve"> PAGEREF _Toc151734925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"_Toc151734926" </w:instrText>
      </w:r>
      <w:r>
        <w:fldChar w:fldCharType="separate"/>
      </w:r>
      <w:r>
        <w:rPr>
          <w:rStyle w:val="32"/>
          <w:spacing w:val="100"/>
        </w:rPr>
        <w:t>附录A</w:t>
      </w:r>
      <w:r>
        <w:rPr>
          <w:rStyle w:val="32"/>
        </w:rPr>
        <w:t xml:space="preserve"> （资料性） 屋面金属板压接图例</w:t>
      </w:r>
      <w:r>
        <w:tab/>
      </w:r>
      <w:r>
        <w:t>6</w:t>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"_Toc151734927" </w:instrText>
      </w:r>
      <w:r>
        <w:fldChar w:fldCharType="separate"/>
      </w:r>
      <w:r>
        <w:rPr>
          <w:rStyle w:val="32"/>
          <w:spacing w:val="100"/>
        </w:rPr>
        <w:t>附录B</w:t>
      </w:r>
      <w:r>
        <w:rPr>
          <w:rStyle w:val="32"/>
        </w:rPr>
        <w:t xml:space="preserve"> （资料性） 典型材质雷电流热效</w:t>
      </w:r>
      <w:r>
        <w:rPr>
          <w:rStyle w:val="32"/>
          <w:rFonts w:hint="eastAsia"/>
        </w:rPr>
        <w:t>应</w:t>
      </w:r>
      <w:r>
        <w:rPr>
          <w:rStyle w:val="32"/>
        </w:rPr>
        <w:t>理论计算</w:t>
      </w:r>
      <w:r>
        <w:tab/>
      </w:r>
      <w:r>
        <w:t>7</w:t>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"_Toc151734928" </w:instrText>
      </w:r>
      <w:r>
        <w:fldChar w:fldCharType="separate"/>
      </w:r>
      <w:r>
        <w:rPr>
          <w:rStyle w:val="32"/>
          <w:spacing w:val="100"/>
        </w:rPr>
        <w:t>附录C</w:t>
      </w:r>
      <w:r>
        <w:rPr>
          <w:rStyle w:val="32"/>
        </w:rPr>
        <w:t xml:space="preserve"> （资料性） 金属屋面直击雷电流冲击试验方案</w:t>
      </w:r>
      <w:r>
        <w:tab/>
      </w:r>
      <w:r>
        <w:t>8</w:t>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"_Toc151734929" </w:instrText>
      </w:r>
      <w:r>
        <w:fldChar w:fldCharType="separate"/>
      </w:r>
      <w:r>
        <w:rPr>
          <w:rStyle w:val="32"/>
          <w:spacing w:val="100"/>
        </w:rPr>
        <w:t>附录D</w:t>
      </w:r>
      <w:r>
        <w:rPr>
          <w:rStyle w:val="32"/>
        </w:rPr>
        <w:t xml:space="preserve"> （资料性） 接地系统布置样图</w:t>
      </w:r>
      <w:r>
        <w:tab/>
      </w:r>
      <w:r>
        <w:t>9</w:t>
      </w:r>
      <w:r>
        <w:fldChar w:fldCharType="end"/>
      </w:r>
    </w:p>
    <w:p>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"_Toc151734930" </w:instrText>
      </w:r>
      <w:r>
        <w:fldChar w:fldCharType="separate"/>
      </w:r>
      <w:r>
        <w:rPr>
          <w:rStyle w:val="32"/>
          <w:spacing w:val="105"/>
        </w:rPr>
        <w:t>参考文</w:t>
      </w:r>
      <w:r>
        <w:rPr>
          <w:rStyle w:val="32"/>
        </w:rPr>
        <w:t>献</w:t>
      </w:r>
      <w:r>
        <w:tab/>
      </w:r>
      <w:r>
        <w:fldChar w:fldCharType="begin"/>
      </w:r>
      <w:r>
        <w:instrText xml:space="preserve"> PAGEREF _Toc151734930 \h </w:instrText>
      </w:r>
      <w:r>
        <w:fldChar w:fldCharType="separate"/>
      </w:r>
      <w:r>
        <w:t>11</w:t>
      </w:r>
      <w:r>
        <w:fldChar w:fldCharType="end"/>
      </w:r>
      <w:r>
        <w:fldChar w:fldCharType="end"/>
      </w:r>
    </w:p>
    <w:p>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before="900" w:after="468"/>
      </w:pPr>
      <w:bookmarkStart w:id="25" w:name="_Toc151734915"/>
      <w:bookmarkStart w:id="26" w:name="BookMark2"/>
      <w:r>
        <w:rPr>
          <w:spacing w:val="320"/>
        </w:rPr>
        <w:t>前</w:t>
      </w:r>
      <w:r>
        <w:t>言</w:t>
      </w:r>
      <w:bookmarkEnd w:id="22"/>
      <w:bookmarkEnd w:id="23"/>
      <w:bookmarkEnd w:id="24"/>
      <w:bookmarkEnd w:id="25"/>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注意本文件的某些内容可能涉及专利。本文件的发布机构不承担识别专利的责任。</w:t>
      </w:r>
    </w:p>
    <w:p>
      <w:pPr>
        <w:pStyle w:val="56"/>
        <w:ind w:firstLine="420"/>
      </w:pPr>
      <w:r>
        <w:rPr>
          <w:rFonts w:hint="eastAsia"/>
        </w:rPr>
        <w:t>本文件由江苏省气象局提出</w:t>
      </w:r>
      <w:r>
        <w:rPr>
          <w:rFonts w:hint="eastAsia"/>
          <w:lang w:val="en-US" w:eastAsia="zh-CN"/>
        </w:rPr>
        <w:t>并</w:t>
      </w:r>
      <w:r>
        <w:rPr>
          <w:rFonts w:hint="eastAsia"/>
        </w:rPr>
        <w:t>归口。</w:t>
      </w:r>
    </w:p>
    <w:p>
      <w:pPr>
        <w:pStyle w:val="56"/>
        <w:ind w:firstLine="420"/>
      </w:pPr>
      <w:r>
        <w:rPr>
          <w:rFonts w:hint="eastAsia"/>
        </w:rPr>
        <w:t>本文件起草单位：南京电力设计研究院有限公司、江苏省防雷减灾协会、江苏天安防雷工程有限责任公司、南京意诚科技有限公司、江苏大云防雷检测有限公司、中规国际咨询有限公司、龙乐电气有限公司。</w:t>
      </w:r>
    </w:p>
    <w:p>
      <w:pPr>
        <w:pStyle w:val="56"/>
        <w:ind w:firstLine="420"/>
      </w:pPr>
      <w:r>
        <w:rPr>
          <w:rFonts w:hint="eastAsia"/>
        </w:rPr>
        <w:t>本文件主要起草人：周俊驰、张彪、姜翠宏、高海洋、张骏、周亮、王新国、陈庭记、兰国军、杨莲、游志远、刘永生、仇文捷、陈广昌、茅嘉毅、何浦桥、马斌、邵天颖、张洁茹、蒋海琴。</w:t>
      </w:r>
    </w:p>
    <w:p>
      <w:pPr>
        <w:pStyle w:val="56"/>
        <w:ind w:firstLine="420"/>
      </w:pPr>
    </w:p>
    <w:p>
      <w:pPr>
        <w:pStyle w:val="56"/>
        <w:ind w:firstLine="420"/>
      </w:pP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bookmarkStart w:id="97" w:name="_GoBack"/>
      <w:bookmarkEnd w:id="97"/>
    </w:p>
    <w:bookmarkEnd w:id="26"/>
    <w:p>
      <w:pPr>
        <w:pStyle w:val="89"/>
        <w:spacing w:after="468"/>
      </w:pPr>
      <w:bookmarkStart w:id="27" w:name="_Toc151734916"/>
      <w:bookmarkStart w:id="28" w:name="_Toc151717683"/>
      <w:bookmarkStart w:id="29" w:name="_Toc151713100"/>
      <w:bookmarkStart w:id="30" w:name="_Toc151717661"/>
      <w:bookmarkStart w:id="31" w:name="BookMark3"/>
      <w:r>
        <w:rPr>
          <w:spacing w:val="320"/>
        </w:rPr>
        <w:t>引</w:t>
      </w:r>
      <w:r>
        <w:t>言</w:t>
      </w:r>
      <w:bookmarkEnd w:id="27"/>
      <w:bookmarkEnd w:id="28"/>
      <w:bookmarkEnd w:id="29"/>
      <w:bookmarkEnd w:id="30"/>
    </w:p>
    <w:p>
      <w:pPr>
        <w:pStyle w:val="56"/>
        <w:ind w:firstLine="420"/>
      </w:pPr>
      <w:r>
        <w:rPr>
          <w:rFonts w:hint="eastAsia"/>
        </w:rPr>
        <w:t>为了推进电力行业高质量发展，江苏省电力部门正在积极推动110kV全户内金属结构变电站的普及。这种新型结构变电站的梁、柱、墙体和屋面等均由金属预制件组装而成，无需进行地面湿作业，且建筑材料可全部循环利用，因此更加符合城市绿色和低碳的发展需求。然而，由于其在结构、材质上与传统现浇混凝土变电站存在显著差异，因此对雷电防护提出了新的要求。</w:t>
      </w:r>
    </w:p>
    <w:p>
      <w:pPr>
        <w:pStyle w:val="56"/>
        <w:ind w:firstLine="420"/>
      </w:pPr>
      <w:r>
        <w:rPr>
          <w:rFonts w:hint="eastAsia"/>
        </w:rPr>
        <w:t>针对这种新型结构变电站的雷电防护设计，本文件提出了具体且可行的措施要求，使得110kV全户内金属结构变电站的雷电防护设计更加科学、合理、经济。</w:t>
      </w:r>
    </w:p>
    <w:p>
      <w:pPr>
        <w:pStyle w:val="56"/>
        <w:ind w:firstLine="420"/>
      </w:pP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31"/>
    <w:p>
      <w:pPr>
        <w:spacing w:line="20" w:lineRule="exact"/>
        <w:jc w:val="center"/>
        <w:rPr>
          <w:rFonts w:ascii="黑体" w:hAnsi="黑体" w:eastAsia="黑体"/>
          <w:sz w:val="32"/>
          <w:szCs w:val="32"/>
        </w:rPr>
      </w:pPr>
      <w:bookmarkStart w:id="32" w:name="BookMark4"/>
    </w:p>
    <w:p>
      <w:pPr>
        <w:spacing w:line="20" w:lineRule="exact"/>
        <w:jc w:val="center"/>
        <w:rPr>
          <w:rFonts w:ascii="黑体" w:hAnsi="黑体" w:eastAsia="黑体"/>
          <w:sz w:val="32"/>
          <w:szCs w:val="32"/>
        </w:rPr>
      </w:pPr>
    </w:p>
    <w:sdt>
      <w:sdtPr>
        <w:tag w:val="NEW_STAND_NAME"/>
        <w:id w:val="595910757"/>
        <w:lock w:val="sdtLocked"/>
        <w:placeholder>
          <w:docPart w:val="7CB72F20B3A741B1BD0D069A6E169FE7"/>
        </w:placeholder>
      </w:sdtPr>
      <w:sdtContent>
        <w:p>
          <w:pPr>
            <w:pStyle w:val="177"/>
            <w:spacing w:before="3" w:beforeLines="1" w:after="3" w:afterLines="1"/>
          </w:pPr>
          <w:bookmarkStart w:id="33" w:name="NEW_STAND_NAME"/>
          <w:r>
            <w:t>110kV全户内金属结构变电站雷电防护</w:t>
          </w:r>
        </w:p>
        <w:p>
          <w:pPr>
            <w:pStyle w:val="177"/>
            <w:spacing w:before="3" w:beforeLines="1" w:after="680"/>
          </w:pPr>
          <w:r>
            <w:t xml:space="preserve"> 设计规范     </w:t>
          </w:r>
        </w:p>
      </w:sdtContent>
    </w:sdt>
    <w:bookmarkEnd w:id="33"/>
    <w:p>
      <w:pPr>
        <w:pStyle w:val="104"/>
        <w:spacing w:before="312" w:after="312"/>
      </w:pPr>
      <w:bookmarkStart w:id="34" w:name="_Toc151717684"/>
      <w:bookmarkStart w:id="35" w:name="_Toc97191423"/>
      <w:bookmarkStart w:id="36" w:name="_Toc17233333"/>
      <w:bookmarkStart w:id="37" w:name="_Toc24884211"/>
      <w:bookmarkStart w:id="38" w:name="_Toc24884218"/>
      <w:bookmarkStart w:id="39" w:name="_Toc26648465"/>
      <w:bookmarkStart w:id="40" w:name="_Toc26986771"/>
      <w:bookmarkStart w:id="41" w:name="_Toc151713101"/>
      <w:bookmarkStart w:id="42" w:name="_Toc151717662"/>
      <w:bookmarkStart w:id="43" w:name="_Toc26718930"/>
      <w:bookmarkStart w:id="44" w:name="_Toc26986530"/>
      <w:bookmarkStart w:id="45" w:name="_Toc17233325"/>
      <w:bookmarkStart w:id="46" w:name="_Toc151734917"/>
      <w:r>
        <w:rPr>
          <w:rFonts w:hint="eastAsia"/>
        </w:rPr>
        <w:t>范围</w:t>
      </w:r>
      <w:bookmarkEnd w:id="34"/>
      <w:bookmarkEnd w:id="35"/>
      <w:bookmarkEnd w:id="36"/>
      <w:bookmarkEnd w:id="37"/>
      <w:bookmarkEnd w:id="38"/>
      <w:bookmarkEnd w:id="39"/>
      <w:bookmarkEnd w:id="40"/>
      <w:bookmarkEnd w:id="41"/>
      <w:bookmarkEnd w:id="42"/>
      <w:bookmarkEnd w:id="43"/>
      <w:bookmarkEnd w:id="44"/>
      <w:bookmarkEnd w:id="45"/>
      <w:bookmarkEnd w:id="46"/>
    </w:p>
    <w:p>
      <w:pPr>
        <w:pStyle w:val="56"/>
        <w:ind w:firstLine="420"/>
      </w:pPr>
      <w:bookmarkStart w:id="47" w:name="_Toc17233334"/>
      <w:bookmarkStart w:id="48" w:name="_Toc17233326"/>
      <w:bookmarkStart w:id="49" w:name="_Toc24884219"/>
      <w:bookmarkStart w:id="50" w:name="_Toc26648466"/>
      <w:bookmarkStart w:id="51" w:name="_Toc24884212"/>
      <w:r>
        <w:rPr>
          <w:rFonts w:hint="eastAsia"/>
        </w:rPr>
        <w:t>本文件规定了110kV全户内金属结构变电站（以下简称“金属结构变电站”）雷电防护设计的总体要求、直击雷防护、雷击电磁脉冲防护。</w:t>
      </w:r>
    </w:p>
    <w:p>
      <w:pPr>
        <w:pStyle w:val="56"/>
        <w:ind w:firstLine="420"/>
      </w:pPr>
      <w:r>
        <w:rPr>
          <w:rFonts w:hint="eastAsia"/>
        </w:rPr>
        <w:t>本文件适用于新建110kV全户内金属结构变电站的雷电防护设计。</w:t>
      </w:r>
    </w:p>
    <w:p>
      <w:pPr>
        <w:pStyle w:val="104"/>
        <w:spacing w:before="312" w:after="312"/>
      </w:pPr>
      <w:bookmarkStart w:id="52" w:name="_Toc26986531"/>
      <w:bookmarkStart w:id="53" w:name="_Toc151717685"/>
      <w:bookmarkStart w:id="54" w:name="_Toc26986772"/>
      <w:bookmarkStart w:id="55" w:name="_Toc97191424"/>
      <w:bookmarkStart w:id="56" w:name="_Toc26718931"/>
      <w:bookmarkStart w:id="57" w:name="_Toc151713102"/>
      <w:bookmarkStart w:id="58" w:name="_Toc151734918"/>
      <w:bookmarkStart w:id="59" w:name="_Toc151717663"/>
      <w:r>
        <w:rPr>
          <w:rFonts w:hint="eastAsia"/>
        </w:rPr>
        <w:t>规范性引用文件</w:t>
      </w:r>
      <w:bookmarkEnd w:id="47"/>
      <w:bookmarkEnd w:id="48"/>
      <w:bookmarkEnd w:id="49"/>
      <w:bookmarkEnd w:id="50"/>
      <w:bookmarkEnd w:id="51"/>
      <w:bookmarkEnd w:id="52"/>
      <w:bookmarkEnd w:id="53"/>
      <w:bookmarkEnd w:id="54"/>
      <w:bookmarkEnd w:id="55"/>
      <w:bookmarkEnd w:id="56"/>
      <w:bookmarkEnd w:id="57"/>
      <w:bookmarkEnd w:id="58"/>
      <w:bookmarkEnd w:id="59"/>
    </w:p>
    <w:sdt>
      <w:sdtPr>
        <w:rPr>
          <w:rFonts w:hint="eastAsia"/>
        </w:rPr>
        <w:id w:val="715848253"/>
        <w:placeholder>
          <w:docPart w:val="1485C6A175E44331B7B47DBC944EA2D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GB/T 21431 建筑物防雷装置检测技术规范</w:t>
      </w:r>
    </w:p>
    <w:p>
      <w:pPr>
        <w:pStyle w:val="56"/>
        <w:ind w:firstLine="420"/>
      </w:pPr>
      <w:r>
        <w:rPr>
          <w:rFonts w:hint="eastAsia"/>
        </w:rPr>
        <w:t>GB/T 37047—2022 基于雷电定位系统（LLS）的地闪密度 总则</w:t>
      </w:r>
    </w:p>
    <w:p>
      <w:pPr>
        <w:pStyle w:val="56"/>
        <w:ind w:firstLine="420"/>
      </w:pPr>
      <w:r>
        <w:rPr>
          <w:rFonts w:hint="eastAsia"/>
        </w:rPr>
        <w:t>GB/T 50064—2014 交流电气装置的过电压保护和绝缘配合设计规范</w:t>
      </w:r>
    </w:p>
    <w:p>
      <w:pPr>
        <w:pStyle w:val="56"/>
        <w:ind w:firstLine="420"/>
      </w:pPr>
      <w:r>
        <w:rPr>
          <w:rFonts w:hint="eastAsia"/>
        </w:rPr>
        <w:t>GB/T 50065—2011 交流电气装置接地设计规范</w:t>
      </w:r>
    </w:p>
    <w:p>
      <w:pPr>
        <w:pStyle w:val="104"/>
        <w:spacing w:before="312" w:after="312"/>
      </w:pPr>
      <w:bookmarkStart w:id="60" w:name="_Toc151713103"/>
      <w:bookmarkStart w:id="61" w:name="_Toc151717664"/>
      <w:bookmarkStart w:id="62" w:name="_Toc151717686"/>
      <w:bookmarkStart w:id="63" w:name="_Toc97191425"/>
      <w:bookmarkStart w:id="64" w:name="_Toc151734919"/>
      <w:r>
        <w:rPr>
          <w:rFonts w:hint="eastAsia"/>
          <w:szCs w:val="21"/>
        </w:rPr>
        <w:t>术语和定义</w:t>
      </w:r>
      <w:bookmarkEnd w:id="60"/>
      <w:bookmarkEnd w:id="61"/>
      <w:bookmarkEnd w:id="62"/>
      <w:bookmarkEnd w:id="63"/>
      <w:bookmarkEnd w:id="64"/>
    </w:p>
    <w:sdt>
      <w:sdtPr>
        <w:id w:val="-1909835108"/>
        <w:placeholder>
          <w:docPart w:val="0E50E91C31344967B343DE8BA0FD0E9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65" w:name="_Toc26986532"/>
          <w:bookmarkEnd w:id="65"/>
          <w:r>
            <w:t>下列术语和定义适用于本文件。</w:t>
          </w:r>
        </w:p>
      </w:sdtContent>
    </w:sdt>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全户内金属结构变电站 indoor power sub-stations with metal structure</w:t>
      </w:r>
    </w:p>
    <w:p>
      <w:pPr>
        <w:pStyle w:val="56"/>
        <w:ind w:firstLine="420"/>
      </w:pPr>
      <w:r>
        <w:rPr>
          <w:rFonts w:hint="eastAsia"/>
        </w:rPr>
        <w:t>屋面、梁、柱、墙体等主体结构采用金属预制件装配而成，主变及配电装置均在户内布置的变电站。</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雷击电磁脉冲 lightning electromagnetic impulse；LEMP</w:t>
      </w:r>
    </w:p>
    <w:p>
      <w:pPr>
        <w:pStyle w:val="56"/>
        <w:ind w:firstLine="420"/>
      </w:pPr>
      <w:r>
        <w:rPr>
          <w:rFonts w:hint="eastAsia"/>
        </w:rPr>
        <w:t>雷电流经电阻、电感、电容耦合产生的电磁效应，包含闪电电涌和辐射电磁场。</w:t>
      </w:r>
    </w:p>
    <w:p>
      <w:pPr>
        <w:pStyle w:val="56"/>
        <w:ind w:firstLine="420"/>
      </w:pPr>
      <w:r>
        <w:rPr>
          <w:rFonts w:hint="eastAsia"/>
        </w:rPr>
        <w:t>[来源：GB 50057—2010,2.0.25]</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强雷区 severe keraunic region</w:t>
      </w:r>
    </w:p>
    <w:p>
      <w:pPr>
        <w:pStyle w:val="56"/>
        <w:ind w:firstLine="420"/>
      </w:pPr>
      <w:r>
        <w:rPr>
          <w:rFonts w:hint="eastAsia"/>
        </w:rPr>
        <w:t>近5年年平均地闪密度超过7.98次/（km</w:t>
      </w:r>
      <w:r>
        <w:rPr>
          <w:rFonts w:hint="eastAsia"/>
          <w:vertAlign w:val="superscript"/>
        </w:rPr>
        <w:t>2</w:t>
      </w:r>
      <w:r>
        <w:rPr>
          <w:rFonts w:hint="eastAsia"/>
        </w:rPr>
        <w:t>·a）的地区。</w:t>
      </w:r>
    </w:p>
    <w:p>
      <w:pPr>
        <w:pStyle w:val="56"/>
        <w:ind w:firstLine="420"/>
      </w:pPr>
      <w:r>
        <w:rPr>
          <w:rFonts w:hint="eastAsia"/>
        </w:rPr>
        <w:t>[来源：GB/T 50064—2014,2.0.9,有修改]</w:t>
      </w:r>
    </w:p>
    <w:p>
      <w:pPr>
        <w:pStyle w:val="223"/>
        <w:ind w:left="420" w:hanging="420" w:hangingChars="200"/>
        <w:rPr>
          <w:rFonts w:ascii="黑体" w:hAnsi="黑体" w:eastAsia="黑体"/>
        </w:rPr>
      </w:pPr>
    </w:p>
    <w:p>
      <w:pPr>
        <w:pStyle w:val="223"/>
        <w:numPr>
          <w:ilvl w:val="0"/>
          <w:numId w:val="0"/>
        </w:numPr>
        <w:ind w:firstLine="420" w:firstLineChars="200"/>
        <w:rPr>
          <w:rFonts w:ascii="黑体" w:hAnsi="黑体" w:eastAsia="黑体"/>
        </w:rPr>
      </w:pPr>
      <w:r>
        <w:rPr>
          <w:rFonts w:hint="eastAsia" w:ascii="黑体" w:hAnsi="黑体" w:eastAsia="黑体"/>
        </w:rPr>
        <w:t xml:space="preserve">共用接地系统 common earthing system </w:t>
      </w:r>
    </w:p>
    <w:p>
      <w:pPr>
        <w:pStyle w:val="56"/>
        <w:ind w:firstLine="420"/>
      </w:pPr>
      <w:r>
        <w:rPr>
          <w:rFonts w:hint="eastAsia"/>
        </w:rPr>
        <w:t>将防雷系统的接地装置、建筑物金属构件、低压配电保护线（PE)、等电位连接端子板或连接带、设备保护地、屏蔽体接地、防静电接地、功能性接地等连在一起构成的接地装置。</w:t>
      </w:r>
    </w:p>
    <w:p>
      <w:pPr>
        <w:pStyle w:val="56"/>
        <w:ind w:firstLine="420"/>
      </w:pPr>
      <w:r>
        <w:rPr>
          <w:rFonts w:hint="eastAsia"/>
        </w:rPr>
        <w:t>[来源：GB/T 19663—2022,5.2.27]</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冲击接地电阻 impulse earthing resistance</w:t>
      </w:r>
    </w:p>
    <w:p>
      <w:pPr>
        <w:pStyle w:val="56"/>
        <w:ind w:firstLine="420"/>
      </w:pPr>
      <w:r>
        <w:rPr>
          <w:rFonts w:hint="eastAsia"/>
        </w:rPr>
        <w:t>根据通过接地极流入地中冲击电流求得的接地电阻（接地体上对地电压的峰值与电流峰值之比）。</w:t>
      </w:r>
    </w:p>
    <w:p>
      <w:pPr>
        <w:pStyle w:val="56"/>
        <w:ind w:firstLine="420"/>
      </w:pPr>
      <w:r>
        <w:rPr>
          <w:rFonts w:hint="eastAsia"/>
        </w:rPr>
        <w:t>[来源：GB/T 50065—2011,2.0.15]</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雷电防护区 lightning protection zone；LPZ</w:t>
      </w:r>
    </w:p>
    <w:p>
      <w:pPr>
        <w:pStyle w:val="56"/>
        <w:ind w:firstLine="420"/>
      </w:pPr>
      <w:r>
        <w:rPr>
          <w:rFonts w:hint="eastAsia"/>
        </w:rPr>
        <w:t>规定雷电电磁环境的区域，又称防雷区。</w:t>
      </w:r>
    </w:p>
    <w:p>
      <w:pPr>
        <w:pStyle w:val="180"/>
        <w:numPr>
          <w:ilvl w:val="0"/>
          <w:numId w:val="0"/>
        </w:numPr>
        <w:ind w:left="811" w:hanging="448"/>
      </w:pPr>
      <w:r>
        <w:rPr>
          <w:rFonts w:hint="eastAsia"/>
        </w:rPr>
        <w:t>注1：LPZ可分为LPZ0</w:t>
      </w:r>
      <w:r>
        <w:rPr>
          <w:rFonts w:hint="eastAsia"/>
          <w:vertAlign w:val="subscript"/>
        </w:rPr>
        <w:t>A</w:t>
      </w:r>
      <w:r>
        <w:rPr>
          <w:rFonts w:hint="eastAsia"/>
        </w:rPr>
        <w:t>、LPZ0</w:t>
      </w:r>
      <w:r>
        <w:rPr>
          <w:rFonts w:hint="eastAsia"/>
          <w:vertAlign w:val="subscript"/>
        </w:rPr>
        <w:t>B</w:t>
      </w:r>
      <w:r>
        <w:rPr>
          <w:rFonts w:hint="eastAsia"/>
        </w:rPr>
        <w:t>、LPZ1、LPZ2……、LPZn区。</w:t>
      </w:r>
    </w:p>
    <w:p>
      <w:pPr>
        <w:pStyle w:val="180"/>
        <w:numPr>
          <w:ilvl w:val="0"/>
          <w:numId w:val="0"/>
        </w:numPr>
        <w:ind w:left="811" w:hanging="448"/>
      </w:pPr>
      <w:r>
        <w:rPr>
          <w:rFonts w:hint="eastAsia"/>
        </w:rPr>
        <w:t>注2：雷电防护区的区界面不一定是实物界面。</w:t>
      </w:r>
    </w:p>
    <w:p>
      <w:pPr>
        <w:pStyle w:val="56"/>
        <w:ind w:firstLine="420"/>
      </w:pPr>
      <w:r>
        <w:rPr>
          <w:rFonts w:hint="eastAsia"/>
        </w:rPr>
        <w:t>[来源：GB/T 19663—2022,5.1.1，有修改]</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无间隙金属氧化物避雷器 metal-oxide surge arrester without gaps</w:t>
      </w:r>
    </w:p>
    <w:p>
      <w:pPr>
        <w:pStyle w:val="56"/>
        <w:ind w:firstLine="420"/>
      </w:pPr>
      <w:r>
        <w:rPr>
          <w:rFonts w:hint="eastAsia"/>
        </w:rPr>
        <w:t>由装在具有电气和机械连接端子外套中的非线性金属氧化物电阻片串联和（或）并联组成且无并联或串联放电间隙的避雷器。</w:t>
      </w:r>
    </w:p>
    <w:p>
      <w:pPr>
        <w:pStyle w:val="56"/>
        <w:ind w:firstLine="420"/>
      </w:pPr>
      <w:r>
        <w:rPr>
          <w:rFonts w:hint="eastAsia"/>
        </w:rPr>
        <w:t>[来源：GB/T 11032—2020,3.1]</w:t>
      </w:r>
    </w:p>
    <w:p>
      <w:pPr>
        <w:pStyle w:val="104"/>
        <w:spacing w:before="312" w:after="312"/>
      </w:pPr>
      <w:bookmarkStart w:id="66" w:name="_Toc151713104"/>
      <w:bookmarkStart w:id="67" w:name="_Toc151717665"/>
      <w:bookmarkStart w:id="68" w:name="_Toc151734920"/>
      <w:bookmarkStart w:id="69" w:name="_Toc151717687"/>
      <w:r>
        <w:rPr>
          <w:rFonts w:hint="eastAsia"/>
        </w:rPr>
        <w:t>总体要求</w:t>
      </w:r>
      <w:bookmarkEnd w:id="66"/>
      <w:bookmarkEnd w:id="67"/>
      <w:bookmarkEnd w:id="68"/>
      <w:bookmarkEnd w:id="69"/>
      <w:r>
        <w:rPr>
          <w:rFonts w:hint="eastAsia"/>
        </w:rPr>
        <w:t xml:space="preserve"> </w:t>
      </w:r>
    </w:p>
    <w:p>
      <w:pPr>
        <w:pStyle w:val="162"/>
        <w:ind w:left="0"/>
      </w:pPr>
      <w:r>
        <w:rPr>
          <w:rFonts w:hint="eastAsia"/>
        </w:rPr>
        <w:t>金属结构变电站雷电防护设计应做到安全可靠和经济合理。</w:t>
      </w:r>
    </w:p>
    <w:p>
      <w:pPr>
        <w:pStyle w:val="162"/>
        <w:ind w:left="143" w:hanging="142" w:hangingChars="68"/>
      </w:pPr>
      <w:r>
        <w:rPr>
          <w:rFonts w:hint="eastAsia"/>
        </w:rPr>
        <w:t>金属结构变电站应采取直击雷防护措施和雷击电磁脉冲防护措施。</w:t>
      </w:r>
    </w:p>
    <w:p>
      <w:pPr>
        <w:pStyle w:val="162"/>
        <w:ind w:left="0"/>
      </w:pPr>
      <w:r>
        <w:rPr>
          <w:rFonts w:hint="eastAsia"/>
        </w:rPr>
        <w:t>金属结构变电站的雷电防护措施应按第二类防雷建筑物设计。</w:t>
      </w:r>
    </w:p>
    <w:p>
      <w:pPr>
        <w:pStyle w:val="162"/>
        <w:ind w:left="0"/>
      </w:pPr>
      <w:r>
        <w:rPr>
          <w:rFonts w:hint="eastAsia"/>
        </w:rPr>
        <w:t>金属结构变电站雷电防护设计应考虑其所在地的雷电活动频次和土壤电阻率情况，处于强雷区且土壤电阻率较高（平原地区大于500Ω·m，山区大于1000Ω·m）时应区别制定雷电防护设计方案。地闪密度应按照GB/T 37047—2022第4.2条的要求进行计算。土壤电阻率应按照GB/T 21431中附录</w:t>
      </w:r>
      <w:r>
        <w:t>B</w:t>
      </w:r>
      <w:r>
        <w:rPr>
          <w:rFonts w:hint="eastAsia"/>
        </w:rPr>
        <w:t>的要求进行测量。</w:t>
      </w:r>
    </w:p>
    <w:p>
      <w:pPr>
        <w:pStyle w:val="104"/>
        <w:spacing w:before="312" w:after="312"/>
      </w:pPr>
      <w:bookmarkStart w:id="70" w:name="_Toc151717666"/>
      <w:bookmarkStart w:id="71" w:name="_Toc151717688"/>
      <w:bookmarkStart w:id="72" w:name="_Toc151734921"/>
      <w:r>
        <w:rPr>
          <w:rFonts w:hint="eastAsia"/>
        </w:rPr>
        <w:t>直击雷防护</w:t>
      </w:r>
      <w:bookmarkEnd w:id="70"/>
      <w:bookmarkEnd w:id="71"/>
      <w:bookmarkEnd w:id="72"/>
    </w:p>
    <w:p>
      <w:pPr>
        <w:pStyle w:val="105"/>
        <w:spacing w:before="156" w:after="156"/>
        <w:ind w:left="0"/>
      </w:pPr>
      <w:bookmarkStart w:id="73" w:name="_Toc151717689"/>
      <w:bookmarkStart w:id="74" w:name="_Toc151717667"/>
      <w:bookmarkStart w:id="75" w:name="_Toc151734922"/>
      <w:r>
        <w:rPr>
          <w:rFonts w:hint="eastAsia"/>
        </w:rPr>
        <w:t>接闪器</w:t>
      </w:r>
      <w:bookmarkEnd w:id="73"/>
      <w:bookmarkEnd w:id="74"/>
      <w:bookmarkEnd w:id="75"/>
    </w:p>
    <w:p>
      <w:pPr>
        <w:pStyle w:val="165"/>
      </w:pPr>
      <w:r>
        <w:rPr>
          <w:rFonts w:hint="eastAsia"/>
        </w:rPr>
        <w:t>金属结构变电站宜利用其金属屋面作为自然接闪器。</w:t>
      </w:r>
    </w:p>
    <w:p>
      <w:pPr>
        <w:pStyle w:val="165"/>
      </w:pPr>
      <w:r>
        <w:rPr>
          <w:rFonts w:hint="eastAsia"/>
        </w:rPr>
        <w:t>金属屋面作为自然接闪器时，可由多块金属板拼接而成，板间应确保电气贯通，屋面整体过渡电阻应不大于0.2Ω。当采用卷边压接时，无被覆层的裸露金属板压接接触长度应不小于30mm，连接方式可参照附录A。</w:t>
      </w:r>
    </w:p>
    <w:p>
      <w:pPr>
        <w:pStyle w:val="165"/>
      </w:pPr>
      <w:r>
        <w:rPr>
          <w:rFonts w:hint="eastAsia"/>
        </w:rPr>
        <w:t>金属屋面作为自然接闪器时，金属板材质符合以下要求：</w:t>
      </w:r>
    </w:p>
    <w:p>
      <w:pPr>
        <w:pStyle w:val="174"/>
      </w:pPr>
      <w:r>
        <w:rPr>
          <w:rFonts w:hint="eastAsia"/>
        </w:rPr>
        <w:t>铜板厚度应不小于0.7mm，铁板厚度应不小于0.8mm，铝板厚度应不小于0.9mm，锌板厚度应不小于1mm，典型材质雷电流热效应理论计算过程见附录B；</w:t>
      </w:r>
    </w:p>
    <w:p>
      <w:pPr>
        <w:pStyle w:val="174"/>
      </w:pPr>
      <w:r>
        <w:rPr>
          <w:rFonts w:hint="eastAsia"/>
        </w:rPr>
        <w:t>采用其它金属或合金材料宜开展直击雷电流冲击试验以确定厚度（试验方案可参见附录C），或厚度不小于1.1mm；</w:t>
      </w:r>
    </w:p>
    <w:p>
      <w:pPr>
        <w:pStyle w:val="174"/>
      </w:pPr>
      <w:r>
        <w:rPr>
          <w:rFonts w:hint="eastAsia"/>
        </w:rPr>
        <w:t>金属板宜采用双层结构；</w:t>
      </w:r>
    </w:p>
    <w:p>
      <w:pPr>
        <w:pStyle w:val="174"/>
      </w:pPr>
      <w:r>
        <w:rPr>
          <w:rFonts w:hint="eastAsia"/>
        </w:rPr>
        <w:t>金属板应无绝缘被覆层。</w:t>
      </w:r>
    </w:p>
    <w:p>
      <w:pPr>
        <w:pStyle w:val="179"/>
      </w:pPr>
      <w:r>
        <w:rPr>
          <w:rFonts w:hint="eastAsia"/>
        </w:rPr>
        <w:t>薄的油漆保护层或1mm厚沥青层或0.5mm厚聚氯乙烯层不属于绝缘被覆层。</w:t>
      </w:r>
    </w:p>
    <w:p>
      <w:pPr>
        <w:pStyle w:val="165"/>
      </w:pPr>
      <w:r>
        <w:rPr>
          <w:rFonts w:hint="eastAsia"/>
        </w:rPr>
        <w:t>金属屋面作为自然接闪器时，突出屋面的天线、风机、风管、水箱等部件应增设接闪器并在其保护范围内。增设的接闪器与金属屋面之间的过渡电阻应不大于0.2Ω。</w:t>
      </w:r>
    </w:p>
    <w:p>
      <w:pPr>
        <w:pStyle w:val="165"/>
      </w:pPr>
      <w:r>
        <w:rPr>
          <w:rFonts w:hint="eastAsia"/>
        </w:rPr>
        <w:t>处于强雷区且土壤电阻率较高（平原地区大于500Ω·m，山区大于1000Ω·m）时，金属结构变电站应在屋面专门设置接闪器，且接闪器应与金属屋面采取绝缘措施。</w:t>
      </w:r>
    </w:p>
    <w:p>
      <w:pPr>
        <w:pStyle w:val="165"/>
      </w:pPr>
      <w:r>
        <w:rPr>
          <w:rFonts w:hint="eastAsia"/>
        </w:rPr>
        <w:t>专门设置接闪器时符合以下要求：</w:t>
      </w:r>
    </w:p>
    <w:p>
      <w:pPr>
        <w:pStyle w:val="174"/>
        <w:numPr>
          <w:ilvl w:val="4"/>
          <w:numId w:val="32"/>
        </w:numPr>
        <w:ind w:left="851" w:hanging="425"/>
      </w:pPr>
      <w:r>
        <w:rPr>
          <w:rFonts w:hint="eastAsia"/>
        </w:rPr>
        <w:t>宜采用接闪带形式，其规格要求应符合表1；</w:t>
      </w:r>
    </w:p>
    <w:p>
      <w:pPr>
        <w:pStyle w:val="112"/>
        <w:spacing w:before="156" w:after="156"/>
      </w:pPr>
      <w:r>
        <w:rPr>
          <w:rFonts w:hint="eastAsia"/>
        </w:rPr>
        <w:t>接闪器的材质规格要求</w:t>
      </w:r>
    </w:p>
    <w:tbl>
      <w:tblPr>
        <w:tblStyle w:val="26"/>
        <w:tblW w:w="938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811"/>
        <w:gridCol w:w="1559"/>
        <w:gridCol w:w="1985"/>
        <w:gridCol w:w="402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11" w:type="dxa"/>
            <w:shd w:val="clear" w:color="auto" w:fill="auto"/>
            <w:vAlign w:val="center"/>
          </w:tcPr>
          <w:p>
            <w:pPr>
              <w:jc w:val="center"/>
            </w:pPr>
            <w:bookmarkStart w:id="76" w:name="_Hlk151713834"/>
            <w:r>
              <w:t>材料</w:t>
            </w:r>
          </w:p>
        </w:tc>
        <w:tc>
          <w:tcPr>
            <w:tcW w:w="1559" w:type="dxa"/>
            <w:shd w:val="clear" w:color="auto" w:fill="auto"/>
            <w:vAlign w:val="center"/>
          </w:tcPr>
          <w:p>
            <w:pPr>
              <w:jc w:val="center"/>
            </w:pPr>
            <w:r>
              <w:t>结构</w:t>
            </w:r>
          </w:p>
        </w:tc>
        <w:tc>
          <w:tcPr>
            <w:tcW w:w="1985" w:type="dxa"/>
            <w:shd w:val="clear" w:color="auto" w:fill="auto"/>
            <w:vAlign w:val="center"/>
          </w:tcPr>
          <w:p>
            <w:pPr>
              <w:jc w:val="center"/>
            </w:pPr>
            <w:r>
              <w:t>最小截面（mm</w:t>
            </w:r>
            <w:r>
              <w:rPr>
                <w:vertAlign w:val="superscript"/>
              </w:rPr>
              <w:t>2</w:t>
            </w:r>
            <w:r>
              <w:t>）</w:t>
            </w:r>
          </w:p>
        </w:tc>
        <w:tc>
          <w:tcPr>
            <w:tcW w:w="4027" w:type="dxa"/>
            <w:shd w:val="clear" w:color="auto" w:fill="auto"/>
            <w:vAlign w:val="center"/>
          </w:tcPr>
          <w:p>
            <w:pPr>
              <w:jc w:val="center"/>
            </w:pPr>
            <w: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11" w:type="dxa"/>
            <w:vMerge w:val="restart"/>
            <w:shd w:val="clear" w:color="auto" w:fill="auto"/>
            <w:vAlign w:val="center"/>
          </w:tcPr>
          <w:p>
            <w:pPr>
              <w:jc w:val="center"/>
            </w:pPr>
            <w:r>
              <w:t>铜</w:t>
            </w:r>
          </w:p>
        </w:tc>
        <w:tc>
          <w:tcPr>
            <w:tcW w:w="1559" w:type="dxa"/>
            <w:shd w:val="clear" w:color="auto" w:fill="auto"/>
            <w:vAlign w:val="center"/>
          </w:tcPr>
          <w:p>
            <w:pPr>
              <w:jc w:val="center"/>
            </w:pPr>
            <w:r>
              <w:t>单根扁铜</w:t>
            </w:r>
          </w:p>
        </w:tc>
        <w:tc>
          <w:tcPr>
            <w:tcW w:w="1985" w:type="dxa"/>
            <w:shd w:val="clear" w:color="auto" w:fill="auto"/>
            <w:vAlign w:val="center"/>
          </w:tcPr>
          <w:p>
            <w:pPr>
              <w:jc w:val="center"/>
            </w:pPr>
            <w:r>
              <w:t>50</w:t>
            </w:r>
          </w:p>
        </w:tc>
        <w:tc>
          <w:tcPr>
            <w:tcW w:w="4027" w:type="dxa"/>
            <w:shd w:val="clear" w:color="auto" w:fill="auto"/>
            <w:vAlign w:val="center"/>
          </w:tcPr>
          <w:p>
            <w:pPr>
              <w:jc w:val="center"/>
            </w:pPr>
            <w:r>
              <w:t>厚度2mm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11" w:type="dxa"/>
            <w:vMerge w:val="continue"/>
            <w:shd w:val="clear" w:color="auto" w:fill="auto"/>
            <w:vAlign w:val="center"/>
          </w:tcPr>
          <w:p>
            <w:pPr>
              <w:jc w:val="center"/>
            </w:pPr>
          </w:p>
        </w:tc>
        <w:tc>
          <w:tcPr>
            <w:tcW w:w="1559" w:type="dxa"/>
            <w:shd w:val="clear" w:color="auto" w:fill="auto"/>
            <w:vAlign w:val="center"/>
          </w:tcPr>
          <w:p>
            <w:pPr>
              <w:jc w:val="center"/>
            </w:pPr>
            <w:r>
              <w:t>单根圆铜</w:t>
            </w:r>
          </w:p>
        </w:tc>
        <w:tc>
          <w:tcPr>
            <w:tcW w:w="1985" w:type="dxa"/>
            <w:shd w:val="clear" w:color="auto" w:fill="auto"/>
            <w:vAlign w:val="center"/>
          </w:tcPr>
          <w:p>
            <w:pPr>
              <w:jc w:val="center"/>
            </w:pPr>
            <w:r>
              <w:t>50</w:t>
            </w:r>
          </w:p>
        </w:tc>
        <w:tc>
          <w:tcPr>
            <w:tcW w:w="4027" w:type="dxa"/>
            <w:shd w:val="clear" w:color="auto" w:fill="auto"/>
            <w:vAlign w:val="center"/>
          </w:tcPr>
          <w:p>
            <w:pPr>
              <w:jc w:val="center"/>
            </w:pPr>
            <w:r>
              <w:t>直径8mm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11" w:type="dxa"/>
            <w:vMerge w:val="restart"/>
            <w:shd w:val="clear" w:color="auto" w:fill="auto"/>
            <w:vAlign w:val="center"/>
          </w:tcPr>
          <w:p>
            <w:pPr>
              <w:jc w:val="center"/>
            </w:pPr>
            <w:r>
              <w:t>镀锡铜</w:t>
            </w:r>
            <w:r>
              <w:rPr>
                <w:rFonts w:hint="eastAsia"/>
                <w:vertAlign w:val="superscript"/>
              </w:rPr>
              <w:t>a</w:t>
            </w:r>
          </w:p>
        </w:tc>
        <w:tc>
          <w:tcPr>
            <w:tcW w:w="1559" w:type="dxa"/>
            <w:shd w:val="clear" w:color="auto" w:fill="auto"/>
            <w:vAlign w:val="center"/>
          </w:tcPr>
          <w:p>
            <w:pPr>
              <w:jc w:val="center"/>
            </w:pPr>
            <w:r>
              <w:t>单根扁铜</w:t>
            </w:r>
          </w:p>
        </w:tc>
        <w:tc>
          <w:tcPr>
            <w:tcW w:w="1985" w:type="dxa"/>
            <w:shd w:val="clear" w:color="auto" w:fill="auto"/>
            <w:vAlign w:val="center"/>
          </w:tcPr>
          <w:p>
            <w:pPr>
              <w:jc w:val="center"/>
            </w:pPr>
            <w:r>
              <w:t>50</w:t>
            </w:r>
          </w:p>
        </w:tc>
        <w:tc>
          <w:tcPr>
            <w:tcW w:w="4027" w:type="dxa"/>
            <w:shd w:val="clear" w:color="auto" w:fill="auto"/>
            <w:vAlign w:val="center"/>
          </w:tcPr>
          <w:p>
            <w:pPr>
              <w:jc w:val="center"/>
            </w:pPr>
            <w:r>
              <w:t>厚度2mm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11" w:type="dxa"/>
            <w:vMerge w:val="continue"/>
            <w:shd w:val="clear" w:color="auto" w:fill="auto"/>
            <w:vAlign w:val="center"/>
          </w:tcPr>
          <w:p>
            <w:pPr>
              <w:jc w:val="center"/>
            </w:pPr>
          </w:p>
        </w:tc>
        <w:tc>
          <w:tcPr>
            <w:tcW w:w="1559" w:type="dxa"/>
            <w:shd w:val="clear" w:color="auto" w:fill="auto"/>
            <w:vAlign w:val="center"/>
          </w:tcPr>
          <w:p>
            <w:pPr>
              <w:jc w:val="center"/>
            </w:pPr>
            <w:r>
              <w:t>单根圆铜</w:t>
            </w:r>
          </w:p>
        </w:tc>
        <w:tc>
          <w:tcPr>
            <w:tcW w:w="1985" w:type="dxa"/>
            <w:shd w:val="clear" w:color="auto" w:fill="auto"/>
            <w:vAlign w:val="center"/>
          </w:tcPr>
          <w:p>
            <w:pPr>
              <w:jc w:val="center"/>
            </w:pPr>
            <w:r>
              <w:t>50</w:t>
            </w:r>
          </w:p>
        </w:tc>
        <w:tc>
          <w:tcPr>
            <w:tcW w:w="4027" w:type="dxa"/>
            <w:shd w:val="clear" w:color="auto" w:fill="auto"/>
            <w:vAlign w:val="center"/>
          </w:tcPr>
          <w:p>
            <w:pPr>
              <w:jc w:val="center"/>
            </w:pPr>
            <w:r>
              <w:t>直径8mm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11" w:type="dxa"/>
            <w:vMerge w:val="restart"/>
            <w:shd w:val="clear" w:color="auto" w:fill="auto"/>
            <w:vAlign w:val="center"/>
          </w:tcPr>
          <w:p>
            <w:pPr>
              <w:jc w:val="center"/>
            </w:pPr>
            <w:r>
              <w:t>铝</w:t>
            </w:r>
          </w:p>
        </w:tc>
        <w:tc>
          <w:tcPr>
            <w:tcW w:w="1559" w:type="dxa"/>
            <w:shd w:val="clear" w:color="auto" w:fill="auto"/>
            <w:vAlign w:val="center"/>
          </w:tcPr>
          <w:p>
            <w:pPr>
              <w:jc w:val="center"/>
            </w:pPr>
            <w:r>
              <w:t>单根扁铝</w:t>
            </w:r>
          </w:p>
        </w:tc>
        <w:tc>
          <w:tcPr>
            <w:tcW w:w="1985" w:type="dxa"/>
            <w:shd w:val="clear" w:color="auto" w:fill="auto"/>
            <w:vAlign w:val="center"/>
          </w:tcPr>
          <w:p>
            <w:pPr>
              <w:jc w:val="center"/>
            </w:pPr>
            <w:r>
              <w:t>70</w:t>
            </w:r>
          </w:p>
        </w:tc>
        <w:tc>
          <w:tcPr>
            <w:tcW w:w="4027" w:type="dxa"/>
            <w:shd w:val="clear" w:color="auto" w:fill="auto"/>
            <w:vAlign w:val="center"/>
          </w:tcPr>
          <w:p>
            <w:pPr>
              <w:jc w:val="center"/>
            </w:pPr>
            <w:r>
              <w:t>厚度3mm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11" w:type="dxa"/>
            <w:vMerge w:val="continue"/>
            <w:shd w:val="clear" w:color="auto" w:fill="auto"/>
            <w:vAlign w:val="center"/>
          </w:tcPr>
          <w:p>
            <w:pPr>
              <w:jc w:val="center"/>
            </w:pPr>
          </w:p>
        </w:tc>
        <w:tc>
          <w:tcPr>
            <w:tcW w:w="1559" w:type="dxa"/>
            <w:shd w:val="clear" w:color="auto" w:fill="auto"/>
            <w:vAlign w:val="center"/>
          </w:tcPr>
          <w:p>
            <w:pPr>
              <w:jc w:val="center"/>
            </w:pPr>
            <w:r>
              <w:t>单根圆铝</w:t>
            </w:r>
          </w:p>
        </w:tc>
        <w:tc>
          <w:tcPr>
            <w:tcW w:w="1985" w:type="dxa"/>
            <w:shd w:val="clear" w:color="auto" w:fill="auto"/>
            <w:vAlign w:val="center"/>
          </w:tcPr>
          <w:p>
            <w:pPr>
              <w:jc w:val="center"/>
            </w:pPr>
            <w:r>
              <w:t>50</w:t>
            </w:r>
          </w:p>
        </w:tc>
        <w:tc>
          <w:tcPr>
            <w:tcW w:w="4027" w:type="dxa"/>
            <w:shd w:val="clear" w:color="auto" w:fill="auto"/>
            <w:vAlign w:val="center"/>
          </w:tcPr>
          <w:p>
            <w:pPr>
              <w:jc w:val="center"/>
            </w:pPr>
            <w:r>
              <w:t>厚度8mm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11" w:type="dxa"/>
            <w:vMerge w:val="restart"/>
            <w:shd w:val="clear" w:color="auto" w:fill="auto"/>
            <w:vAlign w:val="center"/>
          </w:tcPr>
          <w:p>
            <w:pPr>
              <w:jc w:val="center"/>
            </w:pPr>
            <w:r>
              <w:t>热浸镀锌钢</w:t>
            </w:r>
            <w:r>
              <w:rPr>
                <w:rFonts w:hint="eastAsia"/>
                <w:vertAlign w:val="superscript"/>
              </w:rPr>
              <w:t>b</w:t>
            </w:r>
          </w:p>
        </w:tc>
        <w:tc>
          <w:tcPr>
            <w:tcW w:w="1559" w:type="dxa"/>
            <w:shd w:val="clear" w:color="auto" w:fill="auto"/>
            <w:vAlign w:val="center"/>
          </w:tcPr>
          <w:p>
            <w:pPr>
              <w:jc w:val="center"/>
            </w:pPr>
            <w:r>
              <w:t>单根扁钢</w:t>
            </w:r>
          </w:p>
        </w:tc>
        <w:tc>
          <w:tcPr>
            <w:tcW w:w="1985" w:type="dxa"/>
            <w:shd w:val="clear" w:color="auto" w:fill="auto"/>
            <w:vAlign w:val="center"/>
          </w:tcPr>
          <w:p>
            <w:pPr>
              <w:jc w:val="center"/>
            </w:pPr>
            <w:r>
              <w:t>50</w:t>
            </w:r>
          </w:p>
        </w:tc>
        <w:tc>
          <w:tcPr>
            <w:tcW w:w="4027" w:type="dxa"/>
            <w:shd w:val="clear" w:color="auto" w:fill="auto"/>
            <w:vAlign w:val="center"/>
          </w:tcPr>
          <w:p>
            <w:pPr>
              <w:jc w:val="center"/>
            </w:pPr>
            <w:r>
              <w:t>厚度2.5mm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11" w:type="dxa"/>
            <w:vMerge w:val="continue"/>
            <w:shd w:val="clear" w:color="auto" w:fill="auto"/>
            <w:vAlign w:val="center"/>
          </w:tcPr>
          <w:p>
            <w:pPr>
              <w:jc w:val="center"/>
            </w:pPr>
          </w:p>
        </w:tc>
        <w:tc>
          <w:tcPr>
            <w:tcW w:w="1559" w:type="dxa"/>
            <w:shd w:val="clear" w:color="auto" w:fill="auto"/>
            <w:vAlign w:val="center"/>
          </w:tcPr>
          <w:p>
            <w:pPr>
              <w:jc w:val="center"/>
            </w:pPr>
            <w:r>
              <w:t>单根圆钢</w:t>
            </w:r>
          </w:p>
        </w:tc>
        <w:tc>
          <w:tcPr>
            <w:tcW w:w="1985" w:type="dxa"/>
            <w:shd w:val="clear" w:color="auto" w:fill="auto"/>
            <w:vAlign w:val="center"/>
          </w:tcPr>
          <w:p>
            <w:pPr>
              <w:jc w:val="center"/>
            </w:pPr>
            <w:r>
              <w:t>50</w:t>
            </w:r>
          </w:p>
        </w:tc>
        <w:tc>
          <w:tcPr>
            <w:tcW w:w="4027" w:type="dxa"/>
            <w:shd w:val="clear" w:color="auto" w:fill="auto"/>
            <w:vAlign w:val="center"/>
          </w:tcPr>
          <w:p>
            <w:pPr>
              <w:jc w:val="center"/>
            </w:pPr>
            <w:r>
              <w:t>直径8mm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11" w:type="dxa"/>
            <w:vMerge w:val="restart"/>
            <w:shd w:val="clear" w:color="auto" w:fill="auto"/>
            <w:vAlign w:val="center"/>
          </w:tcPr>
          <w:p>
            <w:pPr>
              <w:jc w:val="center"/>
            </w:pPr>
            <w:r>
              <w:t>不锈钢</w:t>
            </w:r>
            <w:r>
              <w:rPr>
                <w:rFonts w:hint="eastAsia"/>
                <w:vertAlign w:val="superscript"/>
              </w:rPr>
              <w:t>c</w:t>
            </w:r>
          </w:p>
        </w:tc>
        <w:tc>
          <w:tcPr>
            <w:tcW w:w="1559" w:type="dxa"/>
            <w:shd w:val="clear" w:color="auto" w:fill="auto"/>
            <w:vAlign w:val="center"/>
          </w:tcPr>
          <w:p>
            <w:pPr>
              <w:jc w:val="center"/>
            </w:pPr>
            <w:r>
              <w:t>单根扁钢</w:t>
            </w:r>
          </w:p>
        </w:tc>
        <w:tc>
          <w:tcPr>
            <w:tcW w:w="1985" w:type="dxa"/>
            <w:shd w:val="clear" w:color="auto" w:fill="auto"/>
            <w:vAlign w:val="center"/>
          </w:tcPr>
          <w:p>
            <w:pPr>
              <w:jc w:val="center"/>
            </w:pPr>
            <w:r>
              <w:t>50</w:t>
            </w:r>
          </w:p>
        </w:tc>
        <w:tc>
          <w:tcPr>
            <w:tcW w:w="4027" w:type="dxa"/>
            <w:shd w:val="clear" w:color="auto" w:fill="auto"/>
            <w:vAlign w:val="center"/>
          </w:tcPr>
          <w:p>
            <w:pPr>
              <w:jc w:val="center"/>
            </w:pPr>
            <w:r>
              <w:t>厚度2mm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11" w:type="dxa"/>
            <w:vMerge w:val="continue"/>
            <w:shd w:val="clear" w:color="auto" w:fill="auto"/>
            <w:vAlign w:val="center"/>
          </w:tcPr>
          <w:p>
            <w:pPr>
              <w:jc w:val="center"/>
            </w:pPr>
          </w:p>
        </w:tc>
        <w:tc>
          <w:tcPr>
            <w:tcW w:w="1559" w:type="dxa"/>
            <w:shd w:val="clear" w:color="auto" w:fill="auto"/>
            <w:vAlign w:val="center"/>
          </w:tcPr>
          <w:p>
            <w:pPr>
              <w:jc w:val="center"/>
            </w:pPr>
            <w:r>
              <w:t>单根圆钢</w:t>
            </w:r>
          </w:p>
        </w:tc>
        <w:tc>
          <w:tcPr>
            <w:tcW w:w="1985" w:type="dxa"/>
            <w:shd w:val="clear" w:color="auto" w:fill="auto"/>
            <w:vAlign w:val="center"/>
          </w:tcPr>
          <w:p>
            <w:pPr>
              <w:jc w:val="center"/>
            </w:pPr>
            <w:r>
              <w:t>50</w:t>
            </w:r>
          </w:p>
        </w:tc>
        <w:tc>
          <w:tcPr>
            <w:tcW w:w="4027" w:type="dxa"/>
            <w:shd w:val="clear" w:color="auto" w:fill="auto"/>
            <w:vAlign w:val="center"/>
          </w:tcPr>
          <w:p>
            <w:pPr>
              <w:jc w:val="center"/>
            </w:pPr>
            <w:r>
              <w:t>直径8mm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382" w:type="dxa"/>
            <w:gridSpan w:val="4"/>
            <w:shd w:val="clear" w:color="auto" w:fill="auto"/>
            <w:vAlign w:val="center"/>
          </w:tcPr>
          <w:p>
            <w:r>
              <w:rPr>
                <w:vertAlign w:val="superscript"/>
              </w:rPr>
              <w:t>a</w:t>
            </w:r>
            <w:r>
              <w:t xml:space="preserve">  热浸或电镀锡的锡层最小厚度为1μm</w:t>
            </w:r>
            <w:r>
              <w:rPr>
                <w:rFonts w:hint="eastAsia"/>
              </w:rPr>
              <w:t>;</w:t>
            </w:r>
          </w:p>
          <w:p>
            <w:r>
              <w:rPr>
                <w:vertAlign w:val="superscript"/>
              </w:rPr>
              <w:t>b</w:t>
            </w:r>
            <w:r>
              <w:t xml:space="preserve">  </w:t>
            </w:r>
            <w:r>
              <w:rPr>
                <w:rFonts w:hint="eastAsia"/>
              </w:rPr>
              <w:t>热浸镀锌钢的镀锌层应光滑连贯、无焊剂斑点，圆钢镀层含量至少22.7g/m</w:t>
            </w:r>
            <w:r>
              <w:rPr>
                <w:rFonts w:hint="eastAsia"/>
                <w:vertAlign w:val="superscript"/>
              </w:rPr>
              <w:t>2</w:t>
            </w:r>
            <w:r>
              <w:rPr>
                <w:rFonts w:hint="eastAsia"/>
              </w:rPr>
              <w:t>，扁钢镀层含量至少32.4g/m</w:t>
            </w:r>
            <w:r>
              <w:rPr>
                <w:rFonts w:hint="eastAsia"/>
                <w:vertAlign w:val="superscript"/>
              </w:rPr>
              <w:t>2</w:t>
            </w:r>
            <w:r>
              <w:rPr>
                <w:rFonts w:hint="eastAsia"/>
              </w:rPr>
              <w:t>；</w:t>
            </w:r>
          </w:p>
          <w:p>
            <w:r>
              <w:rPr>
                <w:vertAlign w:val="superscript"/>
              </w:rPr>
              <w:t>c</w:t>
            </w:r>
            <w:r>
              <w:t xml:space="preserve">  </w:t>
            </w:r>
            <w:r>
              <w:rPr>
                <w:rFonts w:hint="eastAsia"/>
              </w:rPr>
              <w:t>不锈钢中铬含量大于等于 18%，镍大于等于8%，碳小于等于0.08%。</w:t>
            </w:r>
          </w:p>
        </w:tc>
      </w:tr>
      <w:bookmarkEnd w:id="76"/>
    </w:tbl>
    <w:p>
      <w:pPr>
        <w:pStyle w:val="174"/>
        <w:numPr>
          <w:ilvl w:val="0"/>
          <w:numId w:val="0"/>
        </w:numPr>
        <w:ind w:left="851"/>
      </w:pPr>
    </w:p>
    <w:p>
      <w:pPr>
        <w:pStyle w:val="174"/>
        <w:numPr>
          <w:ilvl w:val="4"/>
          <w:numId w:val="32"/>
        </w:numPr>
        <w:ind w:left="851" w:hanging="425"/>
      </w:pPr>
      <w:r>
        <w:rPr>
          <w:rFonts w:hint="eastAsia"/>
        </w:rPr>
        <w:t>接闪带应每隔不大于1m设固定支架，转角处应每隔不大于0.5m设固定支架，支架高度应不小于150mm，支持固定卡宜采用不小于Φ12的镀铜钢，并应能承受49N以上垂直拉力；</w:t>
      </w:r>
    </w:p>
    <w:p>
      <w:pPr>
        <w:pStyle w:val="174"/>
        <w:numPr>
          <w:ilvl w:val="4"/>
          <w:numId w:val="32"/>
        </w:numPr>
        <w:ind w:left="851" w:hanging="425"/>
      </w:pPr>
      <w:r>
        <w:rPr>
          <w:rFonts w:hint="eastAsia"/>
        </w:rPr>
        <w:t>接闪带、接闪网应在屋面组成不大于10m×10m 或12m×8m的网格；</w:t>
      </w:r>
    </w:p>
    <w:p>
      <w:pPr>
        <w:pStyle w:val="174"/>
        <w:numPr>
          <w:ilvl w:val="4"/>
          <w:numId w:val="32"/>
        </w:numPr>
        <w:ind w:left="851" w:hanging="425"/>
      </w:pPr>
      <w:r>
        <w:rPr>
          <w:rFonts w:hint="eastAsia"/>
        </w:rPr>
        <w:t>突出屋面的天线、风机、风管、水箱等金属部件应在接闪器保护范围内。</w:t>
      </w:r>
    </w:p>
    <w:p>
      <w:pPr>
        <w:pStyle w:val="105"/>
        <w:spacing w:before="156" w:after="156"/>
        <w:ind w:left="143" w:hanging="142" w:hangingChars="68"/>
      </w:pPr>
      <w:bookmarkStart w:id="77" w:name="_Toc151717690"/>
      <w:bookmarkStart w:id="78" w:name="_Toc151717668"/>
      <w:bookmarkStart w:id="79" w:name="_Toc151734923"/>
      <w:r>
        <w:rPr>
          <w:rFonts w:hint="eastAsia"/>
        </w:rPr>
        <w:t>引下线</w:t>
      </w:r>
      <w:bookmarkEnd w:id="77"/>
      <w:bookmarkEnd w:id="78"/>
      <w:bookmarkEnd w:id="79"/>
    </w:p>
    <w:p>
      <w:pPr>
        <w:pStyle w:val="165"/>
      </w:pPr>
      <w:r>
        <w:rPr>
          <w:rFonts w:hint="eastAsia"/>
        </w:rPr>
        <w:t>金属结构变电站宜利用其金属框架结构作为自然引下线。</w:t>
      </w:r>
    </w:p>
    <w:p>
      <w:pPr>
        <w:pStyle w:val="165"/>
      </w:pPr>
      <w:r>
        <w:rPr>
          <w:rFonts w:hint="eastAsia"/>
        </w:rPr>
        <w:t>利用金属框架结构作为自然引下线时，变电站金属结构柱、梁、金属屋面、墙面等金属构件之间均应可靠电气贯通，可采用焊接、缝接、压接等连接方式，连接点距离应不大于18m，其过渡电阻应不大于0.2Ω。</w:t>
      </w:r>
    </w:p>
    <w:p>
      <w:pPr>
        <w:pStyle w:val="165"/>
      </w:pPr>
      <w:r>
        <w:rPr>
          <w:rFonts w:hint="eastAsia"/>
        </w:rPr>
        <w:t>处于强雷区且土壤电阻率较高（平原地区大于500Ω·m，山区大于1000Ω·m）时，金属结构变电站应专门设置引下线。</w:t>
      </w:r>
    </w:p>
    <w:p>
      <w:pPr>
        <w:pStyle w:val="165"/>
      </w:pPr>
      <w:r>
        <w:rPr>
          <w:rFonts w:hint="eastAsia"/>
        </w:rPr>
        <w:t>引下线应不少于2根，沿变电站四周均匀对称布置，其间距沿周长计算应不大于18m。</w:t>
      </w:r>
    </w:p>
    <w:p>
      <w:pPr>
        <w:pStyle w:val="165"/>
      </w:pPr>
      <w:r>
        <w:rPr>
          <w:rFonts w:hint="eastAsia"/>
        </w:rPr>
        <w:t>引下线与变电站金属结构（包括屋面、框架、墙面、管线等）应采用</w:t>
      </w:r>
      <w:r>
        <w:t>1.2/50</w:t>
      </w:r>
      <w:r>
        <w:rPr>
          <w:rFonts w:hint="eastAsia" w:ascii="MS Gothic" w:hAnsi="MS Gothic" w:eastAsia="MS Gothic" w:cs="MS Gothic"/>
        </w:rPr>
        <w:t>㎲</w:t>
      </w:r>
      <w:r>
        <w:rPr>
          <w:rFonts w:hint="eastAsia" w:hAnsi="宋体" w:cs="宋体"/>
        </w:rPr>
        <w:t>冲击电压</w:t>
      </w:r>
      <w:r>
        <w:t>100kV</w:t>
      </w:r>
      <w:r>
        <w:rPr>
          <w:rFonts w:hint="eastAsia"/>
        </w:rPr>
        <w:t>的绝缘层隔离，宜于装配式墙板间空腔内敷设。</w:t>
      </w:r>
    </w:p>
    <w:p>
      <w:pPr>
        <w:pStyle w:val="165"/>
      </w:pPr>
      <w:r>
        <w:rPr>
          <w:rFonts w:hint="eastAsia"/>
        </w:rPr>
        <w:t>引下线材质规格应符合表2的规定。</w:t>
      </w:r>
    </w:p>
    <w:p>
      <w:pPr>
        <w:pStyle w:val="165"/>
        <w:numPr>
          <w:ilvl w:val="0"/>
          <w:numId w:val="0"/>
        </w:numPr>
      </w:pPr>
    </w:p>
    <w:p>
      <w:pPr>
        <w:pStyle w:val="165"/>
        <w:numPr>
          <w:ilvl w:val="0"/>
          <w:numId w:val="0"/>
        </w:numPr>
      </w:pPr>
    </w:p>
    <w:p>
      <w:pPr>
        <w:pStyle w:val="112"/>
        <w:spacing w:before="156" w:after="156"/>
      </w:pPr>
      <w:r>
        <w:rPr>
          <w:rFonts w:hint="eastAsia"/>
        </w:rPr>
        <w:t>引下线的材质规格要求</w:t>
      </w:r>
    </w:p>
    <w:tbl>
      <w:tblPr>
        <w:tblStyle w:val="2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526"/>
        <w:gridCol w:w="1559"/>
        <w:gridCol w:w="1985"/>
        <w:gridCol w:w="368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shd w:val="clear" w:color="auto" w:fill="auto"/>
            <w:vAlign w:val="center"/>
          </w:tcPr>
          <w:p>
            <w:pPr>
              <w:jc w:val="center"/>
            </w:pPr>
            <w:r>
              <w:t>材料</w:t>
            </w:r>
          </w:p>
        </w:tc>
        <w:tc>
          <w:tcPr>
            <w:tcW w:w="1559" w:type="dxa"/>
            <w:shd w:val="clear" w:color="auto" w:fill="auto"/>
            <w:vAlign w:val="center"/>
          </w:tcPr>
          <w:p>
            <w:pPr>
              <w:jc w:val="center"/>
            </w:pPr>
            <w:r>
              <w:t>结构</w:t>
            </w:r>
          </w:p>
        </w:tc>
        <w:tc>
          <w:tcPr>
            <w:tcW w:w="1985" w:type="dxa"/>
            <w:shd w:val="clear" w:color="auto" w:fill="auto"/>
            <w:vAlign w:val="center"/>
          </w:tcPr>
          <w:p>
            <w:pPr>
              <w:jc w:val="center"/>
            </w:pPr>
            <w:r>
              <w:t>最小截面（mm</w:t>
            </w:r>
            <w:r>
              <w:rPr>
                <w:vertAlign w:val="superscript"/>
              </w:rPr>
              <w:t>2</w:t>
            </w:r>
            <w:r>
              <w:t>）</w:t>
            </w:r>
          </w:p>
        </w:tc>
        <w:tc>
          <w:tcPr>
            <w:tcW w:w="3685" w:type="dxa"/>
            <w:shd w:val="clear" w:color="auto" w:fill="auto"/>
            <w:vAlign w:val="center"/>
          </w:tcPr>
          <w:p>
            <w:pPr>
              <w:jc w:val="center"/>
            </w:pPr>
            <w: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shd w:val="clear" w:color="auto" w:fill="auto"/>
            <w:vAlign w:val="center"/>
          </w:tcPr>
          <w:p>
            <w:pPr>
              <w:jc w:val="center"/>
            </w:pPr>
            <w:r>
              <w:t>热浸镀锌钢</w:t>
            </w:r>
            <w:r>
              <w:rPr>
                <w:rFonts w:hint="eastAsia"/>
                <w:vertAlign w:val="superscript"/>
              </w:rPr>
              <w:t>a</w:t>
            </w:r>
          </w:p>
        </w:tc>
        <w:tc>
          <w:tcPr>
            <w:tcW w:w="1559" w:type="dxa"/>
            <w:shd w:val="clear" w:color="auto" w:fill="auto"/>
            <w:vAlign w:val="center"/>
          </w:tcPr>
          <w:p>
            <w:pPr>
              <w:jc w:val="center"/>
            </w:pPr>
            <w:r>
              <w:t>单根扁钢</w:t>
            </w:r>
          </w:p>
        </w:tc>
        <w:tc>
          <w:tcPr>
            <w:tcW w:w="1985" w:type="dxa"/>
            <w:shd w:val="clear" w:color="auto" w:fill="auto"/>
            <w:vAlign w:val="center"/>
          </w:tcPr>
          <w:p>
            <w:pPr>
              <w:jc w:val="center"/>
            </w:pPr>
            <w:r>
              <w:t>50</w:t>
            </w:r>
          </w:p>
        </w:tc>
        <w:tc>
          <w:tcPr>
            <w:tcW w:w="3685" w:type="dxa"/>
            <w:shd w:val="clear" w:color="auto" w:fill="auto"/>
            <w:vAlign w:val="center"/>
          </w:tcPr>
          <w:p>
            <w:pPr>
              <w:jc w:val="center"/>
            </w:pPr>
            <w:r>
              <w:t>厚度2.5mm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vMerge w:val="restart"/>
            <w:shd w:val="clear" w:color="auto" w:fill="auto"/>
            <w:vAlign w:val="center"/>
          </w:tcPr>
          <w:p>
            <w:pPr>
              <w:jc w:val="center"/>
            </w:pPr>
            <w:r>
              <w:t>不锈钢</w:t>
            </w:r>
            <w:r>
              <w:rPr>
                <w:rFonts w:hint="eastAsia"/>
                <w:vertAlign w:val="superscript"/>
              </w:rPr>
              <w:t>b</w:t>
            </w:r>
          </w:p>
        </w:tc>
        <w:tc>
          <w:tcPr>
            <w:tcW w:w="1559" w:type="dxa"/>
            <w:shd w:val="clear" w:color="auto" w:fill="auto"/>
            <w:vAlign w:val="center"/>
          </w:tcPr>
          <w:p>
            <w:pPr>
              <w:jc w:val="center"/>
            </w:pPr>
            <w:r>
              <w:t>单根扁钢</w:t>
            </w:r>
          </w:p>
        </w:tc>
        <w:tc>
          <w:tcPr>
            <w:tcW w:w="1985" w:type="dxa"/>
            <w:shd w:val="clear" w:color="auto" w:fill="auto"/>
            <w:vAlign w:val="center"/>
          </w:tcPr>
          <w:p>
            <w:pPr>
              <w:jc w:val="center"/>
            </w:pPr>
            <w:r>
              <w:t>50</w:t>
            </w:r>
          </w:p>
        </w:tc>
        <w:tc>
          <w:tcPr>
            <w:tcW w:w="3685" w:type="dxa"/>
            <w:shd w:val="clear" w:color="auto" w:fill="auto"/>
            <w:vAlign w:val="center"/>
          </w:tcPr>
          <w:p>
            <w:pPr>
              <w:jc w:val="center"/>
            </w:pPr>
            <w:r>
              <w:t>厚度2mm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vMerge w:val="continue"/>
            <w:shd w:val="clear" w:color="auto" w:fill="auto"/>
            <w:vAlign w:val="center"/>
          </w:tcPr>
          <w:p>
            <w:pPr>
              <w:jc w:val="center"/>
            </w:pPr>
          </w:p>
        </w:tc>
        <w:tc>
          <w:tcPr>
            <w:tcW w:w="1559" w:type="dxa"/>
            <w:shd w:val="clear" w:color="auto" w:fill="auto"/>
            <w:vAlign w:val="center"/>
          </w:tcPr>
          <w:p>
            <w:pPr>
              <w:jc w:val="center"/>
            </w:pPr>
            <w:r>
              <w:t>单根圆钢</w:t>
            </w:r>
          </w:p>
        </w:tc>
        <w:tc>
          <w:tcPr>
            <w:tcW w:w="1985" w:type="dxa"/>
            <w:shd w:val="clear" w:color="auto" w:fill="auto"/>
            <w:vAlign w:val="center"/>
          </w:tcPr>
          <w:p>
            <w:pPr>
              <w:jc w:val="center"/>
            </w:pPr>
            <w:r>
              <w:t>50</w:t>
            </w:r>
          </w:p>
        </w:tc>
        <w:tc>
          <w:tcPr>
            <w:tcW w:w="3685" w:type="dxa"/>
            <w:shd w:val="clear" w:color="auto" w:fill="auto"/>
            <w:vAlign w:val="center"/>
          </w:tcPr>
          <w:p>
            <w:pPr>
              <w:jc w:val="center"/>
            </w:pPr>
            <w:r>
              <w:t>直径8mm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vMerge w:val="restart"/>
            <w:shd w:val="clear" w:color="auto" w:fill="auto"/>
            <w:vAlign w:val="center"/>
          </w:tcPr>
          <w:p>
            <w:pPr>
              <w:jc w:val="center"/>
            </w:pPr>
            <w:r>
              <w:t>镀铜钢</w:t>
            </w:r>
          </w:p>
        </w:tc>
        <w:tc>
          <w:tcPr>
            <w:tcW w:w="1559" w:type="dxa"/>
            <w:shd w:val="clear" w:color="auto" w:fill="auto"/>
            <w:vAlign w:val="center"/>
          </w:tcPr>
          <w:p>
            <w:pPr>
              <w:jc w:val="center"/>
            </w:pPr>
            <w:r>
              <w:t>单根圆钢</w:t>
            </w:r>
          </w:p>
        </w:tc>
        <w:tc>
          <w:tcPr>
            <w:tcW w:w="1985" w:type="dxa"/>
            <w:shd w:val="clear" w:color="auto" w:fill="auto"/>
            <w:vAlign w:val="center"/>
          </w:tcPr>
          <w:p>
            <w:pPr>
              <w:jc w:val="center"/>
            </w:pPr>
            <w:r>
              <w:t>50</w:t>
            </w:r>
          </w:p>
        </w:tc>
        <w:tc>
          <w:tcPr>
            <w:tcW w:w="3685" w:type="dxa"/>
            <w:shd w:val="clear" w:color="auto" w:fill="auto"/>
            <w:vAlign w:val="center"/>
          </w:tcPr>
          <w:p>
            <w:pPr>
              <w:jc w:val="center"/>
            </w:pPr>
            <w:r>
              <w:t>直径8mm，镀铜厚度不小于70μm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vMerge w:val="continue"/>
            <w:shd w:val="clear" w:color="auto" w:fill="auto"/>
            <w:vAlign w:val="center"/>
          </w:tcPr>
          <w:p>
            <w:pPr>
              <w:jc w:val="center"/>
            </w:pPr>
          </w:p>
        </w:tc>
        <w:tc>
          <w:tcPr>
            <w:tcW w:w="1559" w:type="dxa"/>
            <w:shd w:val="clear" w:color="auto" w:fill="auto"/>
            <w:vAlign w:val="center"/>
          </w:tcPr>
          <w:p>
            <w:pPr>
              <w:jc w:val="center"/>
            </w:pPr>
            <w:r>
              <w:t>单根扁钢</w:t>
            </w:r>
          </w:p>
        </w:tc>
        <w:tc>
          <w:tcPr>
            <w:tcW w:w="1985" w:type="dxa"/>
            <w:shd w:val="clear" w:color="auto" w:fill="auto"/>
            <w:vAlign w:val="center"/>
          </w:tcPr>
          <w:p>
            <w:pPr>
              <w:jc w:val="center"/>
            </w:pPr>
            <w:r>
              <w:t>50</w:t>
            </w:r>
          </w:p>
        </w:tc>
        <w:tc>
          <w:tcPr>
            <w:tcW w:w="3685" w:type="dxa"/>
            <w:shd w:val="clear" w:color="auto" w:fill="auto"/>
            <w:vAlign w:val="center"/>
          </w:tcPr>
          <w:p>
            <w:pPr>
              <w:jc w:val="center"/>
            </w:pPr>
            <w:r>
              <w:t>厚度2.5mm，镀铜厚度不小于70μm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755" w:type="dxa"/>
            <w:gridSpan w:val="4"/>
            <w:shd w:val="clear" w:color="auto" w:fill="auto"/>
            <w:vAlign w:val="center"/>
          </w:tcPr>
          <w:p>
            <w:r>
              <w:rPr>
                <w:vertAlign w:val="superscript"/>
              </w:rPr>
              <w:t>a</w:t>
            </w:r>
            <w:r>
              <w:t xml:space="preserve">  </w:t>
            </w:r>
            <w:r>
              <w:rPr>
                <w:rFonts w:hint="eastAsia"/>
              </w:rPr>
              <w:t>热浸镀锌钢的镀锌层应光滑连贯、无焊剂斑点，圆钢镀层含量至少 22.7g/m</w:t>
            </w:r>
            <w:r>
              <w:rPr>
                <w:rFonts w:hint="eastAsia"/>
                <w:vertAlign w:val="superscript"/>
              </w:rPr>
              <w:t>2</w:t>
            </w:r>
            <w:r>
              <w:rPr>
                <w:rFonts w:hint="eastAsia"/>
              </w:rPr>
              <w:t>，扁钢镀层含量至少32.4g/m</w:t>
            </w:r>
            <w:r>
              <w:rPr>
                <w:rFonts w:hint="eastAsia"/>
                <w:vertAlign w:val="superscript"/>
              </w:rPr>
              <w:t>2</w:t>
            </w:r>
            <w:r>
              <w:rPr>
                <w:rFonts w:hint="eastAsia"/>
              </w:rPr>
              <w:t>；</w:t>
            </w:r>
          </w:p>
          <w:p>
            <w:r>
              <w:rPr>
                <w:vertAlign w:val="superscript"/>
              </w:rPr>
              <w:t>b</w:t>
            </w:r>
            <w:r>
              <w:t xml:space="preserve">  </w:t>
            </w:r>
            <w:r>
              <w:rPr>
                <w:rFonts w:hint="eastAsia"/>
              </w:rPr>
              <w:t>不锈钢中铬含量大于等于 1</w:t>
            </w:r>
            <w:r>
              <w:t>8</w:t>
            </w:r>
            <w:r>
              <w:rPr>
                <w:rFonts w:hint="eastAsia"/>
              </w:rPr>
              <w:t>%，镍大于等于8%，碳小于等于0</w:t>
            </w:r>
            <w:r>
              <w:t>.08</w:t>
            </w:r>
            <w:r>
              <w:rPr>
                <w:rFonts w:hint="eastAsia"/>
              </w:rPr>
              <w:t>%。</w:t>
            </w:r>
          </w:p>
        </w:tc>
      </w:tr>
    </w:tbl>
    <w:p>
      <w:pPr>
        <w:pStyle w:val="105"/>
        <w:spacing w:before="156" w:after="156"/>
        <w:ind w:left="0"/>
      </w:pPr>
      <w:bookmarkStart w:id="80" w:name="_Toc151717691"/>
      <w:bookmarkStart w:id="81" w:name="_Toc151734924"/>
      <w:bookmarkStart w:id="82" w:name="_Toc151717669"/>
      <w:r>
        <w:rPr>
          <w:rFonts w:hint="eastAsia"/>
        </w:rPr>
        <w:t>防雷接地</w:t>
      </w:r>
      <w:bookmarkEnd w:id="80"/>
      <w:bookmarkEnd w:id="81"/>
      <w:bookmarkEnd w:id="82"/>
    </w:p>
    <w:p>
      <w:pPr>
        <w:pStyle w:val="165"/>
      </w:pPr>
      <w:r>
        <w:rPr>
          <w:rFonts w:hint="eastAsia"/>
        </w:rPr>
        <w:t>采用金属屋面和金属框架结构作为接闪器和引下线时，宜就近与变电站主接地网连接，接地系统布置样图参见附录D中图D.1。</w:t>
      </w:r>
    </w:p>
    <w:p>
      <w:pPr>
        <w:pStyle w:val="165"/>
      </w:pPr>
      <w:r>
        <w:rPr>
          <w:rFonts w:hint="eastAsia"/>
        </w:rPr>
        <w:t>专门设置接闪器和引下线时，引下线接地点应外引至变电站接地网的最外侧，并在连接处加装垂直接地极，引下线接地点与35kV以下电气设备的接地点间沿接地体的长度应不小于15m，接地系统布置样图参见附录D中图D.2。</w:t>
      </w:r>
    </w:p>
    <w:p>
      <w:pPr>
        <w:pStyle w:val="165"/>
      </w:pPr>
      <w:r>
        <w:rPr>
          <w:rFonts w:hint="eastAsia"/>
        </w:rPr>
        <w:t>金属结构变电站应采用共用接地系统，采用大地网测试仪测得的接地电阻应满足式</w:t>
      </w:r>
      <w:bookmarkStart w:id="83" w:name="_Hlk151716992"/>
      <w:r>
        <w:rPr>
          <w:rFonts w:hint="eastAsia"/>
        </w:rPr>
        <w:t>（1）</w:t>
      </w:r>
      <w:bookmarkEnd w:id="83"/>
      <w:r>
        <w:rPr>
          <w:rFonts w:hint="eastAsia"/>
        </w:rPr>
        <w:t>。</w:t>
      </w:r>
    </w:p>
    <w:p>
      <w:pPr>
        <w:pStyle w:val="113"/>
      </w:pPr>
      <w:r>
        <w:tab/>
      </w:r>
      <m:oMath>
        <m:r>
          <m:rPr>
            <m:sty m:val="p"/>
          </m:rPr>
          <w:rPr>
            <w:rFonts w:ascii="Cambria Math" w:hAnsi="Cambria Math"/>
          </w:rPr>
          <w:object>
            <v:shape id="_x0000_i1025" o:spt="75" type="#_x0000_t75" style="height:18pt;width:64pt;" o:ole="t" filled="f" o:preferrelative="t" stroked="f" coordsize="21600,21600">
              <v:path/>
              <v:fill on="f" focussize="0,0"/>
              <v:stroke on="f" joinstyle="miter"/>
              <v:imagedata r:id="rId17" o:title=""/>
              <o:lock v:ext="edit" aspectratio="t"/>
              <w10:wrap type="none"/>
              <w10:anchorlock/>
            </v:shape>
            <o:OLEObject Type="Embed" ProgID="Equation.DSMT4" ShapeID="_x0000_i1025" DrawAspect="Content" ObjectID="_1468075725" r:id="rId16">
              <o:LockedField>false</o:LockedField>
            </o:OLEObject>
          </w:object>
        </m:r>
      </m:oMath>
      <w:r>
        <w:rPr>
          <w:rFonts w:ascii="微软雅黑" w:hAnsi="微软雅黑" w:eastAsia="微软雅黑"/>
        </w:rPr>
        <w:tab/>
      </w:r>
      <w:r>
        <w:t>(</w:t>
      </w:r>
      <w:r>
        <w:fldChar w:fldCharType="begin"/>
      </w:r>
      <w:r>
        <w:instrText xml:space="preserve"> AUTONUM </w:instrText>
      </w:r>
      <w:r>
        <w:fldChar w:fldCharType="end"/>
      </w:r>
      <w:r>
        <w:t>)</w:t>
      </w:r>
      <w:r>
        <w:rPr>
          <w:rFonts w:hint="eastAsia"/>
        </w:rPr>
        <w:t xml:space="preserve"> </w:t>
      </w:r>
      <w:r>
        <w:t xml:space="preserve">                    </w:t>
      </w:r>
    </w:p>
    <w:p>
      <w:pPr>
        <w:pStyle w:val="55"/>
        <w:ind w:firstLine="420"/>
      </w:pPr>
      <w:r>
        <w:rPr>
          <w:rFonts w:hint="eastAsia"/>
        </w:rPr>
        <w:t>式中：</w:t>
      </w:r>
    </w:p>
    <w:p>
      <w:pPr>
        <w:pStyle w:val="56"/>
        <w:ind w:firstLine="409" w:firstLineChars="195"/>
      </w:pPr>
      <w:r>
        <w:rPr>
          <w:rFonts w:hint="eastAsia"/>
        </w:rPr>
        <w:t>R——考虑季节变化的最大接地电阻，单位：欧姆（Ω）</w:t>
      </w:r>
    </w:p>
    <w:p>
      <w:pPr>
        <w:pStyle w:val="56"/>
        <w:ind w:firstLine="420"/>
      </w:pPr>
      <w:r>
        <w:rPr>
          <w:rFonts w:hint="eastAsia"/>
        </w:rPr>
        <w:t>I</w:t>
      </w:r>
      <w:r>
        <w:rPr>
          <w:rFonts w:hint="eastAsia"/>
          <w:vertAlign w:val="subscript"/>
        </w:rPr>
        <w:t>G</w:t>
      </w:r>
      <w:r>
        <w:rPr>
          <w:rFonts w:hint="eastAsia"/>
        </w:rPr>
        <w:t>——经接地网入地的最大故障电流有效值，单位：安培（A），按GB/T</w:t>
      </w:r>
      <w:r>
        <w:t xml:space="preserve"> </w:t>
      </w:r>
      <w:r>
        <w:rPr>
          <w:rFonts w:hint="eastAsia"/>
        </w:rPr>
        <w:t>50065—2011中附录B计算。</w:t>
      </w:r>
    </w:p>
    <w:p>
      <w:pPr>
        <w:pStyle w:val="165"/>
      </w:pPr>
      <w:r>
        <w:rPr>
          <w:rFonts w:hint="eastAsia"/>
        </w:rPr>
        <w:t>电缆接地线应采用铜绞线或镀锡铜编织线与电缆屏蔽层连接，其截面积应符合表3的要求，铜绞线或镀锡铜编织线应加包绝缘层。</w:t>
      </w:r>
    </w:p>
    <w:p>
      <w:pPr>
        <w:pStyle w:val="112"/>
        <w:spacing w:before="156" w:after="156"/>
        <w:ind w:leftChars="-67" w:hanging="140" w:hangingChars="67"/>
      </w:pPr>
      <w:r>
        <w:rPr>
          <w:rFonts w:hint="eastAsia"/>
        </w:rPr>
        <w:t>电缆接地线规格要求</w:t>
      </w:r>
    </w:p>
    <w:tbl>
      <w:tblPr>
        <w:tblStyle w:val="2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985"/>
        <w:gridCol w:w="368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85" w:type="dxa"/>
            <w:tcBorders>
              <w:top w:val="single" w:color="auto" w:sz="8" w:space="0"/>
              <w:bottom w:val="single" w:color="auto" w:sz="8" w:space="0"/>
            </w:tcBorders>
            <w:shd w:val="clear" w:color="auto" w:fill="auto"/>
            <w:vAlign w:val="center"/>
          </w:tcPr>
          <w:p>
            <w:pPr>
              <w:spacing w:line="240" w:lineRule="auto"/>
              <w:jc w:val="center"/>
              <w:rPr>
                <w:sz w:val="18"/>
              </w:rPr>
            </w:pPr>
            <w:r>
              <w:rPr>
                <w:rFonts w:hint="eastAsia"/>
                <w:sz w:val="18"/>
              </w:rPr>
              <w:t>电缆</w:t>
            </w:r>
            <w:r>
              <w:rPr>
                <w:sz w:val="18"/>
              </w:rPr>
              <w:t>截</w:t>
            </w:r>
            <w:r>
              <w:rPr>
                <w:rFonts w:hint="eastAsia"/>
                <w:sz w:val="18"/>
              </w:rPr>
              <w:t>面积</w:t>
            </w:r>
            <w:r>
              <w:rPr>
                <w:sz w:val="18"/>
              </w:rPr>
              <w:t>（mm</w:t>
            </w:r>
            <w:r>
              <w:rPr>
                <w:sz w:val="18"/>
                <w:vertAlign w:val="superscript"/>
              </w:rPr>
              <w:t>2</w:t>
            </w:r>
            <w:r>
              <w:rPr>
                <w:sz w:val="18"/>
              </w:rPr>
              <w:t>）</w:t>
            </w:r>
          </w:p>
        </w:tc>
        <w:tc>
          <w:tcPr>
            <w:tcW w:w="3685" w:type="dxa"/>
            <w:tcBorders>
              <w:top w:val="single" w:color="auto" w:sz="8" w:space="0"/>
              <w:bottom w:val="single" w:color="auto" w:sz="8" w:space="0"/>
            </w:tcBorders>
            <w:shd w:val="clear" w:color="auto" w:fill="auto"/>
            <w:vAlign w:val="center"/>
          </w:tcPr>
          <w:p>
            <w:pPr>
              <w:spacing w:line="240" w:lineRule="auto"/>
              <w:jc w:val="center"/>
              <w:rPr>
                <w:sz w:val="18"/>
              </w:rPr>
            </w:pPr>
            <w:r>
              <w:rPr>
                <w:rFonts w:hint="eastAsia"/>
                <w:sz w:val="18"/>
              </w:rPr>
              <w:t>接地线截面积</w:t>
            </w:r>
            <w:r>
              <w:rPr>
                <w:sz w:val="18"/>
              </w:rPr>
              <w:t>（mm</w:t>
            </w:r>
            <w:r>
              <w:rPr>
                <w:sz w:val="18"/>
                <w:vertAlign w:val="superscript"/>
              </w:rPr>
              <w:t>2</w:t>
            </w:r>
            <w:r>
              <w:rPr>
                <w:sz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85" w:type="dxa"/>
            <w:tcBorders>
              <w:top w:val="single" w:color="auto" w:sz="8" w:space="0"/>
            </w:tcBorders>
            <w:shd w:val="clear" w:color="auto" w:fill="auto"/>
            <w:vAlign w:val="center"/>
          </w:tcPr>
          <w:p>
            <w:pPr>
              <w:spacing w:line="240" w:lineRule="auto"/>
              <w:jc w:val="center"/>
              <w:rPr>
                <w:sz w:val="18"/>
              </w:rPr>
            </w:pPr>
            <w:r>
              <w:rPr>
                <w:sz w:val="18"/>
              </w:rPr>
              <w:t>S</w:t>
            </w:r>
            <w:r>
              <w:rPr>
                <w:rFonts w:hint="eastAsia"/>
                <w:sz w:val="18"/>
              </w:rPr>
              <w:t>≤</w:t>
            </w:r>
            <w:r>
              <w:rPr>
                <w:sz w:val="18"/>
              </w:rPr>
              <w:t>16</w:t>
            </w:r>
          </w:p>
        </w:tc>
        <w:tc>
          <w:tcPr>
            <w:tcW w:w="3685" w:type="dxa"/>
            <w:tcBorders>
              <w:top w:val="single" w:color="auto" w:sz="8" w:space="0"/>
            </w:tcBorders>
            <w:shd w:val="clear" w:color="auto" w:fill="auto"/>
            <w:vAlign w:val="center"/>
          </w:tcPr>
          <w:p>
            <w:pPr>
              <w:spacing w:line="240" w:lineRule="auto"/>
              <w:jc w:val="center"/>
              <w:rPr>
                <w:sz w:val="18"/>
              </w:rPr>
            </w:pPr>
            <w:r>
              <w:rPr>
                <w:rFonts w:hint="eastAsia"/>
                <w:sz w:val="18"/>
              </w:rPr>
              <w:t>不小于电缆芯线截面积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85" w:type="dxa"/>
            <w:shd w:val="clear" w:color="auto" w:fill="auto"/>
            <w:vAlign w:val="center"/>
          </w:tcPr>
          <w:p>
            <w:pPr>
              <w:spacing w:line="240" w:lineRule="auto"/>
              <w:jc w:val="center"/>
              <w:rPr>
                <w:sz w:val="18"/>
              </w:rPr>
            </w:pPr>
            <w:r>
              <w:rPr>
                <w:sz w:val="18"/>
              </w:rPr>
              <w:t>16</w:t>
            </w:r>
            <w:r>
              <w:rPr>
                <w:rFonts w:hint="eastAsia"/>
                <w:sz w:val="18"/>
              </w:rPr>
              <w:t>＜S≤</w:t>
            </w:r>
            <w:r>
              <w:rPr>
                <w:sz w:val="18"/>
              </w:rPr>
              <w:t>120</w:t>
            </w:r>
          </w:p>
        </w:tc>
        <w:tc>
          <w:tcPr>
            <w:tcW w:w="3685" w:type="dxa"/>
            <w:shd w:val="clear" w:color="auto" w:fill="auto"/>
            <w:vAlign w:val="center"/>
          </w:tcPr>
          <w:p>
            <w:pPr>
              <w:spacing w:line="240" w:lineRule="auto"/>
              <w:jc w:val="center"/>
              <w:rPr>
                <w:sz w:val="18"/>
              </w:rPr>
            </w:pPr>
            <w:r>
              <w:rPr>
                <w:rFonts w:hint="eastAsia"/>
                <w:sz w:val="18"/>
              </w:rPr>
              <w:t>≥</w:t>
            </w:r>
            <w:r>
              <w:rPr>
                <w:sz w:val="18"/>
              </w:rPr>
              <w:t>16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85" w:type="dxa"/>
            <w:shd w:val="clear" w:color="auto" w:fill="auto"/>
            <w:vAlign w:val="center"/>
          </w:tcPr>
          <w:p>
            <w:pPr>
              <w:spacing w:line="240" w:lineRule="auto"/>
              <w:jc w:val="center"/>
              <w:rPr>
                <w:sz w:val="18"/>
              </w:rPr>
            </w:pPr>
            <w:r>
              <w:rPr>
                <w:sz w:val="18"/>
              </w:rPr>
              <w:t>S</w:t>
            </w:r>
            <w:r>
              <w:rPr>
                <w:rFonts w:hint="eastAsia"/>
                <w:sz w:val="18"/>
              </w:rPr>
              <w:t>≥</w:t>
            </w:r>
            <w:r>
              <w:rPr>
                <w:sz w:val="18"/>
              </w:rPr>
              <w:t>150</w:t>
            </w:r>
          </w:p>
        </w:tc>
        <w:tc>
          <w:tcPr>
            <w:tcW w:w="3685" w:type="dxa"/>
            <w:shd w:val="clear" w:color="auto" w:fill="auto"/>
            <w:vAlign w:val="center"/>
          </w:tcPr>
          <w:p>
            <w:pPr>
              <w:spacing w:line="240" w:lineRule="auto"/>
              <w:jc w:val="center"/>
              <w:rPr>
                <w:sz w:val="18"/>
              </w:rPr>
            </w:pPr>
            <w:r>
              <w:rPr>
                <w:rFonts w:hint="eastAsia"/>
                <w:sz w:val="18"/>
              </w:rPr>
              <w:t>≥2</w:t>
            </w:r>
            <w:r>
              <w:rPr>
                <w:sz w:val="18"/>
              </w:rPr>
              <w:t>5</w:t>
            </w:r>
          </w:p>
        </w:tc>
      </w:tr>
    </w:tbl>
    <w:p>
      <w:pPr>
        <w:pStyle w:val="104"/>
        <w:spacing w:before="312" w:after="312"/>
      </w:pPr>
      <w:bookmarkStart w:id="84" w:name="_Toc151734925"/>
      <w:bookmarkStart w:id="85" w:name="_Toc151717670"/>
      <w:bookmarkStart w:id="86" w:name="_Toc151717692"/>
      <w:r>
        <w:rPr>
          <w:rFonts w:hint="eastAsia"/>
        </w:rPr>
        <w:t>雷击电磁脉冲防护</w:t>
      </w:r>
      <w:bookmarkEnd w:id="84"/>
      <w:bookmarkEnd w:id="85"/>
      <w:bookmarkEnd w:id="86"/>
    </w:p>
    <w:p>
      <w:pPr>
        <w:pStyle w:val="162"/>
        <w:ind w:left="0"/>
      </w:pPr>
      <w:r>
        <w:rPr>
          <w:rFonts w:hint="eastAsia"/>
        </w:rPr>
        <w:t>金属结构变电站的雷电防护区划分应符合GB 50057—2010中第6.2条的规定。</w:t>
      </w:r>
    </w:p>
    <w:p>
      <w:pPr>
        <w:pStyle w:val="162"/>
        <w:tabs>
          <w:tab w:val="left" w:pos="710"/>
        </w:tabs>
        <w:ind w:left="0"/>
      </w:pPr>
      <w:r>
        <w:rPr>
          <w:rFonts w:hint="eastAsia"/>
        </w:rPr>
        <w:t>400V及以下低压电缆、控制电缆穿越雷电防护区时，其屏蔽层应在雷电防护区交界面处作等电位连接，其过渡电阻应不大于0.2Ω。</w:t>
      </w:r>
    </w:p>
    <w:p>
      <w:pPr>
        <w:pStyle w:val="162"/>
        <w:ind w:left="0"/>
      </w:pPr>
      <w:r>
        <w:rPr>
          <w:rFonts w:hint="eastAsia"/>
        </w:rPr>
        <w:t>金属结构变电站的窗宜敷设不大于200mm×200mm的金属网格，并与变电站框架结构作可靠电气连接。</w:t>
      </w:r>
    </w:p>
    <w:p>
      <w:pPr>
        <w:pStyle w:val="162"/>
        <w:ind w:left="0"/>
      </w:pPr>
      <w:r>
        <w:rPr>
          <w:rFonts w:hint="eastAsia"/>
        </w:rPr>
        <w:t>进入变电站的供配电线缆及其它金属线缆宜采用穿金属管埋地敷设，其金属屏蔽层、金属管在入口处应就近可靠接地。</w:t>
      </w:r>
    </w:p>
    <w:p>
      <w:pPr>
        <w:pStyle w:val="162"/>
        <w:ind w:left="0"/>
      </w:pPr>
      <w:r>
        <w:rPr>
          <w:rFonts w:hint="eastAsia"/>
        </w:rPr>
        <w:t>架空线路进入变电站时应在进线端加装无间隙金属氧化物避雷器，其接地端应与电缆的金属外皮连接，选型及安装位置应符合GB/T 50064—2014第5.4.13条的规定。</w:t>
      </w:r>
    </w:p>
    <w:p>
      <w:pPr>
        <w:pStyle w:val="165"/>
        <w:numPr>
          <w:ilvl w:val="0"/>
          <w:numId w:val="0"/>
        </w:numPr>
      </w:pPr>
    </w:p>
    <w:p>
      <w:pPr>
        <w:pStyle w:val="165"/>
        <w:numPr>
          <w:ilvl w:val="0"/>
          <w:numId w:val="0"/>
        </w:numPr>
      </w:pPr>
    </w:p>
    <w:p>
      <w:pPr>
        <w:pStyle w:val="165"/>
        <w:numPr>
          <w:ilvl w:val="0"/>
          <w:numId w:val="0"/>
        </w:numPr>
      </w:pPr>
    </w:p>
    <w:p>
      <w:pPr>
        <w:pStyle w:val="165"/>
        <w:numPr>
          <w:ilvl w:val="0"/>
          <w:numId w:val="0"/>
        </w:numPr>
      </w:pPr>
    </w:p>
    <w:p>
      <w:pPr>
        <w:pStyle w:val="165"/>
        <w:numPr>
          <w:ilvl w:val="0"/>
          <w:numId w:val="0"/>
        </w:numPr>
      </w:pPr>
    </w:p>
    <w:p>
      <w:pPr>
        <w:pStyle w:val="165"/>
        <w:numPr>
          <w:ilvl w:val="0"/>
          <w:numId w:val="0"/>
        </w:numPr>
      </w:pPr>
    </w:p>
    <w:p>
      <w:pPr>
        <w:pStyle w:val="165"/>
        <w:numPr>
          <w:ilvl w:val="0"/>
          <w:numId w:val="0"/>
        </w:numPr>
      </w:pPr>
    </w:p>
    <w:p>
      <w:pPr>
        <w:pStyle w:val="165"/>
        <w:numPr>
          <w:ilvl w:val="0"/>
          <w:numId w:val="0"/>
        </w:numPr>
      </w:pPr>
    </w:p>
    <w:p>
      <w:pPr>
        <w:pStyle w:val="165"/>
        <w:numPr>
          <w:ilvl w:val="0"/>
          <w:numId w:val="0"/>
        </w:numPr>
      </w:pPr>
    </w:p>
    <w:p>
      <w:pPr>
        <w:pStyle w:val="165"/>
        <w:numPr>
          <w:ilvl w:val="0"/>
          <w:numId w:val="0"/>
        </w:numPr>
      </w:pPr>
    </w:p>
    <w:p>
      <w:pPr>
        <w:pStyle w:val="165"/>
        <w:numPr>
          <w:ilvl w:val="0"/>
          <w:numId w:val="0"/>
        </w:numPr>
      </w:pPr>
    </w:p>
    <w:p>
      <w:pPr>
        <w:pStyle w:val="165"/>
        <w:numPr>
          <w:ilvl w:val="0"/>
          <w:numId w:val="0"/>
        </w:numPr>
      </w:pPr>
    </w:p>
    <w:p>
      <w:pPr>
        <w:pStyle w:val="165"/>
        <w:numPr>
          <w:ilvl w:val="0"/>
          <w:numId w:val="0"/>
        </w:numPr>
      </w:pPr>
    </w:p>
    <w:p>
      <w:pPr>
        <w:pStyle w:val="165"/>
        <w:numPr>
          <w:ilvl w:val="0"/>
          <w:numId w:val="0"/>
        </w:numPr>
      </w:pPr>
    </w:p>
    <w:p>
      <w:pPr>
        <w:pStyle w:val="165"/>
        <w:numPr>
          <w:ilvl w:val="0"/>
          <w:numId w:val="0"/>
        </w:numPr>
      </w:pPr>
    </w:p>
    <w:p>
      <w:pPr>
        <w:pStyle w:val="165"/>
        <w:numPr>
          <w:ilvl w:val="0"/>
          <w:numId w:val="0"/>
        </w:numPr>
      </w:pPr>
    </w:p>
    <w:p>
      <w:pPr>
        <w:pStyle w:val="165"/>
        <w:numPr>
          <w:ilvl w:val="0"/>
          <w:numId w:val="0"/>
        </w:numPr>
      </w:pPr>
    </w:p>
    <w:p>
      <w:pPr>
        <w:pStyle w:val="165"/>
        <w:numPr>
          <w:ilvl w:val="0"/>
          <w:numId w:val="0"/>
        </w:numPr>
      </w:pPr>
    </w:p>
    <w:p>
      <w:pPr>
        <w:pStyle w:val="165"/>
        <w:numPr>
          <w:ilvl w:val="0"/>
          <w:numId w:val="0"/>
        </w:numPr>
      </w:pPr>
    </w:p>
    <w:p>
      <w:pPr>
        <w:pStyle w:val="165"/>
        <w:numPr>
          <w:ilvl w:val="0"/>
          <w:numId w:val="0"/>
        </w:numPr>
      </w:pPr>
    </w:p>
    <w:p>
      <w:pPr>
        <w:pStyle w:val="165"/>
        <w:numPr>
          <w:ilvl w:val="0"/>
          <w:numId w:val="0"/>
        </w:numPr>
      </w:pPr>
    </w:p>
    <w:p>
      <w:pPr>
        <w:pStyle w:val="165"/>
        <w:numPr>
          <w:ilvl w:val="0"/>
          <w:numId w:val="0"/>
        </w:numPr>
      </w:pPr>
    </w:p>
    <w:p>
      <w:pPr>
        <w:pStyle w:val="165"/>
        <w:numPr>
          <w:ilvl w:val="0"/>
          <w:numId w:val="0"/>
        </w:numPr>
      </w:pPr>
    </w:p>
    <w:p>
      <w:pPr>
        <w:pStyle w:val="165"/>
        <w:numPr>
          <w:ilvl w:val="0"/>
          <w:numId w:val="0"/>
        </w:numPr>
      </w:pPr>
    </w:p>
    <w:p>
      <w:pPr>
        <w:pStyle w:val="165"/>
        <w:numPr>
          <w:ilvl w:val="0"/>
          <w:numId w:val="0"/>
        </w:numPr>
      </w:pPr>
    </w:p>
    <w:p>
      <w:pPr>
        <w:pStyle w:val="165"/>
        <w:numPr>
          <w:ilvl w:val="0"/>
          <w:numId w:val="0"/>
        </w:numPr>
      </w:pPr>
    </w:p>
    <w:p>
      <w:pPr>
        <w:pStyle w:val="165"/>
        <w:numPr>
          <w:ilvl w:val="0"/>
          <w:numId w:val="0"/>
        </w:numPr>
      </w:pPr>
    </w:p>
    <w:p>
      <w:pPr>
        <w:pStyle w:val="165"/>
        <w:numPr>
          <w:ilvl w:val="0"/>
          <w:numId w:val="0"/>
        </w:numPr>
      </w:pPr>
    </w:p>
    <w:p>
      <w:pPr>
        <w:pStyle w:val="165"/>
        <w:numPr>
          <w:ilvl w:val="0"/>
          <w:numId w:val="0"/>
        </w:numPr>
      </w:pPr>
    </w:p>
    <w:p>
      <w:pPr>
        <w:pStyle w:val="165"/>
        <w:numPr>
          <w:ilvl w:val="0"/>
          <w:numId w:val="0"/>
        </w:numPr>
      </w:pPr>
    </w:p>
    <w:p>
      <w:pPr>
        <w:pStyle w:val="165"/>
        <w:numPr>
          <w:ilvl w:val="0"/>
          <w:numId w:val="0"/>
        </w:numPr>
      </w:pPr>
    </w:p>
    <w:p>
      <w:pPr>
        <w:pStyle w:val="165"/>
        <w:numPr>
          <w:ilvl w:val="0"/>
          <w:numId w:val="0"/>
        </w:numPr>
      </w:pPr>
    </w:p>
    <w:p>
      <w:pPr>
        <w:pStyle w:val="165"/>
        <w:numPr>
          <w:ilvl w:val="0"/>
          <w:numId w:val="0"/>
        </w:numPr>
      </w:pPr>
    </w:p>
    <w:p>
      <w:pPr>
        <w:pStyle w:val="165"/>
        <w:numPr>
          <w:ilvl w:val="0"/>
          <w:numId w:val="0"/>
        </w:numPr>
      </w:pPr>
    </w:p>
    <w:p>
      <w:pPr>
        <w:pStyle w:val="56"/>
        <w:ind w:firstLine="420"/>
        <w:sectPr>
          <w:pgSz w:w="11906" w:h="16838"/>
          <w:pgMar w:top="1928" w:right="1134" w:bottom="1134" w:left="1134" w:header="1418" w:footer="1134" w:gutter="284"/>
          <w:pgNumType w:start="1"/>
          <w:cols w:space="425" w:num="1"/>
          <w:formProt w:val="0"/>
          <w:docGrid w:type="lines" w:linePitch="312" w:charSpace="0"/>
        </w:sectPr>
      </w:pPr>
    </w:p>
    <w:bookmarkEnd w:id="32"/>
    <w:p>
      <w:pPr>
        <w:pStyle w:val="198"/>
      </w:pPr>
      <w:bookmarkStart w:id="87" w:name="BookMark5"/>
    </w:p>
    <w:p>
      <w:pPr>
        <w:pStyle w:val="199"/>
      </w:pPr>
    </w:p>
    <w:p>
      <w:pPr>
        <w:pStyle w:val="76"/>
        <w:spacing w:after="156"/>
      </w:pPr>
      <w:r>
        <w:br w:type="textWrapping"/>
      </w:r>
      <w:bookmarkStart w:id="88" w:name="_Toc151734926"/>
      <w:r>
        <w:rPr>
          <w:rFonts w:hint="eastAsia"/>
        </w:rPr>
        <w:t>（资料性）</w:t>
      </w:r>
      <w:r>
        <w:br w:type="textWrapping"/>
      </w:r>
      <w:r>
        <w:rPr>
          <w:rFonts w:hint="eastAsia"/>
        </w:rPr>
        <w:t>屋面金属板压接图例</w:t>
      </w:r>
      <w:bookmarkEnd w:id="88"/>
    </w:p>
    <w:p>
      <w:pPr>
        <w:pStyle w:val="56"/>
        <w:ind w:firstLine="420"/>
      </w:pPr>
      <w:r>
        <w:rPr>
          <w:rFonts w:hint="eastAsia"/>
        </w:rPr>
        <w:t>金属结构变电站屋面由多块金属板压接时，连接方式可参照图A.1。</w:t>
      </w:r>
    </w:p>
    <w:p>
      <w:pPr>
        <w:pStyle w:val="56"/>
        <w:ind w:firstLine="420"/>
      </w:pPr>
    </w:p>
    <w:p>
      <w:pPr>
        <w:pStyle w:val="56"/>
        <w:ind w:firstLine="420"/>
      </w:pPr>
    </w:p>
    <w:p>
      <w:pPr>
        <w:pStyle w:val="56"/>
        <w:ind w:firstLine="420"/>
      </w:pPr>
      <w:r>
        <w:drawing>
          <wp:inline distT="0" distB="0" distL="0" distR="0">
            <wp:extent cx="5942965" cy="2105025"/>
            <wp:effectExtent l="0" t="0" r="635" b="9525"/>
            <wp:docPr id="20247842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78421" name="图片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5942965" cy="2105025"/>
                    </a:xfrm>
                    <a:prstGeom prst="rect">
                      <a:avLst/>
                    </a:prstGeom>
                    <a:noFill/>
                  </pic:spPr>
                </pic:pic>
              </a:graphicData>
            </a:graphic>
          </wp:inline>
        </w:drawing>
      </w:r>
    </w:p>
    <w:p>
      <w:pPr>
        <w:pStyle w:val="83"/>
        <w:spacing w:before="156" w:after="156"/>
      </w:pPr>
      <w:r>
        <w:rPr>
          <w:rFonts w:hint="eastAsia"/>
        </w:rPr>
        <w:t xml:space="preserve"> </w:t>
      </w:r>
      <w:r>
        <w:t xml:space="preserve"> </w:t>
      </w:r>
      <w:r>
        <w:rPr>
          <w:rFonts w:hint="eastAsia"/>
        </w:rPr>
        <w:t>屋面金属板压接图例</w:t>
      </w:r>
    </w:p>
    <w:p>
      <w:pPr>
        <w:pStyle w:val="56"/>
        <w:ind w:firstLine="420"/>
        <w:sectPr>
          <w:pgSz w:w="11906" w:h="16838"/>
          <w:pgMar w:top="1928" w:right="1134" w:bottom="1134" w:left="1134" w:header="1418" w:footer="1134" w:gutter="284"/>
          <w:cols w:space="425" w:num="1"/>
          <w:formProt w:val="0"/>
          <w:docGrid w:type="lines" w:linePitch="312" w:charSpace="0"/>
        </w:sectPr>
      </w:pPr>
    </w:p>
    <w:p>
      <w:pPr>
        <w:pStyle w:val="198"/>
      </w:pPr>
    </w:p>
    <w:p>
      <w:pPr>
        <w:pStyle w:val="199"/>
      </w:pPr>
    </w:p>
    <w:p>
      <w:pPr>
        <w:pStyle w:val="76"/>
        <w:spacing w:before="0" w:after="156"/>
      </w:pPr>
      <w:r>
        <w:br w:type="textWrapping"/>
      </w:r>
      <w:bookmarkStart w:id="89" w:name="_Toc151734927"/>
      <w:r>
        <w:rPr>
          <w:rFonts w:hint="eastAsia"/>
        </w:rPr>
        <w:t>（资料性）</w:t>
      </w:r>
      <w:r>
        <w:br w:type="textWrapping"/>
      </w:r>
      <w:r>
        <w:rPr>
          <w:rFonts w:hint="eastAsia"/>
        </w:rPr>
        <w:t>典型材质雷电流热效应理论计算</w:t>
      </w:r>
      <w:bookmarkEnd w:id="89"/>
    </w:p>
    <w:p>
      <w:pPr>
        <w:pStyle w:val="56"/>
        <w:ind w:firstLine="420"/>
      </w:pPr>
      <w:r>
        <w:rPr>
          <w:rFonts w:hint="eastAsia"/>
        </w:rPr>
        <w:t xml:space="preserve">当雷电击中金属屋面时，雷电流电弧底部产生大量的热量作用于金属表面，造成屋面材料熔化、气化。可将该过程的热效应简化处理为：电弧底部的能量转换由电荷与电压降的乘积产生。该过程中电压降一般作常数，因而电弧底部的能量转换主要与雷电流电荷有关。假设该能量未被传递，只用于熔化金属，导致熔化的体积可如式（B.1）计算：    </w:t>
      </w:r>
    </w:p>
    <w:p>
      <w:pPr>
        <w:pStyle w:val="113"/>
      </w:pPr>
      <w:r>
        <w:tab/>
      </w:r>
      <m:oMath>
        <m:r>
          <w:rPr>
            <w:rFonts w:ascii="Cambria Math" w:hAnsi="Cambria Math"/>
          </w:rPr>
          <w:object>
            <v:shape id="_x0000_i1026" o:spt="75" type="#_x0000_t75" style="height:36pt;width:138pt;" o:ole="t" filled="f" o:preferrelative="t" stroked="f" coordsize="21600,21600">
              <v:path/>
              <v:fill on="f" focussize="0,0"/>
              <v:stroke on="f" joinstyle="miter"/>
              <v:imagedata r:id="rId20" o:title=""/>
              <o:lock v:ext="edit" aspectratio="t"/>
              <w10:wrap type="none"/>
              <w10:anchorlock/>
            </v:shape>
            <o:OLEObject Type="Embed" ProgID="Equation.DSMT4" ShapeID="_x0000_i1026" DrawAspect="Content" ObjectID="_1468075726" r:id="rId19">
              <o:LockedField>false</o:LockedField>
            </o:OLEObject>
          </w:object>
        </m:r>
      </m:oMath>
      <w:r>
        <w:rPr>
          <w:rFonts w:ascii="微软雅黑" w:hAnsi="微软雅黑" w:eastAsia="微软雅黑"/>
        </w:rPr>
        <w:tab/>
      </w:r>
      <w:r>
        <w:t>(B.</w:t>
      </w:r>
      <w:r>
        <w:fldChar w:fldCharType="begin"/>
      </w:r>
      <w:r>
        <w:instrText xml:space="preserve"> seq fulu_equation_133452795512097033 </w:instrText>
      </w:r>
      <w:r>
        <w:fldChar w:fldCharType="separate"/>
      </w:r>
      <w:r>
        <w:t>1</w:t>
      </w:r>
      <w:r>
        <w:fldChar w:fldCharType="end"/>
      </w:r>
      <w:r>
        <w:t>)</w:t>
      </w:r>
    </w:p>
    <w:p>
      <w:pPr>
        <w:widowControl/>
        <w:tabs>
          <w:tab w:val="center" w:pos="4201"/>
          <w:tab w:val="right" w:leader="dot" w:pos="9298"/>
        </w:tabs>
        <w:autoSpaceDE w:val="0"/>
        <w:autoSpaceDN w:val="0"/>
        <w:adjustRightInd/>
        <w:snapToGrid w:val="0"/>
        <w:spacing w:before="156" w:beforeLines="50" w:after="156" w:afterLines="50" w:line="240" w:lineRule="auto"/>
        <w:ind w:firstLine="420" w:firstLineChars="200"/>
        <w:jc w:val="left"/>
        <w:rPr>
          <w:rFonts w:ascii="Times New Roman" w:hAnsi="Times New Roman"/>
          <w:kern w:val="0"/>
          <w:szCs w:val="20"/>
        </w:rPr>
      </w:pPr>
      <w:r>
        <w:rPr>
          <w:rFonts w:hint="eastAsia" w:ascii="Times New Roman"/>
        </w:rPr>
        <w:t>式中，</w:t>
      </w:r>
      <w:r>
        <w:rPr>
          <w:rFonts w:ascii="Times New Roman"/>
        </w:rPr>
        <w:t>V</w:t>
      </w:r>
      <w:r>
        <w:rPr>
          <w:rFonts w:hint="eastAsia" w:ascii="Times New Roman"/>
        </w:rPr>
        <w:t>为</w:t>
      </w:r>
      <w:r>
        <w:rPr>
          <w:rFonts w:hint="eastAsia"/>
        </w:rPr>
        <w:t>熔化</w:t>
      </w:r>
      <w:r>
        <w:rPr>
          <w:rFonts w:hint="eastAsia" w:ascii="宋体" w:hAnsi="宋体"/>
        </w:rPr>
        <w:t>的体积（mm</w:t>
      </w:r>
      <w:r>
        <w:rPr>
          <w:rFonts w:ascii="宋体" w:hAnsi="宋体"/>
          <w:vertAlign w:val="superscript"/>
        </w:rPr>
        <w:t>3</w:t>
      </w:r>
      <w:r>
        <w:rPr>
          <w:rFonts w:hint="eastAsia" w:ascii="宋体" w:hAnsi="宋体"/>
        </w:rPr>
        <w:t>）；U</w:t>
      </w:r>
      <w:r>
        <w:rPr>
          <w:rFonts w:ascii="宋体" w:hAnsi="宋体"/>
          <w:vertAlign w:val="subscript"/>
        </w:rPr>
        <w:t>a,c</w:t>
      </w:r>
      <w:r>
        <w:rPr>
          <w:rFonts w:hint="eastAsia" w:ascii="宋体" w:hAnsi="宋体"/>
        </w:rPr>
        <w:t>为电压降（V）；</w:t>
      </w:r>
      <w:r>
        <w:rPr>
          <w:rFonts w:ascii="宋体" w:hAnsi="宋体"/>
          <w:kern w:val="0"/>
          <w:szCs w:val="20"/>
        </w:rPr>
        <w:fldChar w:fldCharType="begin"/>
      </w:r>
      <w:r>
        <w:rPr>
          <w:rFonts w:ascii="宋体" w:hAnsi="宋体"/>
          <w:kern w:val="0"/>
          <w:szCs w:val="20"/>
        </w:rPr>
        <w:instrText xml:space="preserve"> QUOTE </w:instrText>
      </w:r>
      <w:r>
        <w:rPr>
          <w:rFonts w:ascii="宋体" w:hAnsi="宋体"/>
          <w:kern w:val="0"/>
          <w:szCs w:val="20"/>
        </w:rPr>
        <w:drawing>
          <wp:inline distT="0" distB="0" distL="0" distR="0">
            <wp:extent cx="1668780" cy="403860"/>
            <wp:effectExtent l="0" t="0" r="7620" b="0"/>
            <wp:docPr id="441113847"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113847" name="图片 9"/>
                    <pic:cNvPicPr>
                      <a:picLocks noChangeAspect="1" noChangeArrowheads="1"/>
                    </pic:cNvPicPr>
                  </pic:nvPicPr>
                  <pic:blipFill>
                    <a:blip r:embed="rId2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1668780" cy="403860"/>
                    </a:xfrm>
                    <a:prstGeom prst="rect">
                      <a:avLst/>
                    </a:prstGeom>
                    <a:noFill/>
                    <a:ln>
                      <a:noFill/>
                    </a:ln>
                  </pic:spPr>
                </pic:pic>
              </a:graphicData>
            </a:graphic>
          </wp:inline>
        </w:drawing>
      </w:r>
      <w:r>
        <w:rPr>
          <w:rFonts w:ascii="宋体" w:hAnsi="宋体"/>
          <w:kern w:val="0"/>
          <w:szCs w:val="20"/>
        </w:rPr>
        <w:instrText xml:space="preserve"> </w:instrText>
      </w:r>
      <w:r>
        <w:rPr>
          <w:rFonts w:ascii="宋体" w:hAnsi="宋体"/>
          <w:kern w:val="0"/>
          <w:szCs w:val="20"/>
        </w:rPr>
        <w:fldChar w:fldCharType="end"/>
      </w:r>
      <w:r>
        <w:rPr>
          <w:rFonts w:ascii="宋体" w:hAnsi="宋体"/>
          <w:kern w:val="0"/>
          <w:szCs w:val="20"/>
        </w:rPr>
        <w:t>Q为雷电流电荷量（C）；</w:t>
      </w:r>
      <w:r>
        <w:rPr>
          <w:rFonts w:ascii="宋体" w:hAnsi="宋体"/>
          <w:i/>
          <w:iCs/>
          <w:kern w:val="0"/>
          <w:szCs w:val="20"/>
        </w:rPr>
        <w:t>γ</w:t>
      </w:r>
      <w:r>
        <w:rPr>
          <w:rFonts w:ascii="宋体" w:hAnsi="宋体"/>
          <w:kern w:val="0"/>
          <w:szCs w:val="20"/>
        </w:rPr>
        <w:t>为材料密度（kg/m</w:t>
      </w:r>
      <w:r>
        <w:rPr>
          <w:rFonts w:ascii="宋体" w:hAnsi="宋体"/>
          <w:kern w:val="0"/>
          <w:szCs w:val="20"/>
          <w:vertAlign w:val="superscript"/>
        </w:rPr>
        <w:t>3</w:t>
      </w:r>
      <w:r>
        <w:rPr>
          <w:rFonts w:ascii="宋体" w:hAnsi="宋体"/>
          <w:kern w:val="0"/>
          <w:szCs w:val="20"/>
        </w:rPr>
        <w:t>）；C</w:t>
      </w:r>
      <w:r>
        <w:rPr>
          <w:rFonts w:ascii="宋体" w:hAnsi="宋体"/>
          <w:kern w:val="0"/>
          <w:szCs w:val="20"/>
          <w:vertAlign w:val="subscript"/>
        </w:rPr>
        <w:t>w</w:t>
      </w:r>
      <w:r>
        <w:rPr>
          <w:rFonts w:ascii="宋体" w:hAnsi="宋体"/>
          <w:kern w:val="0"/>
          <w:szCs w:val="20"/>
        </w:rPr>
        <w:t>为热容量[J/(kg·K)]；</w:t>
      </w:r>
      <w:r>
        <w:rPr>
          <w:rFonts w:hint="eastAsia" w:ascii="宋体" w:hAnsi="宋体"/>
          <w:kern w:val="0"/>
          <w:szCs w:val="20"/>
        </w:rPr>
        <w:t>θ</w:t>
      </w:r>
      <w:r>
        <w:rPr>
          <w:rFonts w:hint="eastAsia" w:ascii="宋体" w:hAnsi="宋体"/>
          <w:kern w:val="0"/>
          <w:szCs w:val="20"/>
          <w:vertAlign w:val="subscript"/>
        </w:rPr>
        <w:t>s</w:t>
      </w:r>
      <w:r>
        <w:rPr>
          <w:rFonts w:ascii="宋体" w:hAnsi="宋体"/>
          <w:kern w:val="0"/>
          <w:szCs w:val="20"/>
        </w:rPr>
        <w:t>为熔点（℃）；</w:t>
      </w:r>
      <w:r>
        <w:rPr>
          <w:rFonts w:hint="eastAsia" w:ascii="宋体" w:hAnsi="宋体"/>
          <w:kern w:val="0"/>
          <w:szCs w:val="20"/>
        </w:rPr>
        <w:t>θ</w:t>
      </w:r>
      <w:r>
        <w:rPr>
          <w:rFonts w:ascii="宋体" w:hAnsi="宋体"/>
          <w:kern w:val="0"/>
          <w:szCs w:val="20"/>
          <w:vertAlign w:val="subscript"/>
        </w:rPr>
        <w:t>u</w:t>
      </w:r>
      <w:r>
        <w:rPr>
          <w:rFonts w:ascii="宋体" w:hAnsi="宋体"/>
          <w:kern w:val="0"/>
          <w:szCs w:val="20"/>
        </w:rPr>
        <w:t>为环境温度（℃）；C</w:t>
      </w:r>
      <w:r>
        <w:rPr>
          <w:rFonts w:ascii="宋体" w:hAnsi="宋体"/>
          <w:kern w:val="0"/>
          <w:szCs w:val="20"/>
          <w:vertAlign w:val="subscript"/>
        </w:rPr>
        <w:t>s</w:t>
      </w:r>
      <w:r>
        <w:rPr>
          <w:rFonts w:ascii="宋体" w:hAnsi="宋体"/>
          <w:kern w:val="0"/>
          <w:szCs w:val="20"/>
        </w:rPr>
        <w:t>为熔化潜热(J/kg)。</w:t>
      </w:r>
      <w:r>
        <w:rPr>
          <w:rFonts w:hint="eastAsia" w:ascii="宋体" w:hAnsi="宋体"/>
          <w:kern w:val="0"/>
          <w:szCs w:val="20"/>
        </w:rPr>
        <w:t>根据GB</w:t>
      </w:r>
      <w:r>
        <w:rPr>
          <w:rFonts w:ascii="宋体" w:hAnsi="宋体"/>
          <w:kern w:val="0"/>
          <w:szCs w:val="20"/>
        </w:rPr>
        <w:t xml:space="preserve"> </w:t>
      </w:r>
      <w:r>
        <w:rPr>
          <w:rFonts w:hint="eastAsia" w:ascii="宋体" w:hAnsi="宋体"/>
          <w:kern w:val="0"/>
          <w:szCs w:val="20"/>
        </w:rPr>
        <w:t>50057-</w:t>
      </w:r>
      <w:r>
        <w:rPr>
          <w:rFonts w:ascii="宋体" w:hAnsi="宋体"/>
          <w:kern w:val="0"/>
          <w:szCs w:val="20"/>
        </w:rPr>
        <w:t>2010</w:t>
      </w:r>
      <w:r>
        <w:rPr>
          <w:rFonts w:hint="eastAsia" w:ascii="宋体" w:hAnsi="宋体"/>
          <w:kern w:val="0"/>
          <w:szCs w:val="20"/>
        </w:rPr>
        <w:t>第4.1.4条，</w:t>
      </w:r>
      <w:r>
        <w:rPr>
          <w:rFonts w:ascii="宋体" w:hAnsi="宋体"/>
          <w:kern w:val="0"/>
          <w:szCs w:val="20"/>
        </w:rPr>
        <w:t>雷击点加热面积的直径一般为50～100mm，对应</w:t>
      </w:r>
      <w:r>
        <w:rPr>
          <w:rFonts w:hint="eastAsia" w:ascii="宋体" w:hAnsi="宋体"/>
          <w:kern w:val="0"/>
          <w:szCs w:val="20"/>
        </w:rPr>
        <w:t>加热</w:t>
      </w:r>
      <w:r>
        <w:rPr>
          <w:rFonts w:ascii="宋体" w:hAnsi="宋体"/>
          <w:kern w:val="0"/>
          <w:szCs w:val="20"/>
        </w:rPr>
        <w:t>面积</w:t>
      </w:r>
      <w:r>
        <w:rPr>
          <w:rFonts w:hint="eastAsia" w:ascii="宋体" w:hAnsi="宋体"/>
          <w:kern w:val="0"/>
          <w:szCs w:val="20"/>
        </w:rPr>
        <w:t>为</w:t>
      </w:r>
      <w:r>
        <w:rPr>
          <w:rFonts w:ascii="宋体" w:hAnsi="宋体"/>
          <w:kern w:val="0"/>
          <w:szCs w:val="20"/>
        </w:rPr>
        <w:t>1963～7854mm</w:t>
      </w:r>
      <w:r>
        <w:rPr>
          <w:rFonts w:ascii="宋体" w:hAnsi="宋体"/>
          <w:kern w:val="0"/>
          <w:szCs w:val="20"/>
          <w:vertAlign w:val="superscript"/>
        </w:rPr>
        <w:t>2</w:t>
      </w:r>
      <w:r>
        <w:rPr>
          <w:rFonts w:ascii="宋体" w:hAnsi="宋体"/>
          <w:kern w:val="0"/>
          <w:szCs w:val="20"/>
        </w:rPr>
        <w:t>。</w:t>
      </w:r>
      <w:r>
        <w:rPr>
          <w:rFonts w:hint="eastAsia" w:ascii="宋体" w:hAnsi="宋体"/>
          <w:kern w:val="0"/>
          <w:szCs w:val="20"/>
        </w:rPr>
        <w:t>当</w:t>
      </w:r>
      <w:r>
        <w:rPr>
          <w:rFonts w:ascii="宋体" w:hAnsi="宋体"/>
          <w:kern w:val="0"/>
          <w:szCs w:val="20"/>
        </w:rPr>
        <w:t>在雷电流注入电弧触点的能量一定</w:t>
      </w:r>
      <w:r>
        <w:rPr>
          <w:rFonts w:hint="eastAsia" w:ascii="宋体" w:hAnsi="宋体"/>
          <w:kern w:val="0"/>
          <w:szCs w:val="20"/>
        </w:rPr>
        <w:t>时</w:t>
      </w:r>
      <w:r>
        <w:rPr>
          <w:rFonts w:ascii="宋体" w:hAnsi="宋体"/>
          <w:kern w:val="0"/>
          <w:szCs w:val="20"/>
        </w:rPr>
        <w:t>，加热点面积越小，金属板熔化的厚度越深，为了计算最</w:t>
      </w:r>
      <w:r>
        <w:rPr>
          <w:rFonts w:hint="eastAsia" w:ascii="宋体" w:hAnsi="宋体"/>
          <w:kern w:val="0"/>
          <w:szCs w:val="20"/>
        </w:rPr>
        <w:t>大</w:t>
      </w:r>
      <w:r>
        <w:rPr>
          <w:rFonts w:ascii="宋体" w:hAnsi="宋体"/>
          <w:kern w:val="0"/>
          <w:szCs w:val="20"/>
        </w:rPr>
        <w:t>熔化深度, 此处计算选取加热面积</w:t>
      </w:r>
      <w:r>
        <w:rPr>
          <w:rFonts w:hint="eastAsia" w:ascii="宋体" w:hAnsi="宋体"/>
          <w:kern w:val="0"/>
          <w:szCs w:val="20"/>
        </w:rPr>
        <w:t>最小值</w:t>
      </w:r>
      <w:r>
        <w:rPr>
          <w:rFonts w:ascii="宋体" w:hAnsi="宋体"/>
          <w:kern w:val="0"/>
          <w:szCs w:val="20"/>
        </w:rPr>
        <w:t>1963mm</w:t>
      </w:r>
      <w:r>
        <w:rPr>
          <w:rFonts w:ascii="宋体" w:hAnsi="宋体"/>
          <w:kern w:val="0"/>
          <w:szCs w:val="20"/>
          <w:vertAlign w:val="superscript"/>
        </w:rPr>
        <w:t>2</w:t>
      </w:r>
      <w:r>
        <w:rPr>
          <w:rFonts w:ascii="宋体" w:hAnsi="宋体"/>
          <w:kern w:val="0"/>
          <w:szCs w:val="20"/>
        </w:rPr>
        <w:t>。 将上述选取的数值依次代入式（B.1）和（B.2）中，即可计算得到雷击金属板时的熔化厚度</w:t>
      </w:r>
      <w:r>
        <w:rPr>
          <w:rFonts w:ascii="Times New Roman" w:hAnsi="Times New Roman"/>
          <w:kern w:val="0"/>
          <w:szCs w:val="20"/>
        </w:rPr>
        <w:t>：</w:t>
      </w:r>
    </w:p>
    <w:p>
      <w:pPr>
        <w:pStyle w:val="113"/>
      </w:pPr>
      <w:r>
        <w:tab/>
      </w:r>
      <m:oMath>
        <m:r>
          <w:rPr>
            <w:rFonts w:ascii="Cambria Math" w:hAnsi="Cambria Math"/>
          </w:rPr>
          <w:object>
            <v:shape id="_x0000_i1027" o:spt="75" type="#_x0000_t75" style="height:14.5pt;width:50pt;" o:ole="t" filled="f" o:preferrelative="t" stroked="f" coordsize="21600,21600">
              <v:path/>
              <v:fill on="f" focussize="0,0"/>
              <v:stroke on="f" joinstyle="miter"/>
              <v:imagedata r:id="rId23" o:title=""/>
              <o:lock v:ext="edit" aspectratio="t"/>
              <w10:wrap type="none"/>
              <w10:anchorlock/>
            </v:shape>
            <o:OLEObject Type="Embed" ProgID="Equation.DSMT4" ShapeID="_x0000_i1027" DrawAspect="Content" ObjectID="_1468075727" r:id="rId22">
              <o:LockedField>false</o:LockedField>
            </o:OLEObject>
          </w:object>
        </m:r>
      </m:oMath>
      <w:r>
        <w:rPr>
          <w:rFonts w:ascii="微软雅黑" w:hAnsi="微软雅黑" w:eastAsia="微软雅黑"/>
        </w:rPr>
        <w:tab/>
      </w:r>
      <w:r>
        <w:t>(B.</w:t>
      </w:r>
      <w:r>
        <w:fldChar w:fldCharType="begin"/>
      </w:r>
      <w:r>
        <w:instrText xml:space="preserve">  seq fulu_equation_133452795512097033  </w:instrText>
      </w:r>
      <w:r>
        <w:fldChar w:fldCharType="separate"/>
      </w:r>
      <w:r>
        <w:t>2</w:t>
      </w:r>
      <w:r>
        <w:fldChar w:fldCharType="end"/>
      </w:r>
      <w:r>
        <w:t>)</w:t>
      </w:r>
    </w:p>
    <w:p>
      <w:pPr>
        <w:pStyle w:val="55"/>
        <w:spacing w:line="240" w:lineRule="auto"/>
        <w:ind w:firstLine="420"/>
      </w:pPr>
      <w:r>
        <w:rPr>
          <w:rFonts w:hint="eastAsia"/>
        </w:rPr>
        <w:t>式中</w:t>
      </w:r>
      <w:r>
        <w:rPr>
          <w:rFonts w:hint="eastAsia" w:ascii="宋体" w:hAnsi="宋体"/>
        </w:rPr>
        <w:t>，</w:t>
      </w:r>
      <w:r>
        <w:rPr>
          <w:rFonts w:hint="eastAsia" w:ascii="宋体" w:hAnsi="宋体"/>
          <w:szCs w:val="20"/>
        </w:rPr>
        <w:t>H为</w:t>
      </w:r>
      <w:r>
        <w:rPr>
          <w:rFonts w:ascii="宋体" w:hAnsi="宋体"/>
          <w:szCs w:val="20"/>
        </w:rPr>
        <w:t>熔化厚度</w:t>
      </w:r>
      <w:r>
        <w:rPr>
          <w:rFonts w:hint="eastAsia" w:ascii="宋体" w:hAnsi="宋体"/>
          <w:szCs w:val="20"/>
        </w:rPr>
        <w:t>（mm）；</w:t>
      </w:r>
      <w:r>
        <w:rPr>
          <w:rFonts w:ascii="宋体" w:hAnsi="宋体"/>
          <w:szCs w:val="20"/>
        </w:rPr>
        <w:t>S</w:t>
      </w:r>
      <w:r>
        <w:rPr>
          <w:rFonts w:hint="eastAsia" w:ascii="宋体" w:hAnsi="宋体"/>
          <w:szCs w:val="20"/>
        </w:rPr>
        <w:t>为雷电流电弧加热点面积（m</w:t>
      </w:r>
      <w:r>
        <w:rPr>
          <w:rFonts w:hint="eastAsia" w:ascii="宋体" w:hAnsi="宋体"/>
        </w:rPr>
        <w:t>m</w:t>
      </w:r>
      <w:r>
        <w:rPr>
          <w:rFonts w:ascii="宋体" w:hAnsi="宋体"/>
          <w:vertAlign w:val="superscript"/>
        </w:rPr>
        <w:t>2</w:t>
      </w:r>
      <w:r>
        <w:rPr>
          <w:rFonts w:hint="eastAsia" w:ascii="宋体" w:hAnsi="宋体"/>
          <w:szCs w:val="20"/>
        </w:rPr>
        <w:t>）。</w:t>
      </w:r>
      <w:r>
        <w:rPr>
          <w:rFonts w:hint="eastAsia" w:ascii="宋体" w:hAnsi="宋体"/>
        </w:rPr>
        <w:t>雷电流分别取100kA和150kA，根据GB 50057—2010中表F.0.1-4，上述电流值的长时间闪击分别携带电荷100C和150C电荷，代入计算典型金属材料熔化厚度如表B.1。由于该算法假设弧底产生的所有</w:t>
      </w:r>
      <w:r>
        <w:rPr>
          <w:rFonts w:hint="eastAsia"/>
        </w:rPr>
        <w:t>能量只用于金属熔化，未考虑能量耗散，因此其估算的熔化体积和厚度大于实际值，计算结果明显偏于安全侧。</w:t>
      </w:r>
    </w:p>
    <w:p>
      <w:pPr>
        <w:pStyle w:val="56"/>
        <w:ind w:firstLine="420"/>
      </w:pPr>
    </w:p>
    <w:p>
      <w:pPr>
        <w:pStyle w:val="77"/>
        <w:spacing w:before="0" w:beforeLines="0" w:after="156"/>
      </w:pPr>
      <w:r>
        <w:rPr>
          <w:rFonts w:hint="eastAsia"/>
        </w:rPr>
        <w:t xml:space="preserve"> </w:t>
      </w:r>
      <w:r>
        <w:t xml:space="preserve"> </w:t>
      </w:r>
      <w:r>
        <w:rPr>
          <w:rFonts w:hint="eastAsia"/>
        </w:rPr>
        <w:t>典型金属材料熔化厚度</w:t>
      </w:r>
    </w:p>
    <w:tbl>
      <w:tblPr>
        <w:tblStyle w:val="2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70"/>
        <w:gridCol w:w="1776"/>
        <w:gridCol w:w="190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70" w:type="dxa"/>
            <w:shd w:val="clear" w:color="auto" w:fill="auto"/>
            <w:vAlign w:val="center"/>
          </w:tcPr>
          <w:p>
            <w:r>
              <w:rPr>
                <w:rFonts w:hint="eastAsia"/>
              </w:rPr>
              <w:t>金属材质</w:t>
            </w:r>
          </w:p>
        </w:tc>
        <w:tc>
          <w:tcPr>
            <w:tcW w:w="1776" w:type="dxa"/>
            <w:shd w:val="clear" w:color="auto" w:fill="auto"/>
            <w:vAlign w:val="center"/>
          </w:tcPr>
          <w:p>
            <w:r>
              <w:rPr>
                <w:rFonts w:hint="eastAsia"/>
              </w:rPr>
              <w:t>雷电流幅值（k</w:t>
            </w:r>
            <w:r>
              <w:t>A</w:t>
            </w:r>
            <w:r>
              <w:rPr>
                <w:rFonts w:hint="eastAsia"/>
              </w:rPr>
              <w:t>）</w:t>
            </w:r>
          </w:p>
        </w:tc>
        <w:tc>
          <w:tcPr>
            <w:tcW w:w="1909" w:type="dxa"/>
            <w:shd w:val="clear" w:color="auto" w:fill="auto"/>
            <w:vAlign w:val="center"/>
          </w:tcPr>
          <w:p>
            <w:r>
              <w:rPr>
                <w:rFonts w:hint="eastAsia"/>
              </w:rPr>
              <w:t>熔穿厚度（m</w:t>
            </w:r>
            <w:r>
              <w:t>m</w:t>
            </w: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70" w:type="dxa"/>
            <w:vMerge w:val="restart"/>
            <w:shd w:val="clear" w:color="auto" w:fill="auto"/>
            <w:vAlign w:val="center"/>
          </w:tcPr>
          <w:p>
            <w:r>
              <w:rPr>
                <w:rFonts w:hint="eastAsia"/>
              </w:rPr>
              <w:t>铝</w:t>
            </w:r>
          </w:p>
        </w:tc>
        <w:tc>
          <w:tcPr>
            <w:tcW w:w="1776" w:type="dxa"/>
            <w:shd w:val="clear" w:color="auto" w:fill="auto"/>
            <w:vAlign w:val="center"/>
          </w:tcPr>
          <w:p>
            <w:r>
              <w:rPr>
                <w:rFonts w:hint="eastAsia"/>
              </w:rPr>
              <w:t>1</w:t>
            </w:r>
            <w:r>
              <w:t>00</w:t>
            </w:r>
          </w:p>
        </w:tc>
        <w:tc>
          <w:tcPr>
            <w:tcW w:w="1909" w:type="dxa"/>
            <w:shd w:val="clear" w:color="auto" w:fill="auto"/>
            <w:vAlign w:val="center"/>
          </w:tcPr>
          <w:p>
            <w:r>
              <w:rPr>
                <w:rFonts w:hint="eastAsia"/>
              </w:rPr>
              <w:t>0</w:t>
            </w:r>
            <w:r>
              <w:t>.58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70" w:type="dxa"/>
            <w:vMerge w:val="continue"/>
            <w:shd w:val="clear" w:color="auto" w:fill="auto"/>
            <w:vAlign w:val="center"/>
          </w:tcPr>
          <w:p/>
        </w:tc>
        <w:tc>
          <w:tcPr>
            <w:tcW w:w="1776" w:type="dxa"/>
            <w:shd w:val="clear" w:color="auto" w:fill="auto"/>
            <w:vAlign w:val="center"/>
          </w:tcPr>
          <w:p>
            <w:r>
              <w:rPr>
                <w:rFonts w:hint="eastAsia"/>
              </w:rPr>
              <w:t>1</w:t>
            </w:r>
            <w:r>
              <w:t>50</w:t>
            </w:r>
          </w:p>
        </w:tc>
        <w:tc>
          <w:tcPr>
            <w:tcW w:w="1909" w:type="dxa"/>
            <w:shd w:val="clear" w:color="auto" w:fill="auto"/>
            <w:vAlign w:val="center"/>
          </w:tcPr>
          <w:p>
            <w:r>
              <w:rPr>
                <w:rFonts w:hint="eastAsia"/>
              </w:rPr>
              <w:t>0</w:t>
            </w:r>
            <w:r>
              <w:t>.87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70" w:type="dxa"/>
            <w:vMerge w:val="restart"/>
            <w:shd w:val="clear" w:color="auto" w:fill="auto"/>
            <w:vAlign w:val="center"/>
          </w:tcPr>
          <w:p>
            <w:r>
              <w:rPr>
                <w:rFonts w:hint="eastAsia"/>
              </w:rPr>
              <w:t>铜</w:t>
            </w:r>
          </w:p>
        </w:tc>
        <w:tc>
          <w:tcPr>
            <w:tcW w:w="1776" w:type="dxa"/>
            <w:shd w:val="clear" w:color="auto" w:fill="auto"/>
            <w:vAlign w:val="center"/>
          </w:tcPr>
          <w:p>
            <w:r>
              <w:rPr>
                <w:rFonts w:hint="eastAsia"/>
              </w:rPr>
              <w:t>1</w:t>
            </w:r>
            <w:r>
              <w:t>00</w:t>
            </w:r>
          </w:p>
        </w:tc>
        <w:tc>
          <w:tcPr>
            <w:tcW w:w="1909" w:type="dxa"/>
            <w:shd w:val="clear" w:color="auto" w:fill="auto"/>
            <w:vAlign w:val="center"/>
          </w:tcPr>
          <w:p>
            <w:r>
              <w:rPr>
                <w:rFonts w:hint="eastAsia"/>
              </w:rPr>
              <w:t>0</w:t>
            </w:r>
            <w:r>
              <w:t>.45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70" w:type="dxa"/>
            <w:vMerge w:val="continue"/>
            <w:shd w:val="clear" w:color="auto" w:fill="auto"/>
            <w:vAlign w:val="center"/>
          </w:tcPr>
          <w:p/>
        </w:tc>
        <w:tc>
          <w:tcPr>
            <w:tcW w:w="1776" w:type="dxa"/>
            <w:shd w:val="clear" w:color="auto" w:fill="auto"/>
            <w:vAlign w:val="center"/>
          </w:tcPr>
          <w:p>
            <w:r>
              <w:rPr>
                <w:rFonts w:hint="eastAsia"/>
              </w:rPr>
              <w:t>1</w:t>
            </w:r>
            <w:r>
              <w:t>50</w:t>
            </w:r>
          </w:p>
        </w:tc>
        <w:tc>
          <w:tcPr>
            <w:tcW w:w="1909" w:type="dxa"/>
            <w:shd w:val="clear" w:color="auto" w:fill="auto"/>
            <w:vAlign w:val="center"/>
          </w:tcPr>
          <w:p>
            <w:r>
              <w:rPr>
                <w:rFonts w:hint="eastAsia"/>
              </w:rPr>
              <w:t>0</w:t>
            </w:r>
            <w:r>
              <w:t>.67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70" w:type="dxa"/>
            <w:vMerge w:val="restart"/>
            <w:shd w:val="clear" w:color="auto" w:fill="auto"/>
            <w:vAlign w:val="center"/>
          </w:tcPr>
          <w:p>
            <w:r>
              <w:rPr>
                <w:rFonts w:hint="eastAsia"/>
              </w:rPr>
              <w:t>锌</w:t>
            </w:r>
          </w:p>
        </w:tc>
        <w:tc>
          <w:tcPr>
            <w:tcW w:w="1776" w:type="dxa"/>
            <w:shd w:val="clear" w:color="auto" w:fill="auto"/>
            <w:vAlign w:val="center"/>
          </w:tcPr>
          <w:p>
            <w:r>
              <w:rPr>
                <w:rFonts w:hint="eastAsia"/>
              </w:rPr>
              <w:t>1</w:t>
            </w:r>
            <w:r>
              <w:t>00</w:t>
            </w:r>
          </w:p>
        </w:tc>
        <w:tc>
          <w:tcPr>
            <w:tcW w:w="1909" w:type="dxa"/>
            <w:shd w:val="clear" w:color="auto" w:fill="auto"/>
            <w:vAlign w:val="center"/>
          </w:tcPr>
          <w:p>
            <w:r>
              <w:rPr>
                <w:rFonts w:hint="eastAsia"/>
              </w:rPr>
              <w:t>0</w:t>
            </w:r>
            <w:r>
              <w:t>.62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70" w:type="dxa"/>
            <w:vMerge w:val="continue"/>
            <w:shd w:val="clear" w:color="auto" w:fill="auto"/>
            <w:vAlign w:val="center"/>
          </w:tcPr>
          <w:p/>
        </w:tc>
        <w:tc>
          <w:tcPr>
            <w:tcW w:w="1776" w:type="dxa"/>
            <w:shd w:val="clear" w:color="auto" w:fill="auto"/>
            <w:vAlign w:val="center"/>
          </w:tcPr>
          <w:p>
            <w:r>
              <w:rPr>
                <w:rFonts w:hint="eastAsia"/>
              </w:rPr>
              <w:t>1</w:t>
            </w:r>
            <w:r>
              <w:t>50</w:t>
            </w:r>
          </w:p>
        </w:tc>
        <w:tc>
          <w:tcPr>
            <w:tcW w:w="1909" w:type="dxa"/>
            <w:shd w:val="clear" w:color="auto" w:fill="auto"/>
            <w:vAlign w:val="center"/>
          </w:tcPr>
          <w:p>
            <w:r>
              <w:rPr>
                <w:rFonts w:hint="eastAsia"/>
              </w:rPr>
              <w:t>0</w:t>
            </w:r>
            <w:r>
              <w:t>.93</w:t>
            </w:r>
          </w:p>
        </w:tc>
      </w:tr>
    </w:tbl>
    <w:p>
      <w:pPr>
        <w:pStyle w:val="56"/>
        <w:ind w:firstLine="420"/>
      </w:pPr>
    </w:p>
    <w:p>
      <w:pPr>
        <w:pStyle w:val="56"/>
        <w:ind w:firstLine="420"/>
        <w:sectPr>
          <w:pgSz w:w="11906" w:h="16838"/>
          <w:pgMar w:top="1928" w:right="1134" w:bottom="1134" w:left="1134" w:header="1418" w:footer="1134" w:gutter="284"/>
          <w:cols w:space="425" w:num="1"/>
          <w:formProt w:val="0"/>
          <w:docGrid w:type="lines" w:linePitch="312" w:charSpace="0"/>
        </w:sectPr>
      </w:pPr>
    </w:p>
    <w:p>
      <w:pPr>
        <w:pStyle w:val="198"/>
      </w:pPr>
    </w:p>
    <w:p>
      <w:pPr>
        <w:pStyle w:val="199"/>
      </w:pPr>
    </w:p>
    <w:p>
      <w:pPr>
        <w:pStyle w:val="76"/>
        <w:spacing w:after="156"/>
      </w:pPr>
      <w:r>
        <w:br w:type="textWrapping"/>
      </w:r>
      <w:bookmarkStart w:id="90" w:name="_Toc151734928"/>
      <w:r>
        <w:rPr>
          <w:rFonts w:hint="eastAsia"/>
        </w:rPr>
        <w:t>（资料性）</w:t>
      </w:r>
      <w:r>
        <w:br w:type="textWrapping"/>
      </w:r>
      <w:r>
        <w:rPr>
          <w:rFonts w:hint="eastAsia"/>
        </w:rPr>
        <w:t>金属屋面直击雷电流冲击试验方案</w:t>
      </w:r>
      <w:bookmarkEnd w:id="90"/>
    </w:p>
    <w:p>
      <w:pPr>
        <w:pStyle w:val="56"/>
        <w:ind w:firstLine="420"/>
      </w:pPr>
      <w:r>
        <w:rPr>
          <w:rFonts w:hint="eastAsia"/>
        </w:rPr>
        <w:t>为了模拟雷电流击中金属屋面产生的电弧对屋面金属板的热效应，可采用如图C.1所示的</w:t>
      </w:r>
      <w:bookmarkStart w:id="91" w:name="_Hlk151733045"/>
      <w:r>
        <w:rPr>
          <w:rFonts w:hint="eastAsia"/>
        </w:rPr>
        <w:t>试验方案</w:t>
      </w:r>
      <w:bookmarkEnd w:id="91"/>
      <w:r>
        <w:rPr>
          <w:rFonts w:hint="eastAsia"/>
        </w:rPr>
        <w:t>。</w:t>
      </w:r>
    </w:p>
    <w:p>
      <w:pPr>
        <w:pStyle w:val="56"/>
        <w:ind w:firstLine="420"/>
      </w:pPr>
    </w:p>
    <w:p>
      <w:pPr>
        <w:pStyle w:val="56"/>
        <w:ind w:firstLine="420"/>
        <w:jc w:val="center"/>
      </w:pPr>
      <w:r>
        <w:drawing>
          <wp:inline distT="0" distB="0" distL="0" distR="0">
            <wp:extent cx="3599815" cy="2580640"/>
            <wp:effectExtent l="0" t="0" r="0" b="0"/>
            <wp:docPr id="130471239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4712395" name="图片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a:xfrm>
                      <a:off x="0" y="0"/>
                      <a:ext cx="3599815" cy="2580640"/>
                    </a:xfrm>
                    <a:prstGeom prst="rect">
                      <a:avLst/>
                    </a:prstGeom>
                    <a:noFill/>
                  </pic:spPr>
                </pic:pic>
              </a:graphicData>
            </a:graphic>
          </wp:inline>
        </w:drawing>
      </w:r>
    </w:p>
    <w:p>
      <w:pPr>
        <w:pStyle w:val="83"/>
        <w:spacing w:before="156" w:after="156"/>
      </w:pPr>
      <w:r>
        <w:rPr>
          <w:rFonts w:hint="eastAsia"/>
        </w:rPr>
        <w:t xml:space="preserve"> </w:t>
      </w:r>
      <w:r>
        <w:t xml:space="preserve"> </w:t>
      </w:r>
      <w:r>
        <w:rPr>
          <w:rFonts w:hint="eastAsia"/>
        </w:rPr>
        <w:t>试验方案布置图</w:t>
      </w:r>
    </w:p>
    <w:p>
      <w:pPr>
        <w:pStyle w:val="56"/>
        <w:ind w:firstLine="420"/>
      </w:pPr>
      <w:r>
        <w:rPr>
          <w:rFonts w:hint="eastAsia"/>
        </w:rPr>
        <w:t>本方案中，</w:t>
      </w:r>
      <w:r>
        <w:t>10/350</w:t>
      </w:r>
      <w:r>
        <w:rPr>
          <w:rFonts w:hint="eastAsia" w:ascii="MS Gothic" w:hAnsi="MS Gothic" w:eastAsia="MS Gothic" w:cs="MS Gothic"/>
        </w:rPr>
        <w:t>㎲</w:t>
      </w:r>
      <w:r>
        <w:rPr>
          <w:rFonts w:hint="eastAsia"/>
        </w:rPr>
        <w:t>冲击电流发生装置作为电流源，当冲击电流发生装置产生脉冲电流时，脉冲电流通过导流条进入放电探针，放电探针靠近待测试金属板样品，当放电探针尖端电场达到空气击穿电场时，放电探针向样品放电。</w:t>
      </w:r>
    </w:p>
    <w:p>
      <w:pPr>
        <w:pStyle w:val="56"/>
        <w:ind w:firstLine="420"/>
      </w:pPr>
      <w:r>
        <w:rPr>
          <w:rFonts w:hint="eastAsia"/>
        </w:rPr>
        <w:t>试验通过不同幅值脉冲电流，检验金属屋面耐受冲击电流的能力。试验中，为获得实际电流幅值，利用电流探头和示波器对放电电流进行采集；为观察试验过程，采用视频记录设备对放电探针作用点进行拍摄。</w:t>
      </w:r>
    </w:p>
    <w:p>
      <w:pPr>
        <w:pStyle w:val="56"/>
        <w:ind w:firstLine="420"/>
      </w:pPr>
      <w:r>
        <w:rPr>
          <w:rFonts w:hint="eastAsia"/>
        </w:rPr>
        <w:t>主要试验设备见表C</w:t>
      </w:r>
      <w:r>
        <w:t>.1</w:t>
      </w:r>
      <w:r>
        <w:rPr>
          <w:rFonts w:hint="eastAsia"/>
        </w:rPr>
        <w:t>。</w:t>
      </w:r>
    </w:p>
    <w:p>
      <w:pPr>
        <w:pStyle w:val="77"/>
        <w:spacing w:before="156" w:after="156"/>
      </w:pPr>
      <w:r>
        <w:rPr>
          <w:rFonts w:hint="eastAsia"/>
        </w:rPr>
        <w:t>主要试验设备</w:t>
      </w:r>
    </w:p>
    <w:tbl>
      <w:tblPr>
        <w:tblStyle w:val="26"/>
        <w:tblW w:w="797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728"/>
        <w:gridCol w:w="2126"/>
        <w:gridCol w:w="512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23" w:hRule="atLeast"/>
          <w:jc w:val="center"/>
        </w:trPr>
        <w:tc>
          <w:tcPr>
            <w:tcW w:w="728" w:type="dxa"/>
            <w:tcBorders>
              <w:top w:val="single" w:color="auto" w:sz="8" w:space="0"/>
              <w:bottom w:val="single" w:color="auto" w:sz="8" w:space="0"/>
            </w:tcBorders>
            <w:shd w:val="clear" w:color="auto" w:fill="auto"/>
            <w:vAlign w:val="center"/>
          </w:tcPr>
          <w:p>
            <w:pPr>
              <w:spacing w:line="240" w:lineRule="auto"/>
              <w:jc w:val="center"/>
              <w:rPr>
                <w:rFonts w:ascii="宋体" w:hAnsi="宋体"/>
                <w:kern w:val="0"/>
                <w:sz w:val="18"/>
                <w:szCs w:val="18"/>
              </w:rPr>
            </w:pPr>
            <w:r>
              <w:rPr>
                <w:rFonts w:hint="eastAsia" w:ascii="宋体" w:hAnsi="宋体"/>
                <w:kern w:val="0"/>
                <w:sz w:val="18"/>
                <w:szCs w:val="18"/>
              </w:rPr>
              <w:t>序号</w:t>
            </w:r>
          </w:p>
        </w:tc>
        <w:tc>
          <w:tcPr>
            <w:tcW w:w="2126" w:type="dxa"/>
            <w:tcBorders>
              <w:top w:val="single" w:color="auto" w:sz="8" w:space="0"/>
              <w:bottom w:val="single" w:color="auto" w:sz="8" w:space="0"/>
            </w:tcBorders>
            <w:shd w:val="clear" w:color="auto" w:fill="auto"/>
            <w:vAlign w:val="center"/>
          </w:tcPr>
          <w:p>
            <w:pPr>
              <w:spacing w:line="240" w:lineRule="auto"/>
              <w:jc w:val="center"/>
              <w:rPr>
                <w:rFonts w:ascii="宋体" w:hAnsi="宋体"/>
                <w:kern w:val="0"/>
                <w:sz w:val="18"/>
                <w:szCs w:val="18"/>
              </w:rPr>
            </w:pPr>
            <w:r>
              <w:rPr>
                <w:rFonts w:hint="eastAsia" w:ascii="宋体" w:hAnsi="宋体"/>
                <w:kern w:val="0"/>
                <w:sz w:val="18"/>
                <w:szCs w:val="18"/>
              </w:rPr>
              <w:t>设备名称</w:t>
            </w:r>
          </w:p>
        </w:tc>
        <w:tc>
          <w:tcPr>
            <w:tcW w:w="5120" w:type="dxa"/>
            <w:tcBorders>
              <w:top w:val="single" w:color="auto" w:sz="8" w:space="0"/>
              <w:bottom w:val="single" w:color="auto" w:sz="8" w:space="0"/>
            </w:tcBorders>
            <w:shd w:val="clear" w:color="auto" w:fill="auto"/>
            <w:vAlign w:val="center"/>
          </w:tcPr>
          <w:p>
            <w:pPr>
              <w:spacing w:line="240" w:lineRule="auto"/>
              <w:jc w:val="center"/>
              <w:rPr>
                <w:rFonts w:ascii="宋体" w:hAnsi="宋体"/>
                <w:kern w:val="0"/>
                <w:sz w:val="18"/>
                <w:szCs w:val="18"/>
              </w:rPr>
            </w:pPr>
            <w:r>
              <w:rPr>
                <w:rFonts w:hint="eastAsia" w:ascii="宋体" w:hAnsi="宋体"/>
                <w:kern w:val="0"/>
                <w:sz w:val="18"/>
                <w:szCs w:val="18"/>
              </w:rPr>
              <w:t>参数指标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45" w:hRule="atLeast"/>
          <w:jc w:val="center"/>
        </w:trPr>
        <w:tc>
          <w:tcPr>
            <w:tcW w:w="728" w:type="dxa"/>
            <w:tcBorders>
              <w:top w:val="single" w:color="auto" w:sz="8" w:space="0"/>
            </w:tcBorders>
            <w:shd w:val="clear" w:color="auto" w:fill="auto"/>
            <w:vAlign w:val="center"/>
          </w:tcPr>
          <w:p>
            <w:pPr>
              <w:spacing w:line="240" w:lineRule="auto"/>
              <w:rPr>
                <w:rFonts w:ascii="宋体" w:hAnsi="宋体"/>
                <w:kern w:val="0"/>
                <w:sz w:val="18"/>
                <w:szCs w:val="18"/>
              </w:rPr>
            </w:pPr>
            <w:r>
              <w:rPr>
                <w:rFonts w:hint="eastAsia" w:ascii="宋体" w:hAnsi="宋体"/>
                <w:kern w:val="0"/>
                <w:sz w:val="18"/>
                <w:szCs w:val="18"/>
              </w:rPr>
              <w:t>1</w:t>
            </w:r>
          </w:p>
        </w:tc>
        <w:tc>
          <w:tcPr>
            <w:tcW w:w="2126" w:type="dxa"/>
            <w:tcBorders>
              <w:top w:val="single" w:color="auto" w:sz="8" w:space="0"/>
            </w:tcBorders>
            <w:shd w:val="clear" w:color="auto" w:fill="auto"/>
            <w:vAlign w:val="center"/>
          </w:tcPr>
          <w:p>
            <w:pPr>
              <w:spacing w:line="240" w:lineRule="auto"/>
              <w:rPr>
                <w:rFonts w:ascii="宋体" w:hAnsi="宋体"/>
                <w:kern w:val="0"/>
                <w:sz w:val="18"/>
                <w:szCs w:val="18"/>
              </w:rPr>
            </w:pPr>
            <w:r>
              <w:rPr>
                <w:rFonts w:hint="eastAsia" w:ascii="宋体" w:hAnsi="宋体"/>
                <w:kern w:val="0"/>
                <w:sz w:val="18"/>
                <w:szCs w:val="18"/>
              </w:rPr>
              <w:t>冲击电流发生器</w:t>
            </w:r>
          </w:p>
        </w:tc>
        <w:tc>
          <w:tcPr>
            <w:tcW w:w="5120" w:type="dxa"/>
            <w:tcBorders>
              <w:top w:val="single" w:color="auto" w:sz="8" w:space="0"/>
            </w:tcBorders>
            <w:shd w:val="clear" w:color="auto" w:fill="auto"/>
            <w:vAlign w:val="center"/>
          </w:tcPr>
          <w:p>
            <w:pPr>
              <w:spacing w:line="240" w:lineRule="auto"/>
              <w:rPr>
                <w:rFonts w:ascii="宋体" w:hAnsi="宋体"/>
                <w:kern w:val="0"/>
                <w:sz w:val="18"/>
                <w:szCs w:val="18"/>
              </w:rPr>
            </w:pPr>
            <w:r>
              <w:rPr>
                <w:rFonts w:hint="eastAsia" w:ascii="宋体" w:hAnsi="宋体"/>
                <w:kern w:val="0"/>
                <w:sz w:val="18"/>
                <w:szCs w:val="18"/>
              </w:rPr>
              <w:t>输出波形符合GB</w:t>
            </w:r>
            <w:r>
              <w:rPr>
                <w:rFonts w:ascii="宋体" w:hAnsi="宋体"/>
                <w:kern w:val="0"/>
                <w:sz w:val="18"/>
                <w:szCs w:val="18"/>
              </w:rPr>
              <w:t xml:space="preserve"> </w:t>
            </w:r>
            <w:r>
              <w:rPr>
                <w:rFonts w:hint="eastAsia" w:ascii="宋体" w:hAnsi="宋体"/>
                <w:kern w:val="0"/>
                <w:sz w:val="18"/>
                <w:szCs w:val="18"/>
              </w:rPr>
              <w:t>18802</w:t>
            </w:r>
            <w:r>
              <w:rPr>
                <w:rFonts w:ascii="宋体" w:hAnsi="宋体"/>
                <w:kern w:val="0"/>
                <w:sz w:val="18"/>
                <w:szCs w:val="18"/>
              </w:rPr>
              <w:t>.1-2011</w:t>
            </w:r>
            <w:r>
              <w:rPr>
                <w:rFonts w:hint="eastAsia" w:ascii="宋体" w:hAnsi="宋体"/>
                <w:kern w:val="0"/>
                <w:sz w:val="18"/>
                <w:szCs w:val="18"/>
              </w:rPr>
              <w:t>规定的10/350</w:t>
            </w:r>
            <w:r>
              <w:rPr>
                <w:rFonts w:eastAsia="Malgun Gothic"/>
                <w:sz w:val="18"/>
                <w:szCs w:val="18"/>
              </w:rPr>
              <w:t>㎲</w:t>
            </w:r>
            <w:r>
              <w:rPr>
                <w:rFonts w:hint="eastAsia" w:ascii="宋体" w:hAnsi="宋体"/>
                <w:kern w:val="0"/>
                <w:sz w:val="18"/>
                <w:szCs w:val="18"/>
              </w:rPr>
              <w:t>雷电流波形要求；10/350</w:t>
            </w:r>
            <w:bookmarkStart w:id="92" w:name="_Hlk109638866"/>
            <w:r>
              <w:rPr>
                <w:rFonts w:hint="eastAsia" w:ascii="MS Mincho" w:hAnsi="MS Mincho" w:eastAsia="MS Mincho" w:cs="MS Mincho"/>
                <w:sz w:val="18"/>
                <w:szCs w:val="18"/>
              </w:rPr>
              <w:t>㎲</w:t>
            </w:r>
            <w:bookmarkEnd w:id="92"/>
            <w:r>
              <w:rPr>
                <w:rFonts w:hint="eastAsia" w:ascii="宋体" w:hAnsi="宋体" w:cs="MS Gothic"/>
                <w:sz w:val="18"/>
                <w:szCs w:val="18"/>
              </w:rPr>
              <w:t>波形空载</w:t>
            </w:r>
            <w:r>
              <w:rPr>
                <w:rFonts w:hint="eastAsia" w:ascii="宋体" w:hAnsi="宋体"/>
                <w:kern w:val="0"/>
                <w:sz w:val="18"/>
                <w:szCs w:val="18"/>
              </w:rPr>
              <w:t>放电电流不小于5</w:t>
            </w:r>
            <w:r>
              <w:rPr>
                <w:rFonts w:ascii="宋体" w:hAnsi="宋体"/>
                <w:kern w:val="0"/>
                <w:sz w:val="18"/>
                <w:szCs w:val="18"/>
              </w:rPr>
              <w:t>0</w:t>
            </w:r>
            <w:r>
              <w:rPr>
                <w:rFonts w:hint="eastAsia" w:ascii="宋体" w:hAnsi="宋体"/>
                <w:kern w:val="0"/>
                <w:sz w:val="18"/>
                <w:szCs w:val="18"/>
              </w:rPr>
              <w:t>kA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88" w:hRule="atLeast"/>
          <w:jc w:val="center"/>
        </w:trPr>
        <w:tc>
          <w:tcPr>
            <w:tcW w:w="728" w:type="dxa"/>
            <w:shd w:val="clear" w:color="auto" w:fill="auto"/>
            <w:vAlign w:val="center"/>
          </w:tcPr>
          <w:p>
            <w:pPr>
              <w:spacing w:line="240" w:lineRule="auto"/>
              <w:rPr>
                <w:rFonts w:ascii="宋体" w:hAnsi="宋体"/>
                <w:kern w:val="0"/>
                <w:sz w:val="18"/>
                <w:szCs w:val="18"/>
              </w:rPr>
            </w:pPr>
            <w:r>
              <w:rPr>
                <w:rFonts w:hint="eastAsia" w:ascii="宋体" w:hAnsi="宋体"/>
                <w:kern w:val="0"/>
                <w:sz w:val="18"/>
                <w:szCs w:val="18"/>
              </w:rPr>
              <w:t>2</w:t>
            </w:r>
          </w:p>
        </w:tc>
        <w:tc>
          <w:tcPr>
            <w:tcW w:w="2126" w:type="dxa"/>
            <w:shd w:val="clear" w:color="auto" w:fill="auto"/>
            <w:vAlign w:val="center"/>
          </w:tcPr>
          <w:p>
            <w:pPr>
              <w:spacing w:line="240" w:lineRule="auto"/>
              <w:rPr>
                <w:rFonts w:ascii="宋体" w:hAnsi="宋体"/>
                <w:kern w:val="0"/>
                <w:sz w:val="18"/>
                <w:szCs w:val="18"/>
              </w:rPr>
            </w:pPr>
            <w:r>
              <w:rPr>
                <w:rFonts w:hint="eastAsia" w:ascii="宋体" w:hAnsi="宋体"/>
                <w:kern w:val="0"/>
                <w:sz w:val="18"/>
                <w:szCs w:val="18"/>
              </w:rPr>
              <w:t>数显卡尺</w:t>
            </w:r>
          </w:p>
        </w:tc>
        <w:tc>
          <w:tcPr>
            <w:tcW w:w="5120" w:type="dxa"/>
            <w:shd w:val="clear" w:color="auto" w:fill="auto"/>
            <w:vAlign w:val="center"/>
          </w:tcPr>
          <w:p>
            <w:pPr>
              <w:spacing w:line="240" w:lineRule="auto"/>
              <w:rPr>
                <w:rFonts w:ascii="宋体" w:hAnsi="宋体"/>
                <w:kern w:val="0"/>
                <w:sz w:val="18"/>
                <w:szCs w:val="18"/>
              </w:rPr>
            </w:pPr>
            <w:r>
              <w:rPr>
                <w:rFonts w:hint="eastAsia" w:ascii="宋体" w:hAnsi="宋体"/>
                <w:kern w:val="0"/>
                <w:sz w:val="18"/>
                <w:szCs w:val="18"/>
              </w:rPr>
              <w:t>（0-150）m</w:t>
            </w:r>
            <w:r>
              <w:rPr>
                <w:rFonts w:ascii="宋体" w:hAnsi="宋体"/>
                <w:kern w:val="0"/>
                <w:sz w:val="18"/>
                <w:szCs w:val="18"/>
              </w:rPr>
              <w:t>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88" w:hRule="atLeast"/>
          <w:jc w:val="center"/>
        </w:trPr>
        <w:tc>
          <w:tcPr>
            <w:tcW w:w="728" w:type="dxa"/>
            <w:tcBorders>
              <w:bottom w:val="single" w:color="auto" w:sz="8" w:space="0"/>
            </w:tcBorders>
            <w:shd w:val="clear" w:color="auto" w:fill="auto"/>
            <w:vAlign w:val="center"/>
          </w:tcPr>
          <w:p>
            <w:pPr>
              <w:spacing w:line="240" w:lineRule="auto"/>
              <w:rPr>
                <w:rFonts w:ascii="宋体" w:hAnsi="宋体"/>
                <w:kern w:val="0"/>
                <w:sz w:val="18"/>
                <w:szCs w:val="18"/>
              </w:rPr>
            </w:pPr>
            <w:r>
              <w:rPr>
                <w:rFonts w:hint="eastAsia" w:ascii="宋体" w:hAnsi="宋体"/>
                <w:kern w:val="0"/>
                <w:sz w:val="18"/>
                <w:szCs w:val="18"/>
              </w:rPr>
              <w:t>3</w:t>
            </w:r>
          </w:p>
        </w:tc>
        <w:tc>
          <w:tcPr>
            <w:tcW w:w="2126" w:type="dxa"/>
            <w:tcBorders>
              <w:bottom w:val="single" w:color="auto" w:sz="8" w:space="0"/>
            </w:tcBorders>
            <w:shd w:val="clear" w:color="auto" w:fill="auto"/>
            <w:vAlign w:val="center"/>
          </w:tcPr>
          <w:p>
            <w:pPr>
              <w:spacing w:line="240" w:lineRule="auto"/>
              <w:rPr>
                <w:rFonts w:ascii="宋体" w:hAnsi="宋体"/>
                <w:kern w:val="0"/>
                <w:sz w:val="18"/>
                <w:szCs w:val="18"/>
              </w:rPr>
            </w:pPr>
            <w:r>
              <w:rPr>
                <w:rFonts w:hint="eastAsia" w:ascii="宋体" w:hAnsi="宋体"/>
                <w:kern w:val="0"/>
                <w:sz w:val="18"/>
                <w:szCs w:val="18"/>
              </w:rPr>
              <w:t>数字示波器</w:t>
            </w:r>
          </w:p>
        </w:tc>
        <w:tc>
          <w:tcPr>
            <w:tcW w:w="5120" w:type="dxa"/>
            <w:tcBorders>
              <w:bottom w:val="single" w:color="auto" w:sz="8" w:space="0"/>
            </w:tcBorders>
            <w:shd w:val="clear" w:color="auto" w:fill="auto"/>
            <w:vAlign w:val="center"/>
          </w:tcPr>
          <w:p>
            <w:pPr>
              <w:spacing w:line="240" w:lineRule="auto"/>
              <w:rPr>
                <w:rFonts w:ascii="宋体" w:hAnsi="宋体"/>
                <w:kern w:val="0"/>
                <w:sz w:val="18"/>
                <w:szCs w:val="18"/>
              </w:rPr>
            </w:pPr>
            <w:r>
              <w:rPr>
                <w:rFonts w:hint="eastAsia" w:ascii="宋体" w:hAnsi="宋体"/>
                <w:kern w:val="0"/>
                <w:sz w:val="18"/>
                <w:szCs w:val="18"/>
              </w:rPr>
              <w:t>带宽不小于1</w:t>
            </w:r>
            <w:r>
              <w:rPr>
                <w:rFonts w:ascii="宋体" w:hAnsi="宋体"/>
                <w:kern w:val="0"/>
                <w:sz w:val="18"/>
                <w:szCs w:val="18"/>
              </w:rPr>
              <w:t>00MH</w:t>
            </w:r>
            <w:r>
              <w:rPr>
                <w:rFonts w:hint="eastAsia" w:ascii="宋体" w:hAnsi="宋体"/>
                <w:kern w:val="0"/>
                <w:sz w:val="18"/>
                <w:szCs w:val="18"/>
              </w:rPr>
              <w:t>z；垂直灵敏度不小于2</w:t>
            </w:r>
            <w:r>
              <w:rPr>
                <w:rFonts w:ascii="宋体" w:hAnsi="宋体"/>
                <w:kern w:val="0"/>
                <w:sz w:val="18"/>
                <w:szCs w:val="18"/>
              </w:rPr>
              <w:t>mV-5V/div</w:t>
            </w:r>
          </w:p>
        </w:tc>
      </w:tr>
    </w:tbl>
    <w:p>
      <w:pPr>
        <w:pStyle w:val="56"/>
        <w:ind w:firstLine="420"/>
        <w:sectPr>
          <w:pgSz w:w="11906" w:h="16838"/>
          <w:pgMar w:top="1928" w:right="1134" w:bottom="1134" w:left="1134" w:header="1418" w:footer="1134" w:gutter="284"/>
          <w:cols w:space="425" w:num="1"/>
          <w:formProt w:val="0"/>
          <w:docGrid w:type="lines" w:linePitch="312" w:charSpace="0"/>
        </w:sectPr>
      </w:pPr>
    </w:p>
    <w:p>
      <w:pPr>
        <w:pStyle w:val="198"/>
      </w:pPr>
    </w:p>
    <w:p>
      <w:pPr>
        <w:pStyle w:val="199"/>
      </w:pPr>
    </w:p>
    <w:p>
      <w:pPr>
        <w:pStyle w:val="76"/>
        <w:spacing w:after="156"/>
      </w:pPr>
      <w:r>
        <w:br w:type="textWrapping"/>
      </w:r>
      <w:bookmarkStart w:id="93" w:name="_Toc151734929"/>
      <w:r>
        <w:rPr>
          <w:rFonts w:hint="eastAsia"/>
        </w:rPr>
        <w:t>（资料性）</w:t>
      </w:r>
      <w:r>
        <w:br w:type="textWrapping"/>
      </w:r>
      <w:r>
        <w:rPr>
          <w:rFonts w:hint="eastAsia"/>
        </w:rPr>
        <w:t>接地系统布置样图</w:t>
      </w:r>
      <w:bookmarkEnd w:id="93"/>
    </w:p>
    <w:p>
      <w:pPr>
        <w:pStyle w:val="56"/>
        <w:ind w:firstLine="420"/>
      </w:pPr>
      <w:r>
        <w:rPr>
          <w:rFonts w:hint="eastAsia"/>
        </w:rPr>
        <w:t>采用金属屋面和金属框架结构作为接闪器和引下线时，就近接地系统可参照图D.1布置。</w:t>
      </w:r>
    </w:p>
    <w:p>
      <w:pPr>
        <w:pStyle w:val="56"/>
        <w:ind w:firstLine="420"/>
      </w:pPr>
      <w:r>
        <w:rPr>
          <w:rFonts w:hint="eastAsia"/>
        </w:rPr>
        <w:t>专门设置接闪器和引下线时，外引接地系统可参照图D.2布置。</w:t>
      </w:r>
    </w:p>
    <w:p>
      <w:pPr>
        <w:pStyle w:val="56"/>
        <w:ind w:firstLine="420"/>
        <w:jc w:val="center"/>
      </w:pPr>
    </w:p>
    <w:p>
      <w:pPr>
        <w:pStyle w:val="56"/>
        <w:ind w:firstLine="420"/>
        <w:jc w:val="center"/>
      </w:pPr>
    </w:p>
    <w:p>
      <w:pPr>
        <w:pStyle w:val="56"/>
        <w:ind w:firstLine="420"/>
        <w:jc w:val="center"/>
      </w:pPr>
      <w:r>
        <w:drawing>
          <wp:inline distT="0" distB="0" distL="0" distR="0">
            <wp:extent cx="3361690" cy="6162040"/>
            <wp:effectExtent l="0" t="0" r="0" b="7620"/>
            <wp:docPr id="195481852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4818523" name="图片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a:xfrm>
                      <a:off x="0" y="0"/>
                      <a:ext cx="3361690" cy="6162040"/>
                    </a:xfrm>
                    <a:prstGeom prst="rect">
                      <a:avLst/>
                    </a:prstGeom>
                    <a:noFill/>
                  </pic:spPr>
                </pic:pic>
              </a:graphicData>
            </a:graphic>
          </wp:inline>
        </w:drawing>
      </w:r>
    </w:p>
    <w:p>
      <w:pPr>
        <w:pStyle w:val="83"/>
        <w:spacing w:before="156" w:after="156"/>
      </w:pPr>
      <w:r>
        <w:rPr>
          <w:rFonts w:hint="eastAsia"/>
        </w:rPr>
        <w:t xml:space="preserve"> </w:t>
      </w:r>
      <w:r>
        <w:t xml:space="preserve"> </w:t>
      </w:r>
      <w:r>
        <w:rPr>
          <w:rFonts w:hint="eastAsia"/>
        </w:rPr>
        <w:t>就近接地系统样图</w:t>
      </w:r>
    </w:p>
    <w:p>
      <w:pPr>
        <w:pStyle w:val="56"/>
        <w:ind w:firstLine="420"/>
      </w:pPr>
    </w:p>
    <w:p>
      <w:pPr>
        <w:pStyle w:val="56"/>
        <w:ind w:firstLine="420"/>
        <w:jc w:val="center"/>
      </w:pPr>
      <w:r>
        <w:drawing>
          <wp:inline distT="0" distB="0" distL="0" distR="0">
            <wp:extent cx="3533140" cy="5914390"/>
            <wp:effectExtent l="0" t="0" r="0" b="0"/>
            <wp:docPr id="579789960"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789960" name="图片 1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a:xfrm>
                      <a:off x="0" y="0"/>
                      <a:ext cx="3533140" cy="5914390"/>
                    </a:xfrm>
                    <a:prstGeom prst="rect">
                      <a:avLst/>
                    </a:prstGeom>
                    <a:noFill/>
                  </pic:spPr>
                </pic:pic>
              </a:graphicData>
            </a:graphic>
          </wp:inline>
        </w:drawing>
      </w:r>
    </w:p>
    <w:p>
      <w:pPr>
        <w:pStyle w:val="83"/>
        <w:spacing w:before="156" w:after="156"/>
      </w:pPr>
      <w:r>
        <w:t xml:space="preserve">  </w:t>
      </w:r>
      <w:r>
        <w:rPr>
          <w:rFonts w:hint="eastAsia"/>
        </w:rPr>
        <w:t>外引接地系统样图</w:t>
      </w:r>
    </w:p>
    <w:p>
      <w:pPr>
        <w:pStyle w:val="56"/>
        <w:ind w:firstLine="0" w:firstLineChars="0"/>
        <w:jc w:val="center"/>
      </w:pPr>
    </w:p>
    <w:bookmarkEnd w:id="87"/>
    <w:p>
      <w:pPr>
        <w:pStyle w:val="56"/>
        <w:ind w:firstLine="0" w:firstLineChars="0"/>
        <w:jc w:val="center"/>
        <w:sectPr>
          <w:pgSz w:w="11906" w:h="16838"/>
          <w:pgMar w:top="1928" w:right="1134" w:bottom="1134" w:left="1134" w:header="1418" w:footer="1134" w:gutter="284"/>
          <w:cols w:space="425" w:num="1"/>
          <w:formProt w:val="0"/>
          <w:docGrid w:type="lines" w:linePitch="312" w:charSpace="0"/>
        </w:sectPr>
      </w:pPr>
      <w:bookmarkStart w:id="94" w:name="BookMark6"/>
    </w:p>
    <w:p>
      <w:pPr>
        <w:pStyle w:val="63"/>
        <w:spacing w:after="156"/>
      </w:pPr>
      <w:bookmarkStart w:id="95" w:name="_Toc151734930"/>
      <w:r>
        <w:rPr>
          <w:rFonts w:hint="eastAsia"/>
          <w:spacing w:val="105"/>
        </w:rPr>
        <w:t>参考文</w:t>
      </w:r>
      <w:r>
        <w:rPr>
          <w:rFonts w:hint="eastAsia"/>
        </w:rPr>
        <w:t>献</w:t>
      </w:r>
      <w:bookmarkEnd w:id="95"/>
    </w:p>
    <w:p>
      <w:pPr>
        <w:pStyle w:val="56"/>
        <w:ind w:firstLine="420"/>
      </w:pPr>
      <w:r>
        <w:rPr>
          <w:rFonts w:hint="eastAsia"/>
        </w:rPr>
        <w:t>[1] GB/T 11032—2020 交流无间隙金属氧化物避雷器</w:t>
      </w:r>
    </w:p>
    <w:p>
      <w:pPr>
        <w:pStyle w:val="56"/>
        <w:ind w:left="420" w:leftChars="200" w:firstLine="0" w:firstLineChars="0"/>
      </w:pPr>
      <w:r>
        <w:rPr>
          <w:rFonts w:hint="eastAsia"/>
        </w:rPr>
        <w:t>[2] GB/T 17949</w:t>
      </w:r>
      <w:r>
        <w:t>.1</w:t>
      </w:r>
      <w:r>
        <w:rPr>
          <w:rFonts w:hint="eastAsia"/>
        </w:rPr>
        <w:t>—2000 接地系统的土壤电阻率、接地阻抗和地面电位测量导则 第1部分 常规测量</w:t>
      </w:r>
    </w:p>
    <w:p>
      <w:pPr>
        <w:pStyle w:val="56"/>
        <w:ind w:left="420" w:leftChars="200" w:firstLine="0" w:firstLineChars="0"/>
      </w:pPr>
      <w:r>
        <w:rPr>
          <w:rFonts w:hint="eastAsia"/>
        </w:rPr>
        <w:t>[3] GB 18802.1—2011 低压电涌保护器（SPD）第1部分：低压配电系统的电涌保护器性能要求和试验方法</w:t>
      </w:r>
    </w:p>
    <w:p>
      <w:pPr>
        <w:pStyle w:val="56"/>
        <w:ind w:firstLine="420"/>
      </w:pPr>
      <w:r>
        <w:rPr>
          <w:rFonts w:hint="eastAsia"/>
        </w:rPr>
        <w:t>[4] GB/T 19663—2022 信息系统雷电防护术语</w:t>
      </w:r>
    </w:p>
    <w:p>
      <w:pPr>
        <w:pStyle w:val="56"/>
        <w:ind w:firstLine="420"/>
      </w:pPr>
      <w:r>
        <w:rPr>
          <w:rFonts w:hint="eastAsia"/>
        </w:rPr>
        <w:t>[5] GB 50057—2010 建筑物防雷设计规范</w:t>
      </w:r>
    </w:p>
    <w:p>
      <w:pPr>
        <w:pStyle w:val="56"/>
        <w:ind w:firstLine="420"/>
      </w:pPr>
      <w:r>
        <w:rPr>
          <w:rFonts w:hint="eastAsia"/>
        </w:rPr>
        <w:t>[6] GB 50059—2011 35kV-110kV变电站设计规范</w:t>
      </w:r>
    </w:p>
    <w:p>
      <w:pPr>
        <w:pStyle w:val="56"/>
        <w:ind w:firstLine="420"/>
      </w:pPr>
      <w:r>
        <w:rPr>
          <w:rFonts w:hint="eastAsia"/>
        </w:rPr>
        <w:t>[7] GB 50217—2016 电力工程电缆设计规范</w:t>
      </w:r>
    </w:p>
    <w:p>
      <w:pPr>
        <w:pStyle w:val="56"/>
        <w:ind w:firstLine="420"/>
      </w:pPr>
      <w:r>
        <w:rPr>
          <w:rFonts w:hint="eastAsia"/>
        </w:rPr>
        <w:t>[8] GB 50601—2010 建筑物防雷工程施工与质量验收规范</w:t>
      </w:r>
    </w:p>
    <w:p>
      <w:pPr>
        <w:pStyle w:val="56"/>
        <w:ind w:firstLine="420"/>
      </w:pPr>
      <w:r>
        <w:rPr>
          <w:rFonts w:hint="eastAsia"/>
        </w:rPr>
        <w:t>[</w:t>
      </w:r>
      <w:r>
        <w:t>9</w:t>
      </w:r>
      <w:r>
        <w:rPr>
          <w:rFonts w:hint="eastAsia"/>
        </w:rPr>
        <w:t>] T/JPALPDM 0001—2022 110kV金属结构变电站雷电防护设计规范</w:t>
      </w:r>
    </w:p>
    <w:p>
      <w:pPr>
        <w:pStyle w:val="56"/>
        <w:ind w:firstLine="420"/>
      </w:pPr>
    </w:p>
    <w:p>
      <w:pPr>
        <w:pStyle w:val="56"/>
        <w:ind w:firstLine="0" w:firstLineChars="0"/>
        <w:jc w:val="center"/>
      </w:pPr>
    </w:p>
    <w:bookmarkEnd w:id="94"/>
    <w:p>
      <w:pPr>
        <w:pStyle w:val="56"/>
        <w:ind w:firstLine="0" w:firstLineChars="0"/>
        <w:jc w:val="center"/>
      </w:pPr>
      <w:bookmarkStart w:id="96" w:name="BookMark8"/>
      <w:r>
        <w:drawing>
          <wp:inline distT="0" distB="0" distL="0" distR="0">
            <wp:extent cx="1485900" cy="317500"/>
            <wp:effectExtent l="0" t="0" r="0" b="6350"/>
            <wp:docPr id="1867100700" name="图片 2"/>
            <wp:cNvGraphicFramePr/>
            <a:graphic xmlns:a="http://schemas.openxmlformats.org/drawingml/2006/main">
              <a:graphicData uri="http://schemas.openxmlformats.org/drawingml/2006/picture">
                <pic:pic xmlns:pic="http://schemas.openxmlformats.org/drawingml/2006/picture">
                  <pic:nvPicPr>
                    <pic:cNvPr id="1867100700" name="图片 2"/>
                    <pic:cNvPicPr/>
                  </pic:nvPicPr>
                  <pic:blipFill>
                    <a:blip r:embed="rId2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6"/>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MS Gothic">
    <w:panose1 w:val="020B0609070205080204"/>
    <w:charset w:val="80"/>
    <w:family w:val="modern"/>
    <w:pitch w:val="default"/>
    <w:sig w:usb0="E00002FF" w:usb1="6AC7FDFB" w:usb2="08000012" w:usb3="00000000" w:csb0="4002009F" w:csb1="DFD7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Malgun Gothic">
    <w:panose1 w:val="020B0503020000020004"/>
    <w:charset w:val="81"/>
    <w:family w:val="swiss"/>
    <w:pitch w:val="default"/>
    <w:sig w:usb0="9000002F" w:usb1="29D77CFB" w:usb2="00000012" w:usb3="00000000" w:csb0="00080001" w:csb1="00000000"/>
  </w:font>
  <w:font w:name="MS Mincho">
    <w:altName w:val="MS Gothic"/>
    <w:panose1 w:val="02020609040205080304"/>
    <w:charset w:val="80"/>
    <w:family w:val="roman"/>
    <w:pitch w:val="default"/>
    <w:sig w:usb0="00000000" w:usb1="0000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III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32/T XXXX—2023</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32/T XXXX—2023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32C0B48"/>
    <w:multiLevelType w:val="multilevel"/>
    <w:tmpl w:val="532C0B48"/>
    <w:lvl w:ilvl="0" w:tentative="0">
      <w:start w:val="1"/>
      <w:numFmt w:val="lowerLetter"/>
      <w:lvlText w:val="%1)"/>
      <w:lvlJc w:val="left"/>
      <w:pPr>
        <w:ind w:left="845" w:hanging="420"/>
      </w:p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17">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6521"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993"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3"/>
  </w:num>
  <w:num w:numId="7">
    <w:abstractNumId w:val="8"/>
  </w:num>
  <w:num w:numId="8">
    <w:abstractNumId w:val="3"/>
  </w:num>
  <w:num w:numId="9">
    <w:abstractNumId w:val="9"/>
  </w:num>
  <w:num w:numId="10">
    <w:abstractNumId w:val="17"/>
  </w:num>
  <w:num w:numId="11">
    <w:abstractNumId w:val="26"/>
  </w:num>
  <w:num w:numId="12">
    <w:abstractNumId w:val="11"/>
  </w:num>
  <w:num w:numId="13">
    <w:abstractNumId w:val="12"/>
  </w:num>
  <w:num w:numId="14">
    <w:abstractNumId w:val="7"/>
  </w:num>
  <w:num w:numId="15">
    <w:abstractNumId w:val="20"/>
  </w:num>
  <w:num w:numId="16">
    <w:abstractNumId w:val="22"/>
  </w:num>
  <w:num w:numId="17">
    <w:abstractNumId w:val="18"/>
  </w:num>
  <w:num w:numId="18">
    <w:abstractNumId w:val="30"/>
  </w:num>
  <w:num w:numId="19">
    <w:abstractNumId w:val="15"/>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4"/>
  </w:num>
  <w:num w:numId="30">
    <w:abstractNumId w:val="25"/>
  </w:num>
  <w:num w:numId="31">
    <w:abstractNumId w:val="23"/>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bordersDoNotSurroundHeader w:val="1"/>
  <w:bordersDoNotSurroundFooter w:val="1"/>
  <w:attachedTemplate r:id="rId1"/>
  <w:documentProtection w:edit="forms" w:enforcement="1" w:cryptProviderType="rsaAES" w:cryptAlgorithmClass="hash" w:cryptAlgorithmType="typeAny" w:cryptAlgorithmSid="14" w:cryptSpinCount="100000" w:hash="rXY/r/nEp926uZcBZXyV0HXa6AbArsbyF8LOajt40fyrZeMxDpjDptnGiRxh1XLSfSg7EnCfNl5ejPi57Fn2CQ==" w:salt="To1Q8LXUYA2/k7GRr2Wphw=="/>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3MjEzZWYxZmE0Y2JmODdhY2E3ZWU1MTRkNmUyMDUifQ=="/>
  </w:docVars>
  <w:rsids>
    <w:rsidRoot w:val="00F45D8C"/>
    <w:rsid w:val="0000040A"/>
    <w:rsid w:val="00000A94"/>
    <w:rsid w:val="00001972"/>
    <w:rsid w:val="00001D9A"/>
    <w:rsid w:val="00007B3A"/>
    <w:rsid w:val="000107E0"/>
    <w:rsid w:val="00011FDE"/>
    <w:rsid w:val="0001294A"/>
    <w:rsid w:val="00012FFD"/>
    <w:rsid w:val="00014162"/>
    <w:rsid w:val="00014340"/>
    <w:rsid w:val="00016A9C"/>
    <w:rsid w:val="00020B74"/>
    <w:rsid w:val="00022184"/>
    <w:rsid w:val="00022762"/>
    <w:rsid w:val="000238E0"/>
    <w:rsid w:val="00023F97"/>
    <w:rsid w:val="000249DB"/>
    <w:rsid w:val="0002595E"/>
    <w:rsid w:val="000303C3"/>
    <w:rsid w:val="000331D3"/>
    <w:rsid w:val="000346A5"/>
    <w:rsid w:val="000359C3"/>
    <w:rsid w:val="00035A7D"/>
    <w:rsid w:val="000365ED"/>
    <w:rsid w:val="0004249A"/>
    <w:rsid w:val="00043282"/>
    <w:rsid w:val="00043DDA"/>
    <w:rsid w:val="00044286"/>
    <w:rsid w:val="00047F28"/>
    <w:rsid w:val="000503AA"/>
    <w:rsid w:val="000506A1"/>
    <w:rsid w:val="000515DD"/>
    <w:rsid w:val="0005265A"/>
    <w:rsid w:val="000539DD"/>
    <w:rsid w:val="00053BD3"/>
    <w:rsid w:val="0005522C"/>
    <w:rsid w:val="000556ED"/>
    <w:rsid w:val="00055FE2"/>
    <w:rsid w:val="0005616F"/>
    <w:rsid w:val="00060C2E"/>
    <w:rsid w:val="00061033"/>
    <w:rsid w:val="000619E9"/>
    <w:rsid w:val="000622D4"/>
    <w:rsid w:val="0006357D"/>
    <w:rsid w:val="00067F1E"/>
    <w:rsid w:val="00071CC0"/>
    <w:rsid w:val="00073C8C"/>
    <w:rsid w:val="00077B64"/>
    <w:rsid w:val="00080A1C"/>
    <w:rsid w:val="0008115B"/>
    <w:rsid w:val="00082317"/>
    <w:rsid w:val="00083D2C"/>
    <w:rsid w:val="00084276"/>
    <w:rsid w:val="00086AA1"/>
    <w:rsid w:val="00087072"/>
    <w:rsid w:val="00087A77"/>
    <w:rsid w:val="00090CA6"/>
    <w:rsid w:val="00092B8A"/>
    <w:rsid w:val="00092FB0"/>
    <w:rsid w:val="000934C5"/>
    <w:rsid w:val="00093D25"/>
    <w:rsid w:val="00093DAB"/>
    <w:rsid w:val="00093DBD"/>
    <w:rsid w:val="00094429"/>
    <w:rsid w:val="00094D73"/>
    <w:rsid w:val="00095B3D"/>
    <w:rsid w:val="00096D63"/>
    <w:rsid w:val="000A0574"/>
    <w:rsid w:val="000A0B60"/>
    <w:rsid w:val="000A0EB8"/>
    <w:rsid w:val="000A19FC"/>
    <w:rsid w:val="000A296B"/>
    <w:rsid w:val="000A7311"/>
    <w:rsid w:val="000B060F"/>
    <w:rsid w:val="000B1592"/>
    <w:rsid w:val="000B1FF2"/>
    <w:rsid w:val="000B2121"/>
    <w:rsid w:val="000B3227"/>
    <w:rsid w:val="000B3CDA"/>
    <w:rsid w:val="000B5CD9"/>
    <w:rsid w:val="000B6A0B"/>
    <w:rsid w:val="000C0434"/>
    <w:rsid w:val="000C0F6C"/>
    <w:rsid w:val="000C11DB"/>
    <w:rsid w:val="000C1492"/>
    <w:rsid w:val="000C2FBD"/>
    <w:rsid w:val="000C4ADB"/>
    <w:rsid w:val="000C4B41"/>
    <w:rsid w:val="000C57D6"/>
    <w:rsid w:val="000C6362"/>
    <w:rsid w:val="000C7666"/>
    <w:rsid w:val="000D087F"/>
    <w:rsid w:val="000D0A9C"/>
    <w:rsid w:val="000D1795"/>
    <w:rsid w:val="000D329A"/>
    <w:rsid w:val="000D4B9C"/>
    <w:rsid w:val="000D4EB6"/>
    <w:rsid w:val="000D753B"/>
    <w:rsid w:val="000E1FA1"/>
    <w:rsid w:val="000E4C9E"/>
    <w:rsid w:val="000E6FD7"/>
    <w:rsid w:val="000F06E1"/>
    <w:rsid w:val="000F0E3C"/>
    <w:rsid w:val="000F19D5"/>
    <w:rsid w:val="000F4AEA"/>
    <w:rsid w:val="000F633F"/>
    <w:rsid w:val="000F67E9"/>
    <w:rsid w:val="000F7C2B"/>
    <w:rsid w:val="00100A91"/>
    <w:rsid w:val="00101F39"/>
    <w:rsid w:val="00104926"/>
    <w:rsid w:val="00107846"/>
    <w:rsid w:val="00111984"/>
    <w:rsid w:val="00113B1E"/>
    <w:rsid w:val="0011711C"/>
    <w:rsid w:val="0012059C"/>
    <w:rsid w:val="00124E4F"/>
    <w:rsid w:val="001260B7"/>
    <w:rsid w:val="00126449"/>
    <w:rsid w:val="001265CB"/>
    <w:rsid w:val="001321C6"/>
    <w:rsid w:val="001325C4"/>
    <w:rsid w:val="00133010"/>
    <w:rsid w:val="001338EE"/>
    <w:rsid w:val="00133AAE"/>
    <w:rsid w:val="00134710"/>
    <w:rsid w:val="00135323"/>
    <w:rsid w:val="001356C4"/>
    <w:rsid w:val="00141114"/>
    <w:rsid w:val="00142969"/>
    <w:rsid w:val="001446C2"/>
    <w:rsid w:val="001457E7"/>
    <w:rsid w:val="00145D9D"/>
    <w:rsid w:val="00146388"/>
    <w:rsid w:val="001529E5"/>
    <w:rsid w:val="00153857"/>
    <w:rsid w:val="00153C7E"/>
    <w:rsid w:val="0015491C"/>
    <w:rsid w:val="00156B25"/>
    <w:rsid w:val="00156E1A"/>
    <w:rsid w:val="0015726D"/>
    <w:rsid w:val="00157894"/>
    <w:rsid w:val="00157B55"/>
    <w:rsid w:val="0016102C"/>
    <w:rsid w:val="00161DFF"/>
    <w:rsid w:val="001642FA"/>
    <w:rsid w:val="001649EB"/>
    <w:rsid w:val="00164BAF"/>
    <w:rsid w:val="00164FA8"/>
    <w:rsid w:val="00165065"/>
    <w:rsid w:val="00165434"/>
    <w:rsid w:val="0016580B"/>
    <w:rsid w:val="00165CFC"/>
    <w:rsid w:val="00165F49"/>
    <w:rsid w:val="00166B88"/>
    <w:rsid w:val="0016770A"/>
    <w:rsid w:val="00170804"/>
    <w:rsid w:val="001708E9"/>
    <w:rsid w:val="00172086"/>
    <w:rsid w:val="0017340B"/>
    <w:rsid w:val="00173FB1"/>
    <w:rsid w:val="00176DFD"/>
    <w:rsid w:val="00180B85"/>
    <w:rsid w:val="001852C9"/>
    <w:rsid w:val="001877B0"/>
    <w:rsid w:val="00190087"/>
    <w:rsid w:val="001913C4"/>
    <w:rsid w:val="00192E80"/>
    <w:rsid w:val="0019348F"/>
    <w:rsid w:val="00193A07"/>
    <w:rsid w:val="00194C95"/>
    <w:rsid w:val="00195C34"/>
    <w:rsid w:val="00196EF5"/>
    <w:rsid w:val="001A1A53"/>
    <w:rsid w:val="001A234A"/>
    <w:rsid w:val="001A2B79"/>
    <w:rsid w:val="001A4CF3"/>
    <w:rsid w:val="001B06E8"/>
    <w:rsid w:val="001B2751"/>
    <w:rsid w:val="001B71D0"/>
    <w:rsid w:val="001B71EE"/>
    <w:rsid w:val="001C04A8"/>
    <w:rsid w:val="001C2C03"/>
    <w:rsid w:val="001C42F7"/>
    <w:rsid w:val="001C49E5"/>
    <w:rsid w:val="001C680C"/>
    <w:rsid w:val="001C7FEA"/>
    <w:rsid w:val="001D0499"/>
    <w:rsid w:val="001D0BBE"/>
    <w:rsid w:val="001D0ED4"/>
    <w:rsid w:val="001D12F6"/>
    <w:rsid w:val="001D212F"/>
    <w:rsid w:val="001D29D7"/>
    <w:rsid w:val="001D2DE7"/>
    <w:rsid w:val="001D411C"/>
    <w:rsid w:val="001D5D36"/>
    <w:rsid w:val="001E1B6A"/>
    <w:rsid w:val="001E2484"/>
    <w:rsid w:val="001E3CC4"/>
    <w:rsid w:val="001E4882"/>
    <w:rsid w:val="001E73AB"/>
    <w:rsid w:val="001F092D"/>
    <w:rsid w:val="001F143A"/>
    <w:rsid w:val="001F1605"/>
    <w:rsid w:val="001F2508"/>
    <w:rsid w:val="001F4816"/>
    <w:rsid w:val="001F4EE9"/>
    <w:rsid w:val="001F54A5"/>
    <w:rsid w:val="001F69B4"/>
    <w:rsid w:val="001F77C7"/>
    <w:rsid w:val="001F7B9B"/>
    <w:rsid w:val="002000C8"/>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213E"/>
    <w:rsid w:val="00243540"/>
    <w:rsid w:val="0024497B"/>
    <w:rsid w:val="0024515B"/>
    <w:rsid w:val="00246021"/>
    <w:rsid w:val="0024666E"/>
    <w:rsid w:val="00247F52"/>
    <w:rsid w:val="00250B25"/>
    <w:rsid w:val="00250BBE"/>
    <w:rsid w:val="002515C2"/>
    <w:rsid w:val="0025194F"/>
    <w:rsid w:val="0026148A"/>
    <w:rsid w:val="00261869"/>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85B62"/>
    <w:rsid w:val="00287A43"/>
    <w:rsid w:val="00290689"/>
    <w:rsid w:val="00292901"/>
    <w:rsid w:val="00292D60"/>
    <w:rsid w:val="00292D95"/>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047"/>
    <w:rsid w:val="002A50C4"/>
    <w:rsid w:val="002A5977"/>
    <w:rsid w:val="002A5A13"/>
    <w:rsid w:val="002A757F"/>
    <w:rsid w:val="002A75E7"/>
    <w:rsid w:val="002A7F44"/>
    <w:rsid w:val="002B0C40"/>
    <w:rsid w:val="002B1966"/>
    <w:rsid w:val="002B3F07"/>
    <w:rsid w:val="002B4508"/>
    <w:rsid w:val="002B5779"/>
    <w:rsid w:val="002B7332"/>
    <w:rsid w:val="002B7F51"/>
    <w:rsid w:val="002C09E7"/>
    <w:rsid w:val="002C1E06"/>
    <w:rsid w:val="002C1E1C"/>
    <w:rsid w:val="002C3F07"/>
    <w:rsid w:val="002C5278"/>
    <w:rsid w:val="002C665C"/>
    <w:rsid w:val="002C7EBB"/>
    <w:rsid w:val="002D06C1"/>
    <w:rsid w:val="002D42B5"/>
    <w:rsid w:val="002D4F1A"/>
    <w:rsid w:val="002D5F83"/>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0703D"/>
    <w:rsid w:val="00313B85"/>
    <w:rsid w:val="00314902"/>
    <w:rsid w:val="00317988"/>
    <w:rsid w:val="003221B4"/>
    <w:rsid w:val="0032258D"/>
    <w:rsid w:val="00322E62"/>
    <w:rsid w:val="00324D13"/>
    <w:rsid w:val="00324D2A"/>
    <w:rsid w:val="00324EDD"/>
    <w:rsid w:val="003331E4"/>
    <w:rsid w:val="0033651A"/>
    <w:rsid w:val="00336C64"/>
    <w:rsid w:val="00337162"/>
    <w:rsid w:val="003414EF"/>
    <w:rsid w:val="0034194F"/>
    <w:rsid w:val="00344605"/>
    <w:rsid w:val="003474AA"/>
    <w:rsid w:val="00350D1D"/>
    <w:rsid w:val="00352C83"/>
    <w:rsid w:val="00356150"/>
    <w:rsid w:val="003615D2"/>
    <w:rsid w:val="0036429C"/>
    <w:rsid w:val="00364A53"/>
    <w:rsid w:val="003654CB"/>
    <w:rsid w:val="00365AA9"/>
    <w:rsid w:val="00365F86"/>
    <w:rsid w:val="00365F87"/>
    <w:rsid w:val="00366E89"/>
    <w:rsid w:val="003705F4"/>
    <w:rsid w:val="003707B8"/>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1DF6"/>
    <w:rsid w:val="003A4077"/>
    <w:rsid w:val="003B09AD"/>
    <w:rsid w:val="003B0DCF"/>
    <w:rsid w:val="003B1F18"/>
    <w:rsid w:val="003B5BF0"/>
    <w:rsid w:val="003B60BF"/>
    <w:rsid w:val="003B6BE3"/>
    <w:rsid w:val="003C010C"/>
    <w:rsid w:val="003C0A6C"/>
    <w:rsid w:val="003C12D0"/>
    <w:rsid w:val="003C14F8"/>
    <w:rsid w:val="003C5A43"/>
    <w:rsid w:val="003D0519"/>
    <w:rsid w:val="003D0FF6"/>
    <w:rsid w:val="003D262C"/>
    <w:rsid w:val="003D6D61"/>
    <w:rsid w:val="003D79C6"/>
    <w:rsid w:val="003E091D"/>
    <w:rsid w:val="003E1C53"/>
    <w:rsid w:val="003E2A69"/>
    <w:rsid w:val="003E2D49"/>
    <w:rsid w:val="003E2FD4"/>
    <w:rsid w:val="003E3A26"/>
    <w:rsid w:val="003E441A"/>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17B4"/>
    <w:rsid w:val="00432DAA"/>
    <w:rsid w:val="00434305"/>
    <w:rsid w:val="004350F5"/>
    <w:rsid w:val="00435DF7"/>
    <w:rsid w:val="0044079E"/>
    <w:rsid w:val="0044083F"/>
    <w:rsid w:val="00441AE7"/>
    <w:rsid w:val="00445574"/>
    <w:rsid w:val="004467FB"/>
    <w:rsid w:val="00452D6B"/>
    <w:rsid w:val="00454484"/>
    <w:rsid w:val="0045517B"/>
    <w:rsid w:val="00463B77"/>
    <w:rsid w:val="00463C7B"/>
    <w:rsid w:val="004644A6"/>
    <w:rsid w:val="004659BD"/>
    <w:rsid w:val="00466243"/>
    <w:rsid w:val="00470775"/>
    <w:rsid w:val="00471EF6"/>
    <w:rsid w:val="004746B1"/>
    <w:rsid w:val="0047583F"/>
    <w:rsid w:val="00475DE8"/>
    <w:rsid w:val="00477400"/>
    <w:rsid w:val="00481C44"/>
    <w:rsid w:val="00484936"/>
    <w:rsid w:val="00485C89"/>
    <w:rsid w:val="00486BE3"/>
    <w:rsid w:val="004905E4"/>
    <w:rsid w:val="00490A89"/>
    <w:rsid w:val="00490AB4"/>
    <w:rsid w:val="004926F9"/>
    <w:rsid w:val="00492F02"/>
    <w:rsid w:val="004939AE"/>
    <w:rsid w:val="0049561B"/>
    <w:rsid w:val="004A12DF"/>
    <w:rsid w:val="004A17E6"/>
    <w:rsid w:val="004A1BA8"/>
    <w:rsid w:val="004A4B57"/>
    <w:rsid w:val="004A599B"/>
    <w:rsid w:val="004A63FA"/>
    <w:rsid w:val="004B0272"/>
    <w:rsid w:val="004B0C29"/>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74F"/>
    <w:rsid w:val="004E2B06"/>
    <w:rsid w:val="004E30C5"/>
    <w:rsid w:val="004E4AA5"/>
    <w:rsid w:val="004E4AEE"/>
    <w:rsid w:val="004E59E3"/>
    <w:rsid w:val="004E67C0"/>
    <w:rsid w:val="004F391A"/>
    <w:rsid w:val="004F3B99"/>
    <w:rsid w:val="004F3CFB"/>
    <w:rsid w:val="004F3ECD"/>
    <w:rsid w:val="004F436D"/>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1C3C"/>
    <w:rsid w:val="00533D04"/>
    <w:rsid w:val="00534804"/>
    <w:rsid w:val="00534BDF"/>
    <w:rsid w:val="005354EA"/>
    <w:rsid w:val="0053585F"/>
    <w:rsid w:val="00535EC4"/>
    <w:rsid w:val="00535ED9"/>
    <w:rsid w:val="0053692B"/>
    <w:rsid w:val="00541853"/>
    <w:rsid w:val="00543BDA"/>
    <w:rsid w:val="005441CC"/>
    <w:rsid w:val="00544A93"/>
    <w:rsid w:val="005479DA"/>
    <w:rsid w:val="00547BCC"/>
    <w:rsid w:val="0055013B"/>
    <w:rsid w:val="00551F6F"/>
    <w:rsid w:val="00555044"/>
    <w:rsid w:val="005553FC"/>
    <w:rsid w:val="00561475"/>
    <w:rsid w:val="0056487B"/>
    <w:rsid w:val="00564FB9"/>
    <w:rsid w:val="005660CC"/>
    <w:rsid w:val="00573D9E"/>
    <w:rsid w:val="005801E3"/>
    <w:rsid w:val="00581802"/>
    <w:rsid w:val="005836A8"/>
    <w:rsid w:val="005839A7"/>
    <w:rsid w:val="0058409C"/>
    <w:rsid w:val="00584262"/>
    <w:rsid w:val="00586630"/>
    <w:rsid w:val="00587ADD"/>
    <w:rsid w:val="005908C7"/>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EC6"/>
    <w:rsid w:val="005C5F21"/>
    <w:rsid w:val="005C7156"/>
    <w:rsid w:val="005D04B3"/>
    <w:rsid w:val="005D0C75"/>
    <w:rsid w:val="005D4171"/>
    <w:rsid w:val="005D6A95"/>
    <w:rsid w:val="005D6B2C"/>
    <w:rsid w:val="005D6D9C"/>
    <w:rsid w:val="005E2335"/>
    <w:rsid w:val="005E34CA"/>
    <w:rsid w:val="005E3C18"/>
    <w:rsid w:val="005E6812"/>
    <w:rsid w:val="005E7881"/>
    <w:rsid w:val="005E78E0"/>
    <w:rsid w:val="005F0D9C"/>
    <w:rsid w:val="005F284E"/>
    <w:rsid w:val="005F4712"/>
    <w:rsid w:val="005F7BC1"/>
    <w:rsid w:val="006015CE"/>
    <w:rsid w:val="00604784"/>
    <w:rsid w:val="00606419"/>
    <w:rsid w:val="006066FD"/>
    <w:rsid w:val="00607D29"/>
    <w:rsid w:val="00612952"/>
    <w:rsid w:val="00614CC1"/>
    <w:rsid w:val="00615A9D"/>
    <w:rsid w:val="00617387"/>
    <w:rsid w:val="006205D6"/>
    <w:rsid w:val="006226BF"/>
    <w:rsid w:val="00624511"/>
    <w:rsid w:val="006252D8"/>
    <w:rsid w:val="006259BC"/>
    <w:rsid w:val="0062636B"/>
    <w:rsid w:val="00632182"/>
    <w:rsid w:val="00632AE0"/>
    <w:rsid w:val="00633C17"/>
    <w:rsid w:val="00634640"/>
    <w:rsid w:val="00634D9E"/>
    <w:rsid w:val="00636E3E"/>
    <w:rsid w:val="006379F7"/>
    <w:rsid w:val="00637DEB"/>
    <w:rsid w:val="00637E4D"/>
    <w:rsid w:val="00640620"/>
    <w:rsid w:val="00641A1F"/>
    <w:rsid w:val="00644148"/>
    <w:rsid w:val="00645904"/>
    <w:rsid w:val="00651ACB"/>
    <w:rsid w:val="00651C47"/>
    <w:rsid w:val="00652AB2"/>
    <w:rsid w:val="00653FED"/>
    <w:rsid w:val="006546FC"/>
    <w:rsid w:val="00654EC0"/>
    <w:rsid w:val="0065525B"/>
    <w:rsid w:val="00655D4F"/>
    <w:rsid w:val="00656D29"/>
    <w:rsid w:val="00661C49"/>
    <w:rsid w:val="006640E5"/>
    <w:rsid w:val="006646F1"/>
    <w:rsid w:val="00664929"/>
    <w:rsid w:val="00664F62"/>
    <w:rsid w:val="006655E1"/>
    <w:rsid w:val="00667D4B"/>
    <w:rsid w:val="00672060"/>
    <w:rsid w:val="00672BFD"/>
    <w:rsid w:val="00672D3C"/>
    <w:rsid w:val="006770F4"/>
    <w:rsid w:val="00677A84"/>
    <w:rsid w:val="0068026D"/>
    <w:rsid w:val="00680A27"/>
    <w:rsid w:val="006816A4"/>
    <w:rsid w:val="006819B8"/>
    <w:rsid w:val="006840A6"/>
    <w:rsid w:val="006850CD"/>
    <w:rsid w:val="00685AAB"/>
    <w:rsid w:val="00691D0C"/>
    <w:rsid w:val="00695D22"/>
    <w:rsid w:val="006A07AA"/>
    <w:rsid w:val="006A25E5"/>
    <w:rsid w:val="006A2B46"/>
    <w:rsid w:val="006A336D"/>
    <w:rsid w:val="006A37B9"/>
    <w:rsid w:val="006B2672"/>
    <w:rsid w:val="006B54BF"/>
    <w:rsid w:val="006B5F44"/>
    <w:rsid w:val="006B5F90"/>
    <w:rsid w:val="006B62E4"/>
    <w:rsid w:val="006C141E"/>
    <w:rsid w:val="006C1BBA"/>
    <w:rsid w:val="006C2079"/>
    <w:rsid w:val="006C443B"/>
    <w:rsid w:val="006C5A62"/>
    <w:rsid w:val="006C5D68"/>
    <w:rsid w:val="006C6976"/>
    <w:rsid w:val="006C6DD0"/>
    <w:rsid w:val="006D04EA"/>
    <w:rsid w:val="006D0AB7"/>
    <w:rsid w:val="006D16C4"/>
    <w:rsid w:val="006D3E96"/>
    <w:rsid w:val="006D4515"/>
    <w:rsid w:val="006D4BB1"/>
    <w:rsid w:val="006D6593"/>
    <w:rsid w:val="006E23EA"/>
    <w:rsid w:val="006E483E"/>
    <w:rsid w:val="006F03A8"/>
    <w:rsid w:val="006F2ACA"/>
    <w:rsid w:val="006F2ADC"/>
    <w:rsid w:val="006F2BFE"/>
    <w:rsid w:val="006F31E9"/>
    <w:rsid w:val="006F6284"/>
    <w:rsid w:val="007002C5"/>
    <w:rsid w:val="00704387"/>
    <w:rsid w:val="00705949"/>
    <w:rsid w:val="00707669"/>
    <w:rsid w:val="00711CBA"/>
    <w:rsid w:val="00711FB5"/>
    <w:rsid w:val="00712A01"/>
    <w:rsid w:val="00714F58"/>
    <w:rsid w:val="00717CED"/>
    <w:rsid w:val="0072105B"/>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75AF"/>
    <w:rsid w:val="007501A8"/>
    <w:rsid w:val="00750D61"/>
    <w:rsid w:val="00750EE1"/>
    <w:rsid w:val="00752B4D"/>
    <w:rsid w:val="00755402"/>
    <w:rsid w:val="007558E5"/>
    <w:rsid w:val="00756B26"/>
    <w:rsid w:val="00756EDF"/>
    <w:rsid w:val="007600E3"/>
    <w:rsid w:val="00760CD8"/>
    <w:rsid w:val="00764D08"/>
    <w:rsid w:val="00765C43"/>
    <w:rsid w:val="00765EFB"/>
    <w:rsid w:val="007671CA"/>
    <w:rsid w:val="0076749C"/>
    <w:rsid w:val="00767C61"/>
    <w:rsid w:val="0077008A"/>
    <w:rsid w:val="00773C1F"/>
    <w:rsid w:val="00773C58"/>
    <w:rsid w:val="00773D2F"/>
    <w:rsid w:val="00774DA4"/>
    <w:rsid w:val="00776599"/>
    <w:rsid w:val="00776D5A"/>
    <w:rsid w:val="0078114B"/>
    <w:rsid w:val="00781DD2"/>
    <w:rsid w:val="007820B7"/>
    <w:rsid w:val="007827A2"/>
    <w:rsid w:val="00783ECF"/>
    <w:rsid w:val="0078413A"/>
    <w:rsid w:val="0079506C"/>
    <w:rsid w:val="007959E8"/>
    <w:rsid w:val="00795E9C"/>
    <w:rsid w:val="00796BA7"/>
    <w:rsid w:val="00797154"/>
    <w:rsid w:val="007A0521"/>
    <w:rsid w:val="007A2E12"/>
    <w:rsid w:val="007A3475"/>
    <w:rsid w:val="007A41C8"/>
    <w:rsid w:val="007A54CE"/>
    <w:rsid w:val="007A6FD9"/>
    <w:rsid w:val="007A7FFA"/>
    <w:rsid w:val="007B04EB"/>
    <w:rsid w:val="007B0B9A"/>
    <w:rsid w:val="007B0D4F"/>
    <w:rsid w:val="007B3EBD"/>
    <w:rsid w:val="007B5A3D"/>
    <w:rsid w:val="007B5B95"/>
    <w:rsid w:val="007B68EA"/>
    <w:rsid w:val="007B7453"/>
    <w:rsid w:val="007C1E8B"/>
    <w:rsid w:val="007C2D89"/>
    <w:rsid w:val="007C4593"/>
    <w:rsid w:val="007C4DA9"/>
    <w:rsid w:val="007C5309"/>
    <w:rsid w:val="007C6069"/>
    <w:rsid w:val="007C6C38"/>
    <w:rsid w:val="007D0136"/>
    <w:rsid w:val="007D06C4"/>
    <w:rsid w:val="007D1352"/>
    <w:rsid w:val="007D2508"/>
    <w:rsid w:val="007D346A"/>
    <w:rsid w:val="007D381E"/>
    <w:rsid w:val="007D6518"/>
    <w:rsid w:val="007D76BD"/>
    <w:rsid w:val="007E0BF1"/>
    <w:rsid w:val="007F0BD9"/>
    <w:rsid w:val="007F0ED8"/>
    <w:rsid w:val="007F0F63"/>
    <w:rsid w:val="007F75CE"/>
    <w:rsid w:val="008013A4"/>
    <w:rsid w:val="00801A23"/>
    <w:rsid w:val="008027CE"/>
    <w:rsid w:val="00802F42"/>
    <w:rsid w:val="00803FDB"/>
    <w:rsid w:val="00804383"/>
    <w:rsid w:val="00804BB7"/>
    <w:rsid w:val="00804D41"/>
    <w:rsid w:val="00807063"/>
    <w:rsid w:val="00810257"/>
    <w:rsid w:val="008104F5"/>
    <w:rsid w:val="00811072"/>
    <w:rsid w:val="00811369"/>
    <w:rsid w:val="0081418D"/>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1B70"/>
    <w:rsid w:val="008524CA"/>
    <w:rsid w:val="00856316"/>
    <w:rsid w:val="0085686D"/>
    <w:rsid w:val="008603CE"/>
    <w:rsid w:val="008620FC"/>
    <w:rsid w:val="008627A5"/>
    <w:rsid w:val="00863E05"/>
    <w:rsid w:val="00865ACA"/>
    <w:rsid w:val="00865D28"/>
    <w:rsid w:val="00865F85"/>
    <w:rsid w:val="00867C10"/>
    <w:rsid w:val="00870439"/>
    <w:rsid w:val="00870DA1"/>
    <w:rsid w:val="00877FB9"/>
    <w:rsid w:val="00883F93"/>
    <w:rsid w:val="00884DB3"/>
    <w:rsid w:val="00885A9D"/>
    <w:rsid w:val="008864F6"/>
    <w:rsid w:val="0089049D"/>
    <w:rsid w:val="008928C9"/>
    <w:rsid w:val="008930CB"/>
    <w:rsid w:val="008938DC"/>
    <w:rsid w:val="00893FD1"/>
    <w:rsid w:val="00894836"/>
    <w:rsid w:val="00895172"/>
    <w:rsid w:val="00895680"/>
    <w:rsid w:val="00896B11"/>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C6EB0"/>
    <w:rsid w:val="008D0CE8"/>
    <w:rsid w:val="008D2D1D"/>
    <w:rsid w:val="008D453D"/>
    <w:rsid w:val="008D53AD"/>
    <w:rsid w:val="008D562B"/>
    <w:rsid w:val="008D5733"/>
    <w:rsid w:val="008D622B"/>
    <w:rsid w:val="008D666C"/>
    <w:rsid w:val="008D69C9"/>
    <w:rsid w:val="008D7B54"/>
    <w:rsid w:val="008E0C9D"/>
    <w:rsid w:val="008E1648"/>
    <w:rsid w:val="008E1B3E"/>
    <w:rsid w:val="008E2319"/>
    <w:rsid w:val="008E4BB6"/>
    <w:rsid w:val="008E5518"/>
    <w:rsid w:val="008E6A84"/>
    <w:rsid w:val="008F0CDC"/>
    <w:rsid w:val="008F17A3"/>
    <w:rsid w:val="008F1ED3"/>
    <w:rsid w:val="008F23A5"/>
    <w:rsid w:val="008F4C29"/>
    <w:rsid w:val="008F50B7"/>
    <w:rsid w:val="008F70BD"/>
    <w:rsid w:val="008F788F"/>
    <w:rsid w:val="008F7EA2"/>
    <w:rsid w:val="00902722"/>
    <w:rsid w:val="009027BC"/>
    <w:rsid w:val="009062E6"/>
    <w:rsid w:val="009108DD"/>
    <w:rsid w:val="00911BE5"/>
    <w:rsid w:val="00913CA9"/>
    <w:rsid w:val="009145AE"/>
    <w:rsid w:val="009146CE"/>
    <w:rsid w:val="00914CA7"/>
    <w:rsid w:val="00915C3E"/>
    <w:rsid w:val="009161A8"/>
    <w:rsid w:val="009245F5"/>
    <w:rsid w:val="009249EC"/>
    <w:rsid w:val="009273B3"/>
    <w:rsid w:val="009305B5"/>
    <w:rsid w:val="00934F4B"/>
    <w:rsid w:val="00935166"/>
    <w:rsid w:val="00936353"/>
    <w:rsid w:val="009429D5"/>
    <w:rsid w:val="00942BF1"/>
    <w:rsid w:val="00945180"/>
    <w:rsid w:val="00945428"/>
    <w:rsid w:val="0094607B"/>
    <w:rsid w:val="00953604"/>
    <w:rsid w:val="0095496B"/>
    <w:rsid w:val="00954B30"/>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036"/>
    <w:rsid w:val="0099551B"/>
    <w:rsid w:val="00997BF1"/>
    <w:rsid w:val="009A089C"/>
    <w:rsid w:val="009A118E"/>
    <w:rsid w:val="009A1A7E"/>
    <w:rsid w:val="009A21CD"/>
    <w:rsid w:val="009A278C"/>
    <w:rsid w:val="009A2BC2"/>
    <w:rsid w:val="009A42C1"/>
    <w:rsid w:val="009A5429"/>
    <w:rsid w:val="009A72AD"/>
    <w:rsid w:val="009B09E0"/>
    <w:rsid w:val="009B0BC5"/>
    <w:rsid w:val="009B0F65"/>
    <w:rsid w:val="009B1247"/>
    <w:rsid w:val="009B38D1"/>
    <w:rsid w:val="009B46F9"/>
    <w:rsid w:val="009B6029"/>
    <w:rsid w:val="009B6971"/>
    <w:rsid w:val="009C27F1"/>
    <w:rsid w:val="009C3152"/>
    <w:rsid w:val="009C4CFA"/>
    <w:rsid w:val="009C5070"/>
    <w:rsid w:val="009D112C"/>
    <w:rsid w:val="009D47FA"/>
    <w:rsid w:val="009D4C5B"/>
    <w:rsid w:val="009D50D2"/>
    <w:rsid w:val="009D6BCA"/>
    <w:rsid w:val="009D76F7"/>
    <w:rsid w:val="009E0F62"/>
    <w:rsid w:val="009E1785"/>
    <w:rsid w:val="009E4A58"/>
    <w:rsid w:val="009E5A2D"/>
    <w:rsid w:val="009E5AB2"/>
    <w:rsid w:val="009E6219"/>
    <w:rsid w:val="009F03B3"/>
    <w:rsid w:val="009F2DE4"/>
    <w:rsid w:val="00A0096C"/>
    <w:rsid w:val="00A01757"/>
    <w:rsid w:val="00A028C0"/>
    <w:rsid w:val="00A02BAE"/>
    <w:rsid w:val="00A05BC3"/>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45F7"/>
    <w:rsid w:val="00A3597D"/>
    <w:rsid w:val="00A35DF5"/>
    <w:rsid w:val="00A36DD1"/>
    <w:rsid w:val="00A4006C"/>
    <w:rsid w:val="00A40091"/>
    <w:rsid w:val="00A4030F"/>
    <w:rsid w:val="00A419AB"/>
    <w:rsid w:val="00A41C79"/>
    <w:rsid w:val="00A41CB5"/>
    <w:rsid w:val="00A42CDF"/>
    <w:rsid w:val="00A4452E"/>
    <w:rsid w:val="00A4472C"/>
    <w:rsid w:val="00A44E69"/>
    <w:rsid w:val="00A4661E"/>
    <w:rsid w:val="00A47303"/>
    <w:rsid w:val="00A51A0C"/>
    <w:rsid w:val="00A54CD7"/>
    <w:rsid w:val="00A55BD6"/>
    <w:rsid w:val="00A55D50"/>
    <w:rsid w:val="00A57142"/>
    <w:rsid w:val="00A5789A"/>
    <w:rsid w:val="00A648CD"/>
    <w:rsid w:val="00A6537A"/>
    <w:rsid w:val="00A65D66"/>
    <w:rsid w:val="00A67866"/>
    <w:rsid w:val="00A70B07"/>
    <w:rsid w:val="00A723F8"/>
    <w:rsid w:val="00A76D6D"/>
    <w:rsid w:val="00A77CCB"/>
    <w:rsid w:val="00A81446"/>
    <w:rsid w:val="00A8399D"/>
    <w:rsid w:val="00A83D8D"/>
    <w:rsid w:val="00A8446B"/>
    <w:rsid w:val="00A8473F"/>
    <w:rsid w:val="00A862D6"/>
    <w:rsid w:val="00A8715E"/>
    <w:rsid w:val="00A928FA"/>
    <w:rsid w:val="00A9295B"/>
    <w:rsid w:val="00A93B09"/>
    <w:rsid w:val="00A94247"/>
    <w:rsid w:val="00A952D7"/>
    <w:rsid w:val="00A963F7"/>
    <w:rsid w:val="00A96AD8"/>
    <w:rsid w:val="00AA052C"/>
    <w:rsid w:val="00AA1E45"/>
    <w:rsid w:val="00AA3A54"/>
    <w:rsid w:val="00AA4286"/>
    <w:rsid w:val="00AA456B"/>
    <w:rsid w:val="00AA57F5"/>
    <w:rsid w:val="00AA672E"/>
    <w:rsid w:val="00AA6EC9"/>
    <w:rsid w:val="00AB282F"/>
    <w:rsid w:val="00AB41D5"/>
    <w:rsid w:val="00AB6309"/>
    <w:rsid w:val="00AB6C5F"/>
    <w:rsid w:val="00AB7129"/>
    <w:rsid w:val="00AC27A6"/>
    <w:rsid w:val="00AC30F7"/>
    <w:rsid w:val="00AC3A5A"/>
    <w:rsid w:val="00AC4D95"/>
    <w:rsid w:val="00AC5DF4"/>
    <w:rsid w:val="00AD05B7"/>
    <w:rsid w:val="00AD0AEF"/>
    <w:rsid w:val="00AD11B7"/>
    <w:rsid w:val="00AD1370"/>
    <w:rsid w:val="00AD1A94"/>
    <w:rsid w:val="00AD1C05"/>
    <w:rsid w:val="00AD4126"/>
    <w:rsid w:val="00AD421C"/>
    <w:rsid w:val="00AD44FA"/>
    <w:rsid w:val="00AD61D3"/>
    <w:rsid w:val="00AE070A"/>
    <w:rsid w:val="00AE101C"/>
    <w:rsid w:val="00AE37E5"/>
    <w:rsid w:val="00AE497D"/>
    <w:rsid w:val="00AE5EB4"/>
    <w:rsid w:val="00AF0C18"/>
    <w:rsid w:val="00AF12B1"/>
    <w:rsid w:val="00AF47C5"/>
    <w:rsid w:val="00AF5398"/>
    <w:rsid w:val="00B049AF"/>
    <w:rsid w:val="00B05C80"/>
    <w:rsid w:val="00B07242"/>
    <w:rsid w:val="00B10534"/>
    <w:rsid w:val="00B113DB"/>
    <w:rsid w:val="00B11ADA"/>
    <w:rsid w:val="00B11D8A"/>
    <w:rsid w:val="00B12981"/>
    <w:rsid w:val="00B147DD"/>
    <w:rsid w:val="00B156FD"/>
    <w:rsid w:val="00B21982"/>
    <w:rsid w:val="00B21F61"/>
    <w:rsid w:val="00B261F1"/>
    <w:rsid w:val="00B265BC"/>
    <w:rsid w:val="00B31FB1"/>
    <w:rsid w:val="00B33952"/>
    <w:rsid w:val="00B33C5E"/>
    <w:rsid w:val="00B342F4"/>
    <w:rsid w:val="00B34369"/>
    <w:rsid w:val="00B34DC2"/>
    <w:rsid w:val="00B378E5"/>
    <w:rsid w:val="00B4346D"/>
    <w:rsid w:val="00B440F4"/>
    <w:rsid w:val="00B44251"/>
    <w:rsid w:val="00B447A5"/>
    <w:rsid w:val="00B4654C"/>
    <w:rsid w:val="00B46AF0"/>
    <w:rsid w:val="00B47293"/>
    <w:rsid w:val="00B5015D"/>
    <w:rsid w:val="00B50E50"/>
    <w:rsid w:val="00B512B3"/>
    <w:rsid w:val="00B52120"/>
    <w:rsid w:val="00B54ABC"/>
    <w:rsid w:val="00B54DDE"/>
    <w:rsid w:val="00B56FBE"/>
    <w:rsid w:val="00B60ACF"/>
    <w:rsid w:val="00B62412"/>
    <w:rsid w:val="00B62B58"/>
    <w:rsid w:val="00B65149"/>
    <w:rsid w:val="00B66567"/>
    <w:rsid w:val="00B66F52"/>
    <w:rsid w:val="00B66FE5"/>
    <w:rsid w:val="00B72880"/>
    <w:rsid w:val="00B72FE7"/>
    <w:rsid w:val="00B745F0"/>
    <w:rsid w:val="00B751BB"/>
    <w:rsid w:val="00B758BF"/>
    <w:rsid w:val="00B77EC8"/>
    <w:rsid w:val="00B827A6"/>
    <w:rsid w:val="00B827D8"/>
    <w:rsid w:val="00B831CE"/>
    <w:rsid w:val="00B85AAA"/>
    <w:rsid w:val="00B86677"/>
    <w:rsid w:val="00B86B11"/>
    <w:rsid w:val="00B87131"/>
    <w:rsid w:val="00B939B1"/>
    <w:rsid w:val="00B96D40"/>
    <w:rsid w:val="00B97386"/>
    <w:rsid w:val="00BA0CCC"/>
    <w:rsid w:val="00BA263B"/>
    <w:rsid w:val="00BA42B2"/>
    <w:rsid w:val="00BA4703"/>
    <w:rsid w:val="00BA58D4"/>
    <w:rsid w:val="00BA5B9E"/>
    <w:rsid w:val="00BA7C9A"/>
    <w:rsid w:val="00BB203B"/>
    <w:rsid w:val="00BB5F8F"/>
    <w:rsid w:val="00BB657A"/>
    <w:rsid w:val="00BC03EF"/>
    <w:rsid w:val="00BC1A4E"/>
    <w:rsid w:val="00BC4790"/>
    <w:rsid w:val="00BC5DC7"/>
    <w:rsid w:val="00BC6B8B"/>
    <w:rsid w:val="00BC73D8"/>
    <w:rsid w:val="00BD0CE7"/>
    <w:rsid w:val="00BD47CA"/>
    <w:rsid w:val="00BD52D7"/>
    <w:rsid w:val="00BD5AD2"/>
    <w:rsid w:val="00BE22F3"/>
    <w:rsid w:val="00BE5B52"/>
    <w:rsid w:val="00BE7B8D"/>
    <w:rsid w:val="00BF0045"/>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47B"/>
    <w:rsid w:val="00C25FE2"/>
    <w:rsid w:val="00C26B53"/>
    <w:rsid w:val="00C279B2"/>
    <w:rsid w:val="00C33E50"/>
    <w:rsid w:val="00C34C20"/>
    <w:rsid w:val="00C35A3E"/>
    <w:rsid w:val="00C35ADE"/>
    <w:rsid w:val="00C374CA"/>
    <w:rsid w:val="00C40FD6"/>
    <w:rsid w:val="00C42130"/>
    <w:rsid w:val="00C423A4"/>
    <w:rsid w:val="00C43638"/>
    <w:rsid w:val="00C43706"/>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685"/>
    <w:rsid w:val="00C819F8"/>
    <w:rsid w:val="00C8248C"/>
    <w:rsid w:val="00C84E33"/>
    <w:rsid w:val="00C86D6F"/>
    <w:rsid w:val="00C873D7"/>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0C8C"/>
    <w:rsid w:val="00CC160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E3D63"/>
    <w:rsid w:val="00CE63C9"/>
    <w:rsid w:val="00CF048A"/>
    <w:rsid w:val="00CF155A"/>
    <w:rsid w:val="00CF2947"/>
    <w:rsid w:val="00CF686F"/>
    <w:rsid w:val="00CF6E60"/>
    <w:rsid w:val="00CF7BCA"/>
    <w:rsid w:val="00D008FD"/>
    <w:rsid w:val="00D00F59"/>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B5F"/>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52D9D"/>
    <w:rsid w:val="00D53DA2"/>
    <w:rsid w:val="00D55E25"/>
    <w:rsid w:val="00D572DD"/>
    <w:rsid w:val="00D60492"/>
    <w:rsid w:val="00D64550"/>
    <w:rsid w:val="00D64C88"/>
    <w:rsid w:val="00D66846"/>
    <w:rsid w:val="00D675FB"/>
    <w:rsid w:val="00D71F25"/>
    <w:rsid w:val="00D72A9C"/>
    <w:rsid w:val="00D77031"/>
    <w:rsid w:val="00D77199"/>
    <w:rsid w:val="00D84941"/>
    <w:rsid w:val="00D84FA1"/>
    <w:rsid w:val="00D851F0"/>
    <w:rsid w:val="00D85F6C"/>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1AA"/>
    <w:rsid w:val="00DB66CA"/>
    <w:rsid w:val="00DB6BCA"/>
    <w:rsid w:val="00DB73F7"/>
    <w:rsid w:val="00DC0321"/>
    <w:rsid w:val="00DC3067"/>
    <w:rsid w:val="00DC370B"/>
    <w:rsid w:val="00DC5B90"/>
    <w:rsid w:val="00DD00FF"/>
    <w:rsid w:val="00DD0619"/>
    <w:rsid w:val="00DD07FB"/>
    <w:rsid w:val="00DD25C6"/>
    <w:rsid w:val="00DD49C9"/>
    <w:rsid w:val="00DD4FE5"/>
    <w:rsid w:val="00DD54B0"/>
    <w:rsid w:val="00DD57EE"/>
    <w:rsid w:val="00DD6BCC"/>
    <w:rsid w:val="00DE0A4B"/>
    <w:rsid w:val="00DE2410"/>
    <w:rsid w:val="00DE2939"/>
    <w:rsid w:val="00DE548F"/>
    <w:rsid w:val="00DE6E81"/>
    <w:rsid w:val="00DE703F"/>
    <w:rsid w:val="00DE7595"/>
    <w:rsid w:val="00DF1961"/>
    <w:rsid w:val="00DF3C21"/>
    <w:rsid w:val="00DF44DE"/>
    <w:rsid w:val="00DF5F11"/>
    <w:rsid w:val="00E000AE"/>
    <w:rsid w:val="00E01138"/>
    <w:rsid w:val="00E02DFB"/>
    <w:rsid w:val="00E030F9"/>
    <w:rsid w:val="00E0311A"/>
    <w:rsid w:val="00E03138"/>
    <w:rsid w:val="00E0476D"/>
    <w:rsid w:val="00E06404"/>
    <w:rsid w:val="00E065D2"/>
    <w:rsid w:val="00E11A85"/>
    <w:rsid w:val="00E12495"/>
    <w:rsid w:val="00E12A0A"/>
    <w:rsid w:val="00E15CCD"/>
    <w:rsid w:val="00E202EF"/>
    <w:rsid w:val="00E210B5"/>
    <w:rsid w:val="00E23D99"/>
    <w:rsid w:val="00E2552F"/>
    <w:rsid w:val="00E3137A"/>
    <w:rsid w:val="00E320D4"/>
    <w:rsid w:val="00E32CCF"/>
    <w:rsid w:val="00E33A21"/>
    <w:rsid w:val="00E34A98"/>
    <w:rsid w:val="00E3542E"/>
    <w:rsid w:val="00E35D1E"/>
    <w:rsid w:val="00E364F9"/>
    <w:rsid w:val="00E365FA"/>
    <w:rsid w:val="00E36789"/>
    <w:rsid w:val="00E44A83"/>
    <w:rsid w:val="00E453EE"/>
    <w:rsid w:val="00E45E6C"/>
    <w:rsid w:val="00E502C1"/>
    <w:rsid w:val="00E502DD"/>
    <w:rsid w:val="00E50D3A"/>
    <w:rsid w:val="00E51387"/>
    <w:rsid w:val="00E51E68"/>
    <w:rsid w:val="00E52EFD"/>
    <w:rsid w:val="00E5408A"/>
    <w:rsid w:val="00E56800"/>
    <w:rsid w:val="00E60C63"/>
    <w:rsid w:val="00E620EB"/>
    <w:rsid w:val="00E62FF9"/>
    <w:rsid w:val="00E635D6"/>
    <w:rsid w:val="00E639BC"/>
    <w:rsid w:val="00E64252"/>
    <w:rsid w:val="00E664CC"/>
    <w:rsid w:val="00E66CE9"/>
    <w:rsid w:val="00E70388"/>
    <w:rsid w:val="00E70F92"/>
    <w:rsid w:val="00E74C54"/>
    <w:rsid w:val="00E7501F"/>
    <w:rsid w:val="00E77A03"/>
    <w:rsid w:val="00E822E8"/>
    <w:rsid w:val="00E82554"/>
    <w:rsid w:val="00E82606"/>
    <w:rsid w:val="00E846C8"/>
    <w:rsid w:val="00E84957"/>
    <w:rsid w:val="00E84A55"/>
    <w:rsid w:val="00E85BFF"/>
    <w:rsid w:val="00E86C63"/>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0A2C"/>
    <w:rsid w:val="00ED2B50"/>
    <w:rsid w:val="00ED5AC7"/>
    <w:rsid w:val="00EE0350"/>
    <w:rsid w:val="00EE0719"/>
    <w:rsid w:val="00EE0E80"/>
    <w:rsid w:val="00EE4AC8"/>
    <w:rsid w:val="00EE4C75"/>
    <w:rsid w:val="00EE54A6"/>
    <w:rsid w:val="00EE613F"/>
    <w:rsid w:val="00EE7295"/>
    <w:rsid w:val="00EE7869"/>
    <w:rsid w:val="00EF054A"/>
    <w:rsid w:val="00EF3235"/>
    <w:rsid w:val="00EF6F1D"/>
    <w:rsid w:val="00EF7E72"/>
    <w:rsid w:val="00F06D37"/>
    <w:rsid w:val="00F07B9D"/>
    <w:rsid w:val="00F11586"/>
    <w:rsid w:val="00F1183B"/>
    <w:rsid w:val="00F11A32"/>
    <w:rsid w:val="00F11C9F"/>
    <w:rsid w:val="00F12263"/>
    <w:rsid w:val="00F1409D"/>
    <w:rsid w:val="00F14214"/>
    <w:rsid w:val="00F157A9"/>
    <w:rsid w:val="00F25BB6"/>
    <w:rsid w:val="00F26B7E"/>
    <w:rsid w:val="00F274DA"/>
    <w:rsid w:val="00F27A3B"/>
    <w:rsid w:val="00F33817"/>
    <w:rsid w:val="00F420D5"/>
    <w:rsid w:val="00F4497C"/>
    <w:rsid w:val="00F451EA"/>
    <w:rsid w:val="00F45447"/>
    <w:rsid w:val="00F456C6"/>
    <w:rsid w:val="00F4577B"/>
    <w:rsid w:val="00F45D8C"/>
    <w:rsid w:val="00F46496"/>
    <w:rsid w:val="00F47309"/>
    <w:rsid w:val="00F474D0"/>
    <w:rsid w:val="00F50179"/>
    <w:rsid w:val="00F515EE"/>
    <w:rsid w:val="00F555AA"/>
    <w:rsid w:val="00F56511"/>
    <w:rsid w:val="00F6194E"/>
    <w:rsid w:val="00F623AC"/>
    <w:rsid w:val="00F63273"/>
    <w:rsid w:val="00F6412A"/>
    <w:rsid w:val="00F65893"/>
    <w:rsid w:val="00F66A4A"/>
    <w:rsid w:val="00F70956"/>
    <w:rsid w:val="00F71E22"/>
    <w:rsid w:val="00F71E91"/>
    <w:rsid w:val="00F72142"/>
    <w:rsid w:val="00F72AE7"/>
    <w:rsid w:val="00F81141"/>
    <w:rsid w:val="00F833BA"/>
    <w:rsid w:val="00F8480D"/>
    <w:rsid w:val="00F84FD0"/>
    <w:rsid w:val="00F859A8"/>
    <w:rsid w:val="00F86D87"/>
    <w:rsid w:val="00F9108B"/>
    <w:rsid w:val="00F91349"/>
    <w:rsid w:val="00F931C0"/>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55C45B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ind w:left="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ind w:left="71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2" Type="http://schemas.openxmlformats.org/officeDocument/2006/relationships/glossaryDocument" Target="glossary/document.xml"/><Relationship Id="rId31" Type="http://schemas.openxmlformats.org/officeDocument/2006/relationships/fontTable" Target="fontTable.xml"/><Relationship Id="rId30" Type="http://schemas.openxmlformats.org/officeDocument/2006/relationships/customXml" Target="../customXml/item2.xml"/><Relationship Id="rId3" Type="http://schemas.openxmlformats.org/officeDocument/2006/relationships/footnotes" Target="footnotes.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image" Target="media/image10.jpeg"/><Relationship Id="rId26" Type="http://schemas.openxmlformats.org/officeDocument/2006/relationships/image" Target="media/image9.png"/><Relationship Id="rId25" Type="http://schemas.openxmlformats.org/officeDocument/2006/relationships/image" Target="media/image8.png"/><Relationship Id="rId24" Type="http://schemas.openxmlformats.org/officeDocument/2006/relationships/image" Target="media/image7.png"/><Relationship Id="rId23" Type="http://schemas.openxmlformats.org/officeDocument/2006/relationships/image" Target="media/image6.wmf"/><Relationship Id="rId22" Type="http://schemas.openxmlformats.org/officeDocument/2006/relationships/oleObject" Target="embeddings/oleObject3.bin"/><Relationship Id="rId21" Type="http://schemas.openxmlformats.org/officeDocument/2006/relationships/image" Target="media/image5.png"/><Relationship Id="rId20" Type="http://schemas.openxmlformats.org/officeDocument/2006/relationships/image" Target="media/image4.wmf"/><Relationship Id="rId2" Type="http://schemas.openxmlformats.org/officeDocument/2006/relationships/settings" Target="settings.xml"/><Relationship Id="rId19" Type="http://schemas.openxmlformats.org/officeDocument/2006/relationships/oleObject" Target="embeddings/oleObject2.bin"/><Relationship Id="rId18" Type="http://schemas.openxmlformats.org/officeDocument/2006/relationships/image" Target="media/image3.png"/><Relationship Id="rId17" Type="http://schemas.openxmlformats.org/officeDocument/2006/relationships/image" Target="media/image2.wmf"/><Relationship Id="rId16" Type="http://schemas.openxmlformats.org/officeDocument/2006/relationships/oleObject" Target="embeddings/oleObject1.bin"/><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7CB72F20B3A741B1BD0D069A6E169FE7"/>
        <w:style w:val=""/>
        <w:category>
          <w:name w:val="常规"/>
          <w:gallery w:val="placeholder"/>
        </w:category>
        <w:types>
          <w:type w:val="bbPlcHdr"/>
        </w:types>
        <w:behaviors>
          <w:behavior w:val="content"/>
        </w:behaviors>
        <w:description w:val=""/>
        <w:guid w:val="{EB0E195E-E354-4C9B-A4F9-A8A8A74B7188}"/>
      </w:docPartPr>
      <w:docPartBody>
        <w:p>
          <w:pPr>
            <w:pStyle w:val="5"/>
          </w:pPr>
          <w:r>
            <w:rPr>
              <w:rStyle w:val="4"/>
              <w:rFonts w:hint="eastAsia"/>
            </w:rPr>
            <w:t>单击或点击此处输入文字。</w:t>
          </w:r>
        </w:p>
      </w:docPartBody>
    </w:docPart>
    <w:docPart>
      <w:docPartPr>
        <w:name w:val="1485C6A175E44331B7B47DBC944EA2DB"/>
        <w:style w:val=""/>
        <w:category>
          <w:name w:val="常规"/>
          <w:gallery w:val="placeholder"/>
        </w:category>
        <w:types>
          <w:type w:val="bbPlcHdr"/>
        </w:types>
        <w:behaviors>
          <w:behavior w:val="content"/>
        </w:behaviors>
        <w:description w:val=""/>
        <w:guid w:val="{27652DD1-BDBA-4851-8CEF-88F0C80B783A}"/>
      </w:docPartPr>
      <w:docPartBody>
        <w:p>
          <w:pPr>
            <w:pStyle w:val="6"/>
          </w:pPr>
          <w:r>
            <w:rPr>
              <w:rStyle w:val="4"/>
              <w:rFonts w:hint="eastAsia"/>
            </w:rPr>
            <w:t>选择一项。</w:t>
          </w:r>
        </w:p>
      </w:docPartBody>
    </w:docPart>
    <w:docPart>
      <w:docPartPr>
        <w:name w:val="0E50E91C31344967B343DE8BA0FD0E94"/>
        <w:style w:val=""/>
        <w:category>
          <w:name w:val="常规"/>
          <w:gallery w:val="placeholder"/>
        </w:category>
        <w:types>
          <w:type w:val="bbPlcHdr"/>
        </w:types>
        <w:behaviors>
          <w:behavior w:val="content"/>
        </w:behaviors>
        <w:description w:val=""/>
        <w:guid w:val="{063E72DC-D148-4156-A913-B04BC6E745F5}"/>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691"/>
    <w:rsid w:val="0014510C"/>
    <w:rsid w:val="00222F78"/>
    <w:rsid w:val="002D215C"/>
    <w:rsid w:val="0039156E"/>
    <w:rsid w:val="003E1334"/>
    <w:rsid w:val="0046130E"/>
    <w:rsid w:val="00585E5F"/>
    <w:rsid w:val="006B58F0"/>
    <w:rsid w:val="007A23DE"/>
    <w:rsid w:val="007B18A6"/>
    <w:rsid w:val="00843292"/>
    <w:rsid w:val="00937D1C"/>
    <w:rsid w:val="00A6573E"/>
    <w:rsid w:val="00B87F65"/>
    <w:rsid w:val="00BF4B33"/>
    <w:rsid w:val="00C04691"/>
    <w:rsid w:val="00CA54B6"/>
    <w:rsid w:val="00CC69A8"/>
    <w:rsid w:val="00CE2D58"/>
    <w:rsid w:val="00F25682"/>
    <w:rsid w:val="00FC0D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7CB72F20B3A741B1BD0D069A6E169FE7"/>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1485C6A175E44331B7B47DBC944EA2DB"/>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0E50E91C31344967B343DE8BA0FD0E94"/>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17A34FB-65E6-438C-891F-B9F416CA2E7F}">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15</Pages>
  <Words>1212</Words>
  <Characters>6912</Characters>
  <Lines>57</Lines>
  <Paragraphs>16</Paragraphs>
  <TotalTime>18</TotalTime>
  <ScaleCrop>false</ScaleCrop>
  <LinksUpToDate>false</LinksUpToDate>
  <CharactersWithSpaces>8108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2023-11-25T02:06:00Z</dcterms:created>
  <dc:creator>微软用户</dc:creator>
  <dc:description>&lt;config cover="true" show_menu="true" version="1.0.0" doctype="SDKXY"&gt;_x000d_
&lt;/config&gt;</dc:description>
  <cp:lastModifiedBy>mmme</cp:lastModifiedBy>
  <cp:lastPrinted>2023-11-27T08:36:00Z</cp:lastPrinted>
  <dcterms:modified xsi:type="dcterms:W3CDTF">2023-11-27T12:30:32Z</dcterms:modified>
  <dc:title>地方标准</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2</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2052-12.1.0.15712</vt:lpwstr>
  </property>
  <property fmtid="{D5CDD505-2E9C-101B-9397-08002B2CF9AE}" pid="15" name="ICV">
    <vt:lpwstr>09F3B9D9CA7E494D8B9F9F18CA9A6E36_12</vt:lpwstr>
  </property>
</Properties>
</file>