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83" w:rsidRPr="004A5389" w:rsidRDefault="00061C83" w:rsidP="00061C83">
      <w:pPr>
        <w:rPr>
          <w:rFonts w:hint="eastAsia"/>
          <w:color w:val="000000"/>
          <w:sz w:val="30"/>
          <w:szCs w:val="30"/>
        </w:rPr>
      </w:pPr>
      <w:r w:rsidRPr="004A5389">
        <w:rPr>
          <w:rFonts w:hint="eastAsia"/>
          <w:color w:val="000000"/>
          <w:sz w:val="30"/>
          <w:szCs w:val="30"/>
        </w:rPr>
        <w:t>附件</w:t>
      </w:r>
      <w:r w:rsidRPr="004A5389">
        <w:rPr>
          <w:rFonts w:hint="eastAsia"/>
          <w:color w:val="000000"/>
          <w:sz w:val="30"/>
          <w:szCs w:val="30"/>
        </w:rPr>
        <w:t>1</w:t>
      </w:r>
      <w:r w:rsidRPr="004A5389">
        <w:rPr>
          <w:rFonts w:hint="eastAsia"/>
          <w:color w:val="000000"/>
          <w:sz w:val="30"/>
          <w:szCs w:val="30"/>
        </w:rPr>
        <w:t>：</w:t>
      </w:r>
    </w:p>
    <w:p w:rsidR="00061C83" w:rsidRPr="00E707E6" w:rsidRDefault="00061C83" w:rsidP="00061C83">
      <w:pPr>
        <w:jc w:val="center"/>
        <w:rPr>
          <w:rFonts w:hint="eastAsia"/>
          <w:b/>
          <w:bCs/>
          <w:sz w:val="36"/>
          <w:szCs w:val="36"/>
        </w:rPr>
      </w:pPr>
      <w:r w:rsidRPr="00E707E6">
        <w:rPr>
          <w:rFonts w:hint="eastAsia"/>
          <w:b/>
          <w:bCs/>
          <w:sz w:val="36"/>
          <w:szCs w:val="36"/>
        </w:rPr>
        <w:t>2023</w:t>
      </w:r>
      <w:r w:rsidRPr="00E707E6">
        <w:rPr>
          <w:rFonts w:hint="eastAsia"/>
          <w:b/>
          <w:bCs/>
          <w:sz w:val="36"/>
          <w:szCs w:val="36"/>
        </w:rPr>
        <w:t>年南京市高技能人才公共实训基地候选单位</w:t>
      </w:r>
    </w:p>
    <w:tbl>
      <w:tblPr>
        <w:tblW w:w="8333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3743"/>
        <w:gridCol w:w="3598"/>
      </w:tblGrid>
      <w:tr w:rsidR="00061C83" w:rsidRPr="00BD67B2" w:rsidTr="00C06E44">
        <w:trPr>
          <w:cantSplit/>
          <w:trHeight w:val="567"/>
          <w:jc w:val="center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61C83" w:rsidRPr="00053B2F" w:rsidRDefault="00061C83" w:rsidP="00C06E4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053B2F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743" w:type="dxa"/>
            <w:tcBorders>
              <w:bottom w:val="single" w:sz="4" w:space="0" w:color="auto"/>
            </w:tcBorders>
            <w:vAlign w:val="center"/>
          </w:tcPr>
          <w:p w:rsidR="00061C83" w:rsidRPr="00053B2F" w:rsidRDefault="00061C83" w:rsidP="00C06E4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053B2F">
              <w:rPr>
                <w:rFonts w:hint="eastAsia"/>
                <w:b/>
                <w:bCs/>
                <w:sz w:val="24"/>
              </w:rPr>
              <w:t>推荐单位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83" w:rsidRPr="00053B2F" w:rsidRDefault="00061C83" w:rsidP="00C06E4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053B2F">
              <w:rPr>
                <w:rFonts w:hint="eastAsia"/>
                <w:b/>
                <w:bCs/>
                <w:sz w:val="24"/>
              </w:rPr>
              <w:t>建设单位</w:t>
            </w:r>
          </w:p>
        </w:tc>
      </w:tr>
      <w:tr w:rsidR="00061C83" w:rsidRPr="00C76220" w:rsidTr="00C06E44">
        <w:trPr>
          <w:cantSplit/>
          <w:trHeight w:val="567"/>
          <w:jc w:val="center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61C83" w:rsidRPr="006F632C" w:rsidRDefault="00061C83" w:rsidP="00C06E44">
            <w:pPr>
              <w:jc w:val="center"/>
              <w:rPr>
                <w:rFonts w:ascii="宋体" w:hAnsi="宋体" w:cs="宋体"/>
                <w:szCs w:val="21"/>
              </w:rPr>
            </w:pPr>
            <w:r w:rsidRPr="006F632C">
              <w:rPr>
                <w:rFonts w:hint="eastAsia"/>
                <w:szCs w:val="21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Pr="00A14615" w:rsidRDefault="00061C83" w:rsidP="00C06E4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14615">
              <w:rPr>
                <w:rFonts w:hint="eastAsia"/>
                <w:color w:val="000000"/>
                <w:sz w:val="24"/>
              </w:rPr>
              <w:t>栖霞区</w:t>
            </w:r>
            <w:r>
              <w:rPr>
                <w:rFonts w:hint="eastAsia"/>
                <w:color w:val="000000"/>
                <w:sz w:val="24"/>
              </w:rPr>
              <w:t>人力资源和社会保障</w:t>
            </w:r>
            <w:r w:rsidRPr="00A14615">
              <w:rPr>
                <w:rFonts w:hint="eastAsia"/>
                <w:color w:val="000000"/>
                <w:sz w:val="24"/>
              </w:rPr>
              <w:t>局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83" w:rsidRPr="00A14615" w:rsidRDefault="00061C83" w:rsidP="00C06E4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14615">
              <w:rPr>
                <w:rFonts w:hint="eastAsia"/>
                <w:color w:val="000000"/>
                <w:sz w:val="24"/>
              </w:rPr>
              <w:t>南京技师学院</w:t>
            </w:r>
          </w:p>
        </w:tc>
      </w:tr>
      <w:tr w:rsidR="00061C83" w:rsidRPr="00C76220" w:rsidTr="00C06E44">
        <w:trPr>
          <w:cantSplit/>
          <w:trHeight w:val="567"/>
          <w:jc w:val="center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61C83" w:rsidRPr="006F632C" w:rsidRDefault="00061C83" w:rsidP="00C06E44">
            <w:pPr>
              <w:jc w:val="center"/>
              <w:rPr>
                <w:rFonts w:hint="eastAsia"/>
                <w:szCs w:val="21"/>
              </w:rPr>
            </w:pPr>
            <w:r w:rsidRPr="006F632C">
              <w:rPr>
                <w:rFonts w:hint="eastAsia"/>
                <w:szCs w:val="21"/>
              </w:rPr>
              <w:t>2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Pr="00A14615" w:rsidRDefault="00061C83" w:rsidP="00C06E44">
            <w:pPr>
              <w:jc w:val="center"/>
              <w:rPr>
                <w:rFonts w:hint="eastAsia"/>
                <w:sz w:val="24"/>
              </w:rPr>
            </w:pPr>
            <w:r w:rsidRPr="00A14615">
              <w:rPr>
                <w:rFonts w:hint="eastAsia"/>
                <w:sz w:val="24"/>
              </w:rPr>
              <w:t>浦口区</w:t>
            </w:r>
            <w:r>
              <w:rPr>
                <w:rFonts w:hint="eastAsia"/>
                <w:color w:val="000000"/>
                <w:sz w:val="24"/>
              </w:rPr>
              <w:t>人力资源和社会保障</w:t>
            </w:r>
            <w:r w:rsidRPr="00A14615">
              <w:rPr>
                <w:rFonts w:hint="eastAsia"/>
                <w:color w:val="000000"/>
                <w:sz w:val="24"/>
              </w:rPr>
              <w:t>局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83" w:rsidRPr="00A14615" w:rsidRDefault="00061C83" w:rsidP="00C06E4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14615">
              <w:rPr>
                <w:rFonts w:hint="eastAsia"/>
                <w:color w:val="000000"/>
                <w:sz w:val="24"/>
              </w:rPr>
              <w:t>南京市浦口区中等专业学校</w:t>
            </w:r>
          </w:p>
        </w:tc>
      </w:tr>
      <w:tr w:rsidR="00061C83" w:rsidRPr="00BD67B2" w:rsidTr="00C06E44">
        <w:trPr>
          <w:cantSplit/>
          <w:trHeight w:val="567"/>
          <w:jc w:val="center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61C83" w:rsidRPr="006F632C" w:rsidRDefault="00061C83" w:rsidP="00C06E44">
            <w:pPr>
              <w:jc w:val="center"/>
              <w:rPr>
                <w:rFonts w:hint="eastAsia"/>
                <w:szCs w:val="21"/>
              </w:rPr>
            </w:pPr>
            <w:r w:rsidRPr="006F632C">
              <w:rPr>
                <w:rFonts w:hint="eastAsia"/>
                <w:szCs w:val="21"/>
              </w:rPr>
              <w:t>3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Pr="00A14615" w:rsidRDefault="00061C83" w:rsidP="00C06E4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14615">
              <w:rPr>
                <w:rFonts w:hint="eastAsia"/>
                <w:color w:val="000000"/>
                <w:sz w:val="24"/>
              </w:rPr>
              <w:t>高淳区</w:t>
            </w:r>
            <w:r>
              <w:rPr>
                <w:rFonts w:hint="eastAsia"/>
                <w:color w:val="000000"/>
                <w:sz w:val="24"/>
              </w:rPr>
              <w:t>人力资源和社会保障</w:t>
            </w:r>
            <w:r w:rsidRPr="00A14615">
              <w:rPr>
                <w:rFonts w:hint="eastAsia"/>
                <w:color w:val="000000"/>
                <w:sz w:val="24"/>
              </w:rPr>
              <w:t>局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83" w:rsidRPr="00A14615" w:rsidRDefault="00061C83" w:rsidP="00C06E4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14615">
              <w:rPr>
                <w:rFonts w:hint="eastAsia"/>
                <w:color w:val="000000"/>
                <w:sz w:val="24"/>
              </w:rPr>
              <w:t>南京机电职业技术学院</w:t>
            </w:r>
          </w:p>
        </w:tc>
      </w:tr>
      <w:tr w:rsidR="00061C83" w:rsidRPr="00BD67B2" w:rsidTr="00C06E44">
        <w:trPr>
          <w:cantSplit/>
          <w:trHeight w:val="567"/>
          <w:jc w:val="center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61C83" w:rsidRPr="006F632C" w:rsidRDefault="00061C83" w:rsidP="00C06E44">
            <w:pPr>
              <w:jc w:val="center"/>
              <w:rPr>
                <w:rFonts w:ascii="宋体" w:hAnsi="宋体" w:cs="宋体"/>
                <w:szCs w:val="21"/>
              </w:rPr>
            </w:pPr>
            <w:r w:rsidRPr="006F632C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Pr="00A14615" w:rsidRDefault="00061C83" w:rsidP="00C06E44">
            <w:pPr>
              <w:jc w:val="center"/>
              <w:rPr>
                <w:rFonts w:hint="eastAsia"/>
                <w:sz w:val="24"/>
              </w:rPr>
            </w:pPr>
            <w:r w:rsidRPr="00A14615">
              <w:rPr>
                <w:rFonts w:hint="eastAsia"/>
                <w:sz w:val="24"/>
              </w:rPr>
              <w:t>秦淮区</w:t>
            </w:r>
            <w:r>
              <w:rPr>
                <w:rFonts w:hint="eastAsia"/>
                <w:color w:val="000000"/>
                <w:sz w:val="24"/>
              </w:rPr>
              <w:t>人力资源和社会保障</w:t>
            </w:r>
            <w:r w:rsidRPr="00A14615">
              <w:rPr>
                <w:rFonts w:hint="eastAsia"/>
                <w:color w:val="000000"/>
                <w:sz w:val="24"/>
              </w:rPr>
              <w:t>局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83" w:rsidRPr="00A14615" w:rsidRDefault="00061C83" w:rsidP="00C06E4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14615">
              <w:rPr>
                <w:rFonts w:hint="eastAsia"/>
                <w:color w:val="000000"/>
                <w:sz w:val="24"/>
              </w:rPr>
              <w:t>南京金陵高等职业技术学校</w:t>
            </w:r>
          </w:p>
        </w:tc>
      </w:tr>
      <w:tr w:rsidR="00061C83" w:rsidRPr="00BD67B2" w:rsidTr="00C06E44">
        <w:trPr>
          <w:cantSplit/>
          <w:trHeight w:val="567"/>
          <w:jc w:val="center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61C83" w:rsidRPr="006F632C" w:rsidRDefault="00061C83" w:rsidP="00C06E44">
            <w:pPr>
              <w:jc w:val="center"/>
              <w:rPr>
                <w:rFonts w:ascii="宋体" w:hAnsi="宋体" w:cs="宋体"/>
                <w:szCs w:val="21"/>
              </w:rPr>
            </w:pPr>
            <w:r w:rsidRPr="006F632C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Pr="00A14615" w:rsidRDefault="00061C83" w:rsidP="00C06E4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14615">
              <w:rPr>
                <w:rFonts w:hint="eastAsia"/>
                <w:color w:val="000000"/>
                <w:sz w:val="24"/>
              </w:rPr>
              <w:t>江北新区教育和</w:t>
            </w:r>
            <w:r>
              <w:rPr>
                <w:rFonts w:hint="eastAsia"/>
                <w:color w:val="000000"/>
                <w:sz w:val="24"/>
              </w:rPr>
              <w:t>社会保障</w:t>
            </w:r>
            <w:r w:rsidRPr="00A14615">
              <w:rPr>
                <w:rFonts w:hint="eastAsia"/>
                <w:color w:val="000000"/>
                <w:sz w:val="24"/>
              </w:rPr>
              <w:t>局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83" w:rsidRPr="00A14615" w:rsidRDefault="00061C83" w:rsidP="00C06E4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14615">
              <w:rPr>
                <w:rFonts w:hint="eastAsia"/>
                <w:color w:val="000000"/>
                <w:sz w:val="24"/>
              </w:rPr>
              <w:t>南京钢铁股份有限公司</w:t>
            </w:r>
          </w:p>
        </w:tc>
      </w:tr>
    </w:tbl>
    <w:p w:rsidR="00061C83" w:rsidRDefault="00061C83" w:rsidP="00061C83">
      <w:pPr>
        <w:spacing w:line="520" w:lineRule="exact"/>
        <w:jc w:val="center"/>
        <w:rPr>
          <w:rFonts w:hint="eastAsia"/>
          <w:b/>
          <w:bCs/>
          <w:sz w:val="32"/>
          <w:szCs w:val="32"/>
        </w:rPr>
      </w:pPr>
    </w:p>
    <w:p w:rsidR="00061C83" w:rsidRPr="0092640C" w:rsidRDefault="00061C83" w:rsidP="00061C83">
      <w:pPr>
        <w:rPr>
          <w:rFonts w:hint="eastAsia"/>
          <w:color w:val="000000"/>
          <w:sz w:val="30"/>
          <w:szCs w:val="30"/>
        </w:rPr>
      </w:pPr>
      <w:r w:rsidRPr="0092640C">
        <w:rPr>
          <w:rFonts w:hint="eastAsia"/>
          <w:color w:val="000000"/>
          <w:sz w:val="30"/>
          <w:szCs w:val="30"/>
        </w:rPr>
        <w:t>附件</w:t>
      </w:r>
      <w:r>
        <w:rPr>
          <w:rFonts w:hint="eastAsia"/>
          <w:color w:val="000000"/>
          <w:sz w:val="30"/>
          <w:szCs w:val="30"/>
        </w:rPr>
        <w:t>2</w:t>
      </w:r>
      <w:r w:rsidRPr="0092640C">
        <w:rPr>
          <w:rFonts w:hint="eastAsia"/>
          <w:color w:val="000000"/>
          <w:sz w:val="30"/>
          <w:szCs w:val="30"/>
        </w:rPr>
        <w:t>：</w:t>
      </w:r>
    </w:p>
    <w:p w:rsidR="00061C83" w:rsidRPr="00D6432C" w:rsidRDefault="00061C83" w:rsidP="00061C83">
      <w:pPr>
        <w:jc w:val="center"/>
        <w:rPr>
          <w:b/>
          <w:bCs/>
          <w:sz w:val="36"/>
          <w:szCs w:val="36"/>
        </w:rPr>
      </w:pPr>
      <w:r w:rsidRPr="003657A6">
        <w:rPr>
          <w:rFonts w:hint="eastAsia"/>
          <w:b/>
          <w:bCs/>
          <w:sz w:val="36"/>
          <w:szCs w:val="36"/>
        </w:rPr>
        <w:t>2023</w:t>
      </w:r>
      <w:r w:rsidRPr="003657A6">
        <w:rPr>
          <w:rFonts w:hint="eastAsia"/>
          <w:b/>
          <w:bCs/>
          <w:sz w:val="36"/>
          <w:szCs w:val="36"/>
        </w:rPr>
        <w:t>年南京市技能大师工作室重点攻关项目候选单位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2378"/>
        <w:gridCol w:w="2268"/>
        <w:gridCol w:w="3575"/>
      </w:tblGrid>
      <w:tr w:rsidR="00061C83" w:rsidRPr="00BD67B2" w:rsidTr="00C06E44">
        <w:trPr>
          <w:cantSplit/>
          <w:trHeight w:val="567"/>
          <w:jc w:val="center"/>
        </w:trPr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061C83" w:rsidRPr="00CB0109" w:rsidRDefault="00061C83" w:rsidP="00C06E44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CB0109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061C83" w:rsidRPr="00CB0109" w:rsidRDefault="00061C83" w:rsidP="00C06E44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CB0109">
              <w:rPr>
                <w:rFonts w:ascii="宋体" w:hAnsi="宋体" w:hint="eastAsia"/>
                <w:b/>
                <w:sz w:val="24"/>
              </w:rPr>
              <w:t>申报单位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61C83" w:rsidRPr="00CB0109" w:rsidRDefault="00061C83" w:rsidP="00C06E44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CB0109">
              <w:rPr>
                <w:rFonts w:ascii="宋体" w:hAnsi="宋体" w:hint="eastAsia"/>
                <w:b/>
                <w:sz w:val="24"/>
              </w:rPr>
              <w:t>所属大师工作室</w:t>
            </w:r>
          </w:p>
        </w:tc>
        <w:tc>
          <w:tcPr>
            <w:tcW w:w="3575" w:type="dxa"/>
            <w:tcBorders>
              <w:bottom w:val="single" w:sz="4" w:space="0" w:color="auto"/>
            </w:tcBorders>
            <w:vAlign w:val="center"/>
          </w:tcPr>
          <w:p w:rsidR="00061C83" w:rsidRPr="00CB0109" w:rsidRDefault="00061C83" w:rsidP="00C06E44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CB0109">
              <w:rPr>
                <w:rFonts w:ascii="宋体" w:hAnsi="宋体" w:cs="宋体" w:hint="eastAsia"/>
                <w:b/>
                <w:sz w:val="24"/>
              </w:rPr>
              <w:t>项目名称</w:t>
            </w:r>
          </w:p>
        </w:tc>
      </w:tr>
      <w:tr w:rsidR="00061C83" w:rsidRPr="00BD67B2" w:rsidTr="00C06E44">
        <w:trPr>
          <w:cantSplit/>
          <w:trHeight w:val="56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Pr="00CB0109" w:rsidRDefault="00061C83" w:rsidP="00C06E44">
            <w:pPr>
              <w:jc w:val="center"/>
              <w:rPr>
                <w:rFonts w:ascii="宋体" w:hAnsi="宋体" w:cs="宋体"/>
                <w:sz w:val="24"/>
              </w:rPr>
            </w:pPr>
            <w:r w:rsidRPr="00CB0109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航天晨光股份有限公司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秦文京技能大师工作室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模型化教学平台及项目式行动导向教学攻关</w:t>
            </w:r>
          </w:p>
        </w:tc>
      </w:tr>
      <w:tr w:rsidR="00061C83" w:rsidRPr="00BD67B2" w:rsidTr="00C06E44">
        <w:trPr>
          <w:cantSplit/>
          <w:trHeight w:val="56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Pr="00CB0109" w:rsidRDefault="00061C83" w:rsidP="00C06E44">
            <w:pPr>
              <w:jc w:val="center"/>
              <w:rPr>
                <w:rFonts w:ascii="宋体" w:hAnsi="宋体" w:cs="宋体"/>
                <w:sz w:val="24"/>
              </w:rPr>
            </w:pPr>
            <w:r w:rsidRPr="00CB0109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中国电科第十四研究所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胡胜技能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大师工作室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特种装备总装提效攻关</w:t>
            </w:r>
          </w:p>
        </w:tc>
      </w:tr>
      <w:tr w:rsidR="00061C83" w:rsidRPr="00BD67B2" w:rsidTr="00C06E44">
        <w:trPr>
          <w:cantSplit/>
          <w:trHeight w:val="56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Pr="00CB0109" w:rsidRDefault="00061C83" w:rsidP="00C06E44">
            <w:pPr>
              <w:jc w:val="center"/>
              <w:rPr>
                <w:rFonts w:ascii="宋体" w:hAnsi="宋体" w:cs="宋体"/>
                <w:sz w:val="24"/>
              </w:rPr>
            </w:pPr>
            <w:r w:rsidRPr="00CB0109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南京熊猫汉达科技有限公司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傅祥技能大师工作室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通信天线装配设备及工装设计</w:t>
            </w:r>
          </w:p>
        </w:tc>
      </w:tr>
      <w:tr w:rsidR="00061C83" w:rsidRPr="00BD67B2" w:rsidTr="00C06E44">
        <w:trPr>
          <w:cantSplit/>
          <w:trHeight w:val="56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Pr="00CB0109" w:rsidRDefault="00061C83" w:rsidP="00C06E44">
            <w:pPr>
              <w:jc w:val="center"/>
              <w:rPr>
                <w:rFonts w:ascii="宋体" w:hAnsi="宋体" w:cs="宋体"/>
                <w:sz w:val="24"/>
              </w:rPr>
            </w:pPr>
            <w:r w:rsidRPr="00CB0109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南京熊猫电子制造有限公司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冯恩忠技能大师工作室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新能源柔性电路板的自动化生产</w:t>
            </w:r>
          </w:p>
        </w:tc>
      </w:tr>
      <w:tr w:rsidR="00061C83" w:rsidRPr="00BD67B2" w:rsidTr="00C06E44">
        <w:trPr>
          <w:cantSplit/>
          <w:trHeight w:val="567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Pr="00CB0109" w:rsidRDefault="00061C83" w:rsidP="00C06E44">
            <w:pPr>
              <w:jc w:val="center"/>
              <w:rPr>
                <w:rFonts w:ascii="宋体" w:hAnsi="宋体" w:cs="宋体"/>
                <w:sz w:val="24"/>
              </w:rPr>
            </w:pPr>
            <w:r w:rsidRPr="00CB0109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南京供电公司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吕立翔技能大师工作室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电力电缆模块化可拓展智能接地箱</w:t>
            </w:r>
          </w:p>
        </w:tc>
      </w:tr>
      <w:tr w:rsidR="00061C83" w:rsidRPr="00BD67B2" w:rsidTr="00C06E44">
        <w:trPr>
          <w:cantSplit/>
          <w:trHeight w:val="567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Pr="00CB0109" w:rsidRDefault="00061C83" w:rsidP="00C06E44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CB0109"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南京钢铁股份有限公司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黄龙技能大师工作室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坯连续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淬火提高镍系钢交付能力</w:t>
            </w:r>
          </w:p>
        </w:tc>
      </w:tr>
      <w:tr w:rsidR="00061C83" w:rsidRPr="00BD67B2" w:rsidTr="00C06E44">
        <w:trPr>
          <w:cantSplit/>
          <w:trHeight w:val="567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Pr="00CB0109" w:rsidRDefault="00061C83" w:rsidP="00C06E44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CB0109"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南京钢铁股份有限公司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张红军技能大师工作室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镍系钢提质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降本</w:t>
            </w:r>
          </w:p>
        </w:tc>
      </w:tr>
      <w:tr w:rsidR="00061C83" w:rsidRPr="00BD67B2" w:rsidTr="00C06E44">
        <w:trPr>
          <w:cantSplit/>
          <w:trHeight w:val="567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Pr="00CB0109" w:rsidRDefault="00061C83" w:rsidP="00C06E44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CB0109"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金城集团有限公司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董钢技能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大师工作室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压铸模具挤压技术研究应用</w:t>
            </w:r>
          </w:p>
        </w:tc>
      </w:tr>
      <w:tr w:rsidR="00061C83" w:rsidRPr="00BD67B2" w:rsidTr="00C06E44">
        <w:trPr>
          <w:cantSplit/>
          <w:trHeight w:val="567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Pr="00CB0109" w:rsidRDefault="00061C83" w:rsidP="00C06E44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CB0109"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中国能源建设集团江苏省电力建设第一工程有限公司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蒋国颂技能大师工作室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spacing w:line="2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全位置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TIG</w:t>
            </w:r>
            <w:r>
              <w:rPr>
                <w:rFonts w:hint="eastAsia"/>
                <w:color w:val="000000"/>
                <w:sz w:val="18"/>
                <w:szCs w:val="18"/>
              </w:rPr>
              <w:t>自动氩弧焊在火力发电厂超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超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临界机组不锈钢仪表管安装工程中的研究应用</w:t>
            </w:r>
          </w:p>
        </w:tc>
      </w:tr>
      <w:tr w:rsidR="00061C83" w:rsidRPr="00BD67B2" w:rsidTr="00C06E44">
        <w:trPr>
          <w:cantSplit/>
          <w:trHeight w:val="567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Pr="00CB0109" w:rsidRDefault="00061C83" w:rsidP="00C06E44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CB0109">
              <w:rPr>
                <w:rFonts w:ascii="宋体" w:hAnsi="宋体" w:cs="宋体" w:hint="eastAsia"/>
                <w:sz w:val="24"/>
              </w:rPr>
              <w:t>1</w:t>
            </w:r>
            <w:r w:rsidRPr="00CB0109"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南京交通技师学院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王薇技能大师工作室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83" w:rsidRDefault="00061C83" w:rsidP="00C06E44"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构建南京市技工院校教师职业能力培训体系</w:t>
            </w:r>
          </w:p>
        </w:tc>
      </w:tr>
    </w:tbl>
    <w:p w:rsidR="00061C83" w:rsidRDefault="00061C83" w:rsidP="00061C83">
      <w:pPr>
        <w:spacing w:line="520" w:lineRule="exact"/>
        <w:rPr>
          <w:rFonts w:hint="eastAsia"/>
          <w:color w:val="FF0000"/>
          <w:sz w:val="30"/>
          <w:szCs w:val="30"/>
        </w:rPr>
      </w:pPr>
    </w:p>
    <w:p w:rsidR="00F177A5" w:rsidRPr="00061C83" w:rsidRDefault="00F177A5"/>
    <w:sectPr w:rsidR="00F177A5" w:rsidRPr="00061C83" w:rsidSect="00E77BD5">
      <w:footerReference w:type="even" r:id="rId6"/>
      <w:footerReference w:type="default" r:id="rId7"/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C83" w:rsidRDefault="00061C83" w:rsidP="00061C83">
      <w:r>
        <w:separator/>
      </w:r>
    </w:p>
  </w:endnote>
  <w:endnote w:type="continuationSeparator" w:id="0">
    <w:p w:rsidR="00061C83" w:rsidRDefault="00061C83" w:rsidP="00061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4B" w:rsidRDefault="00061C83" w:rsidP="00EB0A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24B" w:rsidRDefault="00061C8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4B" w:rsidRPr="005370FC" w:rsidRDefault="00061C83" w:rsidP="00EB0AF7">
    <w:pPr>
      <w:pStyle w:val="a4"/>
      <w:framePr w:wrap="around" w:vAnchor="text" w:hAnchor="margin" w:xAlign="center" w:y="1"/>
      <w:rPr>
        <w:rStyle w:val="a5"/>
        <w:rFonts w:hint="eastAsia"/>
        <w:sz w:val="28"/>
        <w:szCs w:val="28"/>
      </w:rPr>
    </w:pPr>
    <w:r w:rsidRPr="005370FC">
      <w:rPr>
        <w:rStyle w:val="a5"/>
        <w:rFonts w:hint="eastAsia"/>
        <w:sz w:val="28"/>
        <w:szCs w:val="28"/>
      </w:rPr>
      <w:t>—</w:t>
    </w:r>
    <w:r w:rsidRPr="005370FC">
      <w:rPr>
        <w:rStyle w:val="a5"/>
        <w:rFonts w:hint="eastAsia"/>
        <w:sz w:val="28"/>
        <w:szCs w:val="28"/>
      </w:rPr>
      <w:t xml:space="preserve"> </w:t>
    </w:r>
    <w:r w:rsidRPr="005370FC">
      <w:rPr>
        <w:rStyle w:val="a5"/>
        <w:sz w:val="28"/>
        <w:szCs w:val="28"/>
      </w:rPr>
      <w:fldChar w:fldCharType="begin"/>
    </w:r>
    <w:r w:rsidRPr="005370FC">
      <w:rPr>
        <w:rStyle w:val="a5"/>
        <w:sz w:val="28"/>
        <w:szCs w:val="28"/>
      </w:rPr>
      <w:instrText xml:space="preserve">PAGE  </w:instrText>
    </w:r>
    <w:r w:rsidRPr="005370FC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5370FC">
      <w:rPr>
        <w:rStyle w:val="a5"/>
        <w:sz w:val="28"/>
        <w:szCs w:val="28"/>
      </w:rPr>
      <w:fldChar w:fldCharType="end"/>
    </w:r>
    <w:r w:rsidRPr="005370FC">
      <w:rPr>
        <w:rStyle w:val="a5"/>
        <w:rFonts w:hint="eastAsia"/>
        <w:sz w:val="28"/>
        <w:szCs w:val="28"/>
      </w:rPr>
      <w:t xml:space="preserve"> </w:t>
    </w:r>
    <w:r w:rsidRPr="005370FC">
      <w:rPr>
        <w:rStyle w:val="a5"/>
        <w:rFonts w:hint="eastAsia"/>
        <w:sz w:val="28"/>
        <w:szCs w:val="28"/>
      </w:rPr>
      <w:t>—</w:t>
    </w:r>
  </w:p>
  <w:p w:rsidR="0040224B" w:rsidRDefault="00061C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C83" w:rsidRDefault="00061C83" w:rsidP="00061C83">
      <w:r>
        <w:separator/>
      </w:r>
    </w:p>
  </w:footnote>
  <w:footnote w:type="continuationSeparator" w:id="0">
    <w:p w:rsidR="00061C83" w:rsidRDefault="00061C83" w:rsidP="00061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C83"/>
    <w:rsid w:val="00061C83"/>
    <w:rsid w:val="00DC3E42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C83"/>
    <w:rPr>
      <w:sz w:val="18"/>
      <w:szCs w:val="18"/>
    </w:rPr>
  </w:style>
  <w:style w:type="paragraph" w:styleId="a4">
    <w:name w:val="footer"/>
    <w:basedOn w:val="a"/>
    <w:link w:val="Char0"/>
    <w:unhideWhenUsed/>
    <w:rsid w:val="00061C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C83"/>
    <w:rPr>
      <w:sz w:val="18"/>
      <w:szCs w:val="18"/>
    </w:rPr>
  </w:style>
  <w:style w:type="character" w:styleId="a5">
    <w:name w:val="page number"/>
    <w:basedOn w:val="a0"/>
    <w:rsid w:val="00061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2023-12-13T07:39:00Z</dcterms:created>
  <dcterms:modified xsi:type="dcterms:W3CDTF">2023-12-13T07:39:00Z</dcterms:modified>
</cp:coreProperties>
</file>