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03.120.20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 00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14"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     </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长江三角洲区域</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h="1280" w:hRule="exact" w:y="2884"/>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framePr w:h="1280" w:hRule="exact" w:y="2884"/>
        <w:rPr>
          <w:rFonts w:ascii="黑体" w:hAnsi="Times New Roman" w:eastAsia="黑体" w:cs="Times New Roman"/>
          <w:bCs/>
          <w:sz w:val="28"/>
          <w:szCs w:val="28"/>
          <w:lang w:val="fr-FR" w:eastAsia="zh-CN" w:bidi="ar-SA"/>
        </w:rPr>
      </w:pPr>
      <w:r>
        <w:rPr>
          <w:rFonts w:ascii="黑体" w:hAnsi="Times New Roman" w:eastAsia="黑体" w:cs="Times New Roman"/>
          <w:bCs/>
          <w:sz w:val="28"/>
          <w:szCs w:val="28"/>
          <w:lang w:val="fr-FR" w:eastAsia="zh-CN" w:bidi="ar-SA"/>
        </w:rPr>
        <w:t>DB</w:t>
      </w:r>
      <w:r>
        <w:rPr>
          <w:rFonts w:ascii="黑体" w:hAnsi="Times New Roman" w:eastAsia="黑体" w:cs="Times New Roman"/>
          <w:bCs/>
          <w:sz w:val="15"/>
          <w:szCs w:val="15"/>
          <w:lang w:val="fr-FR" w:eastAsia="zh-CN" w:bidi="ar-SA"/>
        </w:rPr>
        <w:t xml:space="preserve"> </w:t>
      </w:r>
      <w:r>
        <w:rPr>
          <w:rFonts w:ascii="黑体" w:hAnsi="Times New Roman" w:eastAsia="黑体" w:cs="Times New Roman"/>
          <w:bCs/>
          <w:sz w:val="28"/>
          <w:szCs w:val="28"/>
          <w:lang w:val="fr-FR" w:eastAsia="zh-CN" w:bidi="ar-SA"/>
        </w:rPr>
        <w:fldChar w:fldCharType="begin">
          <w:ffData>
            <w:name w:val="文字1"/>
            <w:enabled/>
            <w:calcOnExit w:val="0"/>
            <w:textInput>
              <w:default w:val="XX/T"/>
            </w:textInput>
          </w:ffData>
        </w:fldChar>
      </w:r>
      <w:r>
        <w:rPr>
          <w:rFonts w:ascii="黑体" w:hAnsi="Times New Roman" w:eastAsia="黑体" w:cs="Times New Roman"/>
          <w:bCs/>
          <w:sz w:val="28"/>
          <w:szCs w:val="28"/>
          <w:lang w:val="fr-FR" w:eastAsia="zh-CN" w:bidi="ar-SA"/>
        </w:rPr>
        <w:instrText xml:space="preserve"> FORMTEXT </w:instrText>
      </w:r>
      <w:r>
        <w:rPr>
          <w:rFonts w:ascii="黑体" w:hAnsi="Times New Roman" w:eastAsia="黑体" w:cs="Times New Roman"/>
          <w:bCs/>
          <w:sz w:val="28"/>
          <w:szCs w:val="28"/>
          <w:lang w:val="fr-FR" w:eastAsia="zh-CN" w:bidi="ar-SA"/>
        </w:rPr>
        <w:fldChar w:fldCharType="separate"/>
      </w:r>
      <w:r>
        <w:rPr>
          <w:rFonts w:ascii="黑体" w:hAnsi="Times New Roman" w:eastAsia="黑体" w:cs="Times New Roman"/>
          <w:bCs/>
          <w:sz w:val="28"/>
          <w:szCs w:val="28"/>
          <w:lang w:val="fr-FR" w:eastAsia="zh-CN" w:bidi="ar-SA"/>
        </w:rPr>
        <w:t>XX/T</w:t>
      </w:r>
      <w:r>
        <w:rPr>
          <w:rFonts w:ascii="黑体" w:hAnsi="Times New Roman" w:eastAsia="黑体" w:cs="Times New Roman"/>
          <w:bCs/>
          <w:sz w:val="28"/>
          <w:szCs w:val="28"/>
          <w:lang w:val="fr-FR" w:eastAsia="zh-CN" w:bidi="ar-SA"/>
        </w:rPr>
        <w:fldChar w:fldCharType="end"/>
      </w:r>
      <w:r>
        <w:rPr>
          <w:rFonts w:ascii="黑体" w:hAnsi="Times New Roman" w:eastAsia="黑体" w:cs="Times New Roman"/>
          <w:bCs/>
          <w:sz w:val="28"/>
          <w:szCs w:val="28"/>
          <w:lang w:val="fr-FR" w:eastAsia="zh-CN" w:bidi="ar-SA"/>
        </w:rPr>
        <w:t xml:space="preserve"> </w:t>
      </w:r>
      <w:r>
        <w:rPr>
          <w:rFonts w:ascii="黑体" w:hAnsi="Times New Roman" w:eastAsia="黑体" w:cs="Times New Roman"/>
          <w:bCs/>
          <w:sz w:val="28"/>
          <w:szCs w:val="28"/>
          <w:lang w:val="fr-FR" w:eastAsia="zh-CN" w:bidi="ar-SA"/>
        </w:rPr>
        <w:fldChar w:fldCharType="begin">
          <w:ffData>
            <w:name w:val="NSTD_CODE_F"/>
            <w:enabled/>
            <w:calcOnExit w:val="0"/>
            <w:textInput>
              <w:default w:val="XXXX"/>
            </w:textInput>
          </w:ffData>
        </w:fldChar>
      </w:r>
      <w:r>
        <w:rPr>
          <w:rFonts w:ascii="黑体" w:hAnsi="Times New Roman" w:eastAsia="黑体" w:cs="Times New Roman"/>
          <w:bCs/>
          <w:sz w:val="28"/>
          <w:szCs w:val="28"/>
          <w:lang w:val="fr-FR" w:eastAsia="zh-CN" w:bidi="ar-SA"/>
        </w:rPr>
        <w:instrText xml:space="preserve"> FORMTEXT </w:instrText>
      </w:r>
      <w:r>
        <w:rPr>
          <w:rFonts w:ascii="黑体" w:hAnsi="Times New Roman" w:eastAsia="黑体" w:cs="Times New Roman"/>
          <w:bCs/>
          <w:sz w:val="28"/>
          <w:szCs w:val="28"/>
          <w:lang w:val="fr-FR" w:eastAsia="zh-CN" w:bidi="ar-SA"/>
        </w:rPr>
        <w:fldChar w:fldCharType="separate"/>
      </w:r>
      <w:r>
        <w:rPr>
          <w:rFonts w:ascii="黑体" w:hAnsi="Times New Roman" w:eastAsia="黑体" w:cs="Times New Roman"/>
          <w:bCs/>
          <w:sz w:val="28"/>
          <w:szCs w:val="28"/>
          <w:lang w:val="fr-FR" w:eastAsia="zh-CN" w:bidi="ar-SA"/>
        </w:rPr>
        <w:t>XXXX</w:t>
      </w:r>
      <w:r>
        <w:rPr>
          <w:rFonts w:ascii="黑体" w:hAnsi="Times New Roman" w:eastAsia="黑体" w:cs="Times New Roman"/>
          <w:bCs/>
          <w:sz w:val="28"/>
          <w:szCs w:val="28"/>
          <w:lang w:val="fr-FR" w:eastAsia="zh-CN" w:bidi="ar-SA"/>
        </w:rPr>
        <w:fldChar w:fldCharType="end"/>
      </w:r>
      <w:r>
        <w:rPr>
          <w:rFonts w:ascii="黑体" w:hAnsi="Times New Roman" w:eastAsia="黑体" w:cs="Times New Roman"/>
          <w:bCs/>
          <w:sz w:val="28"/>
          <w:szCs w:val="28"/>
          <w:lang w:val="fr-FR" w:eastAsia="zh-CN" w:bidi="ar-SA"/>
        </w:rPr>
        <w:t>—</w:t>
      </w:r>
      <w:r>
        <w:rPr>
          <w:rFonts w:ascii="黑体" w:hAnsi="Times New Roman" w:eastAsia="黑体" w:cs="Times New Roman"/>
          <w:bCs/>
          <w:sz w:val="28"/>
          <w:szCs w:val="28"/>
          <w:lang w:val="fr-FR" w:eastAsia="zh-CN" w:bidi="ar-SA"/>
        </w:rPr>
        <w:fldChar w:fldCharType="begin">
          <w:ffData>
            <w:name w:val="NSTD_CODE_B"/>
            <w:enabled/>
            <w:calcOnExit w:val="0"/>
            <w:textInput>
              <w:default w:val="XXXX"/>
            </w:textInput>
          </w:ffData>
        </w:fldChar>
      </w:r>
      <w:r>
        <w:rPr>
          <w:rFonts w:ascii="黑体" w:hAnsi="Times New Roman" w:eastAsia="黑体" w:cs="Times New Roman"/>
          <w:bCs/>
          <w:sz w:val="28"/>
          <w:szCs w:val="28"/>
          <w:lang w:val="fr-FR" w:eastAsia="zh-CN" w:bidi="ar-SA"/>
        </w:rPr>
        <w:instrText xml:space="preserve"> FORMTEXT </w:instrText>
      </w:r>
      <w:r>
        <w:rPr>
          <w:rFonts w:ascii="黑体" w:hAnsi="Times New Roman" w:eastAsia="黑体" w:cs="Times New Roman"/>
          <w:bCs/>
          <w:sz w:val="28"/>
          <w:szCs w:val="28"/>
          <w:lang w:val="fr-FR" w:eastAsia="zh-CN" w:bidi="ar-SA"/>
        </w:rPr>
        <w:fldChar w:fldCharType="separate"/>
      </w:r>
      <w:r>
        <w:rPr>
          <w:rFonts w:ascii="黑体" w:hAnsi="Times New Roman" w:eastAsia="黑体" w:cs="Times New Roman"/>
          <w:bCs/>
          <w:sz w:val="28"/>
          <w:szCs w:val="28"/>
          <w:lang w:val="fr-FR" w:eastAsia="zh-CN" w:bidi="ar-SA"/>
        </w:rPr>
        <w:t>XXXX</w:t>
      </w:r>
      <w:r>
        <w:rPr>
          <w:rFonts w:ascii="黑体" w:hAnsi="Times New Roman" w:eastAsia="黑体" w:cs="Times New Roman"/>
          <w:bCs/>
          <w:sz w:val="28"/>
          <w:szCs w:val="28"/>
          <w:lang w:val="fr-FR" w:eastAsia="zh-CN" w:bidi="ar-SA"/>
        </w:rPr>
        <w:fldChar w:fldCharType="end"/>
      </w:r>
    </w:p>
    <w:p>
      <w:pPr>
        <w:pStyle w:val="196"/>
        <w:framePr w:h="1280" w:hRule="exact" w:y="2884"/>
        <w:wordWrap/>
        <w:rPr>
          <w:rFonts w:ascii="黑体" w:hAnsi="Times New Roman" w:eastAsia="黑体" w:cs="Times New Roman"/>
          <w:bCs/>
          <w:sz w:val="28"/>
          <w:szCs w:val="28"/>
          <w:lang w:val="fr-FR" w:eastAsia="zh-CN" w:bidi="ar-SA"/>
        </w:rPr>
      </w:pPr>
      <w:r>
        <w:rPr>
          <w:rFonts w:ascii="黑体" w:hAnsi="Times New Roman" w:eastAsia="黑体" w:cs="Times New Roman"/>
          <w:bCs/>
          <w:sz w:val="28"/>
          <w:szCs w:val="28"/>
          <w:lang w:val="fr-FR" w:eastAsia="zh-CN" w:bidi="ar-SA"/>
        </w:rPr>
        <w:t>DB</w:t>
      </w:r>
      <w:r>
        <w:rPr>
          <w:rFonts w:ascii="黑体" w:hAnsi="Times New Roman" w:eastAsia="黑体" w:cs="Times New Roman"/>
          <w:bCs/>
          <w:sz w:val="15"/>
          <w:szCs w:val="15"/>
          <w:lang w:val="fr-FR" w:eastAsia="zh-CN" w:bidi="ar-SA"/>
        </w:rPr>
        <w:t xml:space="preserve"> </w:t>
      </w:r>
      <w:r>
        <w:rPr>
          <w:rFonts w:ascii="黑体" w:hAnsi="Times New Roman" w:eastAsia="黑体" w:cs="Times New Roman"/>
          <w:bCs/>
          <w:sz w:val="28"/>
          <w:szCs w:val="28"/>
          <w:lang w:val="fr-FR" w:eastAsia="zh-CN" w:bidi="ar-SA"/>
        </w:rPr>
        <w:fldChar w:fldCharType="begin">
          <w:ffData>
            <w:name w:val="文字1"/>
            <w:enabled/>
            <w:calcOnExit w:val="0"/>
            <w:textInput>
              <w:default w:val="XX/T"/>
            </w:textInput>
          </w:ffData>
        </w:fldChar>
      </w:r>
      <w:r>
        <w:rPr>
          <w:rFonts w:ascii="黑体" w:hAnsi="Times New Roman" w:eastAsia="黑体" w:cs="Times New Roman"/>
          <w:bCs/>
          <w:sz w:val="28"/>
          <w:szCs w:val="28"/>
          <w:lang w:val="fr-FR" w:eastAsia="zh-CN" w:bidi="ar-SA"/>
        </w:rPr>
        <w:instrText xml:space="preserve"> FORMTEXT </w:instrText>
      </w:r>
      <w:r>
        <w:rPr>
          <w:rFonts w:ascii="黑体" w:hAnsi="Times New Roman" w:eastAsia="黑体" w:cs="Times New Roman"/>
          <w:bCs/>
          <w:sz w:val="28"/>
          <w:szCs w:val="28"/>
          <w:lang w:val="fr-FR" w:eastAsia="zh-CN" w:bidi="ar-SA"/>
        </w:rPr>
        <w:fldChar w:fldCharType="separate"/>
      </w:r>
      <w:r>
        <w:rPr>
          <w:rFonts w:ascii="黑体" w:hAnsi="Times New Roman" w:eastAsia="黑体" w:cs="Times New Roman"/>
          <w:bCs/>
          <w:sz w:val="28"/>
          <w:szCs w:val="28"/>
          <w:lang w:val="fr-FR" w:eastAsia="zh-CN" w:bidi="ar-SA"/>
        </w:rPr>
        <w:t>XX/T</w:t>
      </w:r>
      <w:r>
        <w:rPr>
          <w:rFonts w:ascii="黑体" w:hAnsi="Times New Roman" w:eastAsia="黑体" w:cs="Times New Roman"/>
          <w:bCs/>
          <w:sz w:val="28"/>
          <w:szCs w:val="28"/>
          <w:lang w:val="fr-FR" w:eastAsia="zh-CN" w:bidi="ar-SA"/>
        </w:rPr>
        <w:fldChar w:fldCharType="end"/>
      </w:r>
      <w:r>
        <w:rPr>
          <w:rFonts w:ascii="黑体" w:hAnsi="Times New Roman" w:eastAsia="黑体" w:cs="Times New Roman"/>
          <w:bCs/>
          <w:sz w:val="28"/>
          <w:szCs w:val="28"/>
          <w:lang w:val="fr-FR" w:eastAsia="zh-CN" w:bidi="ar-SA"/>
        </w:rPr>
        <w:t xml:space="preserve"> </w:t>
      </w:r>
      <w:r>
        <w:rPr>
          <w:rFonts w:ascii="黑体" w:hAnsi="Times New Roman" w:eastAsia="黑体" w:cs="Times New Roman"/>
          <w:bCs/>
          <w:sz w:val="28"/>
          <w:szCs w:val="28"/>
          <w:lang w:val="fr-FR" w:eastAsia="zh-CN" w:bidi="ar-SA"/>
        </w:rPr>
        <w:fldChar w:fldCharType="begin">
          <w:ffData>
            <w:name w:val="NSTD_CODE_F"/>
            <w:enabled/>
            <w:calcOnExit w:val="0"/>
            <w:textInput>
              <w:default w:val="XXXX"/>
            </w:textInput>
          </w:ffData>
        </w:fldChar>
      </w:r>
      <w:r>
        <w:rPr>
          <w:rFonts w:ascii="黑体" w:hAnsi="Times New Roman" w:eastAsia="黑体" w:cs="Times New Roman"/>
          <w:bCs/>
          <w:sz w:val="28"/>
          <w:szCs w:val="28"/>
          <w:lang w:val="fr-FR" w:eastAsia="zh-CN" w:bidi="ar-SA"/>
        </w:rPr>
        <w:instrText xml:space="preserve"> FORMTEXT </w:instrText>
      </w:r>
      <w:r>
        <w:rPr>
          <w:rFonts w:ascii="黑体" w:hAnsi="Times New Roman" w:eastAsia="黑体" w:cs="Times New Roman"/>
          <w:bCs/>
          <w:sz w:val="28"/>
          <w:szCs w:val="28"/>
          <w:lang w:val="fr-FR" w:eastAsia="zh-CN" w:bidi="ar-SA"/>
        </w:rPr>
        <w:fldChar w:fldCharType="separate"/>
      </w:r>
      <w:r>
        <w:rPr>
          <w:rFonts w:ascii="黑体" w:hAnsi="Times New Roman" w:eastAsia="黑体" w:cs="Times New Roman"/>
          <w:bCs/>
          <w:sz w:val="28"/>
          <w:szCs w:val="28"/>
          <w:lang w:val="fr-FR" w:eastAsia="zh-CN" w:bidi="ar-SA"/>
        </w:rPr>
        <w:t>XXXX</w:t>
      </w:r>
      <w:r>
        <w:rPr>
          <w:rFonts w:ascii="黑体" w:hAnsi="Times New Roman" w:eastAsia="黑体" w:cs="Times New Roman"/>
          <w:bCs/>
          <w:sz w:val="28"/>
          <w:szCs w:val="28"/>
          <w:lang w:val="fr-FR" w:eastAsia="zh-CN" w:bidi="ar-SA"/>
        </w:rPr>
        <w:fldChar w:fldCharType="end"/>
      </w:r>
      <w:r>
        <w:rPr>
          <w:rFonts w:ascii="黑体" w:hAnsi="Times New Roman" w:eastAsia="黑体" w:cs="Times New Roman"/>
          <w:bCs/>
          <w:sz w:val="28"/>
          <w:szCs w:val="28"/>
          <w:lang w:val="fr-FR" w:eastAsia="zh-CN" w:bidi="ar-SA"/>
        </w:rPr>
        <w:t>—</w:t>
      </w:r>
      <w:r>
        <w:rPr>
          <w:rFonts w:ascii="黑体" w:hAnsi="Times New Roman" w:eastAsia="黑体" w:cs="Times New Roman"/>
          <w:bCs/>
          <w:sz w:val="28"/>
          <w:szCs w:val="28"/>
          <w:lang w:val="fr-FR" w:eastAsia="zh-CN" w:bidi="ar-SA"/>
        </w:rPr>
        <w:fldChar w:fldCharType="begin">
          <w:ffData>
            <w:name w:val="NSTD_CODE_B"/>
            <w:enabled/>
            <w:calcOnExit w:val="0"/>
            <w:textInput>
              <w:default w:val="XXXX"/>
            </w:textInput>
          </w:ffData>
        </w:fldChar>
      </w:r>
      <w:r>
        <w:rPr>
          <w:rFonts w:ascii="黑体" w:hAnsi="Times New Roman" w:eastAsia="黑体" w:cs="Times New Roman"/>
          <w:bCs/>
          <w:sz w:val="28"/>
          <w:szCs w:val="28"/>
          <w:lang w:val="fr-FR" w:eastAsia="zh-CN" w:bidi="ar-SA"/>
        </w:rPr>
        <w:instrText xml:space="preserve"> FORMTEXT </w:instrText>
      </w:r>
      <w:r>
        <w:rPr>
          <w:rFonts w:ascii="黑体" w:hAnsi="Times New Roman" w:eastAsia="黑体" w:cs="Times New Roman"/>
          <w:bCs/>
          <w:sz w:val="28"/>
          <w:szCs w:val="28"/>
          <w:lang w:val="fr-FR" w:eastAsia="zh-CN" w:bidi="ar-SA"/>
        </w:rPr>
        <w:fldChar w:fldCharType="separate"/>
      </w:r>
      <w:r>
        <w:rPr>
          <w:rFonts w:ascii="黑体" w:hAnsi="Times New Roman" w:eastAsia="黑体" w:cs="Times New Roman"/>
          <w:bCs/>
          <w:sz w:val="28"/>
          <w:szCs w:val="28"/>
          <w:lang w:val="fr-FR" w:eastAsia="zh-CN" w:bidi="ar-SA"/>
        </w:rPr>
        <w:t>XXXX</w:t>
      </w:r>
      <w:r>
        <w:rPr>
          <w:rFonts w:ascii="黑体" w:hAnsi="Times New Roman" w:eastAsia="黑体" w:cs="Times New Roman"/>
          <w:bCs/>
          <w:sz w:val="28"/>
          <w:szCs w:val="28"/>
          <w:lang w:val="fr-FR" w:eastAsia="zh-CN" w:bidi="ar-SA"/>
        </w:rPr>
        <w:fldChar w:fldCharType="end"/>
      </w:r>
    </w:p>
    <w:p>
      <w:pPr>
        <w:pStyle w:val="196"/>
        <w:framePr w:h="1280" w:hRule="exact" w:y="2884"/>
        <w:wordWrap/>
        <w:rPr>
          <w:rFonts w:ascii="黑体" w:hAnsi="Times New Roman" w:eastAsia="黑体" w:cs="Times New Roman"/>
          <w:bCs/>
          <w:sz w:val="28"/>
          <w:szCs w:val="28"/>
          <w:lang w:val="fr-FR" w:eastAsia="zh-CN" w:bidi="ar-SA"/>
        </w:rPr>
      </w:pPr>
      <w:r>
        <w:rPr>
          <w:rFonts w:ascii="黑体" w:hAnsi="Times New Roman" w:eastAsia="黑体" w:cs="Times New Roman"/>
          <w:bCs/>
          <w:sz w:val="28"/>
          <w:szCs w:val="28"/>
          <w:lang w:val="fr-FR" w:eastAsia="zh-CN" w:bidi="ar-SA"/>
        </w:rPr>
        <w:t>DB</w:t>
      </w:r>
      <w:r>
        <w:rPr>
          <w:rFonts w:ascii="黑体" w:hAnsi="Times New Roman" w:eastAsia="黑体" w:cs="Times New Roman"/>
          <w:bCs/>
          <w:sz w:val="15"/>
          <w:szCs w:val="15"/>
          <w:lang w:val="fr-FR" w:eastAsia="zh-CN" w:bidi="ar-SA"/>
        </w:rPr>
        <w:t xml:space="preserve"> </w:t>
      </w:r>
      <w:r>
        <w:rPr>
          <w:rFonts w:ascii="黑体" w:hAnsi="Times New Roman" w:eastAsia="黑体" w:cs="Times New Roman"/>
          <w:bCs/>
          <w:sz w:val="28"/>
          <w:szCs w:val="28"/>
          <w:lang w:val="fr-FR" w:eastAsia="zh-CN" w:bidi="ar-SA"/>
        </w:rPr>
        <w:fldChar w:fldCharType="begin">
          <w:ffData>
            <w:name w:val="文字1"/>
            <w:enabled/>
            <w:calcOnExit w:val="0"/>
            <w:textInput>
              <w:default w:val="XX/T"/>
            </w:textInput>
          </w:ffData>
        </w:fldChar>
      </w:r>
      <w:r>
        <w:rPr>
          <w:rFonts w:ascii="黑体" w:hAnsi="Times New Roman" w:eastAsia="黑体" w:cs="Times New Roman"/>
          <w:bCs/>
          <w:sz w:val="28"/>
          <w:szCs w:val="28"/>
          <w:lang w:val="fr-FR" w:eastAsia="zh-CN" w:bidi="ar-SA"/>
        </w:rPr>
        <w:instrText xml:space="preserve"> FORMTEXT </w:instrText>
      </w:r>
      <w:r>
        <w:rPr>
          <w:rFonts w:ascii="黑体" w:hAnsi="Times New Roman" w:eastAsia="黑体" w:cs="Times New Roman"/>
          <w:bCs/>
          <w:sz w:val="28"/>
          <w:szCs w:val="28"/>
          <w:lang w:val="fr-FR" w:eastAsia="zh-CN" w:bidi="ar-SA"/>
        </w:rPr>
        <w:fldChar w:fldCharType="separate"/>
      </w:r>
      <w:r>
        <w:rPr>
          <w:rFonts w:ascii="黑体" w:hAnsi="Times New Roman" w:eastAsia="黑体" w:cs="Times New Roman"/>
          <w:bCs/>
          <w:sz w:val="28"/>
          <w:szCs w:val="28"/>
          <w:lang w:val="fr-FR" w:eastAsia="zh-CN" w:bidi="ar-SA"/>
        </w:rPr>
        <w:t>XX/T</w:t>
      </w:r>
      <w:r>
        <w:rPr>
          <w:rFonts w:ascii="黑体" w:hAnsi="Times New Roman" w:eastAsia="黑体" w:cs="Times New Roman"/>
          <w:bCs/>
          <w:sz w:val="28"/>
          <w:szCs w:val="28"/>
          <w:lang w:val="fr-FR" w:eastAsia="zh-CN" w:bidi="ar-SA"/>
        </w:rPr>
        <w:fldChar w:fldCharType="end"/>
      </w:r>
      <w:r>
        <w:rPr>
          <w:rFonts w:ascii="黑体" w:hAnsi="Times New Roman" w:eastAsia="黑体" w:cs="Times New Roman"/>
          <w:bCs/>
          <w:sz w:val="28"/>
          <w:szCs w:val="28"/>
          <w:lang w:val="fr-FR" w:eastAsia="zh-CN" w:bidi="ar-SA"/>
        </w:rPr>
        <w:t xml:space="preserve"> </w:t>
      </w:r>
      <w:r>
        <w:rPr>
          <w:rFonts w:ascii="黑体" w:hAnsi="Times New Roman" w:eastAsia="黑体" w:cs="Times New Roman"/>
          <w:bCs/>
          <w:sz w:val="28"/>
          <w:szCs w:val="28"/>
          <w:lang w:val="fr-FR" w:eastAsia="zh-CN" w:bidi="ar-SA"/>
        </w:rPr>
        <w:fldChar w:fldCharType="begin">
          <w:ffData>
            <w:name w:val="NSTD_CODE_F"/>
            <w:enabled/>
            <w:calcOnExit w:val="0"/>
            <w:textInput>
              <w:default w:val="XXXX"/>
            </w:textInput>
          </w:ffData>
        </w:fldChar>
      </w:r>
      <w:r>
        <w:rPr>
          <w:rFonts w:ascii="黑体" w:hAnsi="Times New Roman" w:eastAsia="黑体" w:cs="Times New Roman"/>
          <w:bCs/>
          <w:sz w:val="28"/>
          <w:szCs w:val="28"/>
          <w:lang w:val="fr-FR" w:eastAsia="zh-CN" w:bidi="ar-SA"/>
        </w:rPr>
        <w:instrText xml:space="preserve"> FORMTEXT </w:instrText>
      </w:r>
      <w:r>
        <w:rPr>
          <w:rFonts w:ascii="黑体" w:hAnsi="Times New Roman" w:eastAsia="黑体" w:cs="Times New Roman"/>
          <w:bCs/>
          <w:sz w:val="28"/>
          <w:szCs w:val="28"/>
          <w:lang w:val="fr-FR" w:eastAsia="zh-CN" w:bidi="ar-SA"/>
        </w:rPr>
        <w:fldChar w:fldCharType="separate"/>
      </w:r>
      <w:r>
        <w:rPr>
          <w:rFonts w:ascii="黑体" w:hAnsi="Times New Roman" w:eastAsia="黑体" w:cs="Times New Roman"/>
          <w:bCs/>
          <w:sz w:val="28"/>
          <w:szCs w:val="28"/>
          <w:lang w:val="fr-FR" w:eastAsia="zh-CN" w:bidi="ar-SA"/>
        </w:rPr>
        <w:t>XXXX</w:t>
      </w:r>
      <w:r>
        <w:rPr>
          <w:rFonts w:ascii="黑体" w:hAnsi="Times New Roman" w:eastAsia="黑体" w:cs="Times New Roman"/>
          <w:bCs/>
          <w:sz w:val="28"/>
          <w:szCs w:val="28"/>
          <w:lang w:val="fr-FR" w:eastAsia="zh-CN" w:bidi="ar-SA"/>
        </w:rPr>
        <w:fldChar w:fldCharType="end"/>
      </w:r>
      <w:r>
        <w:rPr>
          <w:rFonts w:ascii="黑体" w:hAnsi="Times New Roman" w:eastAsia="黑体" w:cs="Times New Roman"/>
          <w:bCs/>
          <w:sz w:val="28"/>
          <w:szCs w:val="28"/>
          <w:lang w:val="fr-FR" w:eastAsia="zh-CN" w:bidi="ar-SA"/>
        </w:rPr>
        <w:t>—</w:t>
      </w:r>
      <w:r>
        <w:rPr>
          <w:rFonts w:ascii="黑体" w:hAnsi="Times New Roman" w:eastAsia="黑体" w:cs="Times New Roman"/>
          <w:bCs/>
          <w:sz w:val="28"/>
          <w:szCs w:val="28"/>
          <w:lang w:val="fr-FR" w:eastAsia="zh-CN" w:bidi="ar-SA"/>
        </w:rPr>
        <w:fldChar w:fldCharType="begin">
          <w:ffData>
            <w:name w:val="NSTD_CODE_B"/>
            <w:enabled/>
            <w:calcOnExit w:val="0"/>
            <w:textInput>
              <w:default w:val="XXXX"/>
            </w:textInput>
          </w:ffData>
        </w:fldChar>
      </w:r>
      <w:r>
        <w:rPr>
          <w:rFonts w:ascii="黑体" w:hAnsi="Times New Roman" w:eastAsia="黑体" w:cs="Times New Roman"/>
          <w:bCs/>
          <w:sz w:val="28"/>
          <w:szCs w:val="28"/>
          <w:lang w:val="fr-FR" w:eastAsia="zh-CN" w:bidi="ar-SA"/>
        </w:rPr>
        <w:instrText xml:space="preserve"> FORMTEXT </w:instrText>
      </w:r>
      <w:r>
        <w:rPr>
          <w:rFonts w:ascii="黑体" w:hAnsi="Times New Roman" w:eastAsia="黑体" w:cs="Times New Roman"/>
          <w:bCs/>
          <w:sz w:val="28"/>
          <w:szCs w:val="28"/>
          <w:lang w:val="fr-FR" w:eastAsia="zh-CN" w:bidi="ar-SA"/>
        </w:rPr>
        <w:fldChar w:fldCharType="separate"/>
      </w:r>
      <w:r>
        <w:rPr>
          <w:rFonts w:ascii="黑体" w:hAnsi="Times New Roman" w:eastAsia="黑体" w:cs="Times New Roman"/>
          <w:bCs/>
          <w:sz w:val="28"/>
          <w:szCs w:val="28"/>
          <w:lang w:val="fr-FR" w:eastAsia="zh-CN" w:bidi="ar-SA"/>
        </w:rPr>
        <w:t>XXXX</w:t>
      </w:r>
      <w:r>
        <w:rPr>
          <w:rFonts w:ascii="黑体" w:hAnsi="Times New Roman" w:eastAsia="黑体" w:cs="Times New Roman"/>
          <w:bCs/>
          <w:sz w:val="28"/>
          <w:szCs w:val="28"/>
          <w:lang w:val="fr-FR" w:eastAsia="zh-CN" w:bidi="ar-SA"/>
        </w:rPr>
        <w:fldChar w:fldCharType="end"/>
      </w:r>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绿色产品和服务认证规范</w:t>
      </w:r>
      <w:r>
        <w:fldChar w:fldCharType="end"/>
      </w:r>
      <w:bookmarkEnd w:id="8"/>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General norm for green product and service certification</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rFonts w:hint="eastAsia"/>
          <w:sz w:val="24"/>
          <w:szCs w:val="28"/>
        </w:rPr>
        <w:t>（</w:t>
      </w:r>
      <w:r>
        <w:rPr>
          <w:rFonts w:hint="eastAsia"/>
          <w:sz w:val="24"/>
          <w:szCs w:val="28"/>
          <w:lang w:eastAsia="zh-CN"/>
        </w:rPr>
        <w:t>审定</w:t>
      </w:r>
      <w:r>
        <w:rPr>
          <w:rFonts w:hint="eastAsia"/>
          <w:sz w:val="24"/>
          <w:szCs w:val="28"/>
        </w:rPr>
        <w:t>稿）</w:t>
      </w:r>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bookmarkStart w:id="148" w:name="_GoBack"/>
      <w:bookmarkEnd w:id="148"/>
    </w:p>
    <w:p>
      <w:pPr>
        <w:pStyle w:val="193"/>
        <w:framePr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pPr>
        <w:pStyle w:val="151"/>
        <w:framePr w:w="3173" w:h="1484" w:hRule="exact" w:hSpace="181" w:vSpace="181" w:vAnchor="page" w:hAnchor="page" w:x="4501" w:y="14897"/>
        <w:rPr>
          <w:rFonts w:hint="eastAsia" w:hAnsi="黑体"/>
          <w:w w:val="100"/>
          <w:sz w:val="28"/>
          <w:lang w:val="en-US" w:eastAsia="zh-CN"/>
        </w:rPr>
      </w:pPr>
      <w:r>
        <w:rPr>
          <w:rFonts w:hint="eastAsia" w:hAnsi="黑体"/>
          <w:w w:val="100"/>
          <w:sz w:val="28"/>
          <w:lang w:val="en-US" w:eastAsia="zh-CN"/>
        </w:rPr>
        <w:t>上海市市场监督管理局</w:t>
      </w:r>
    </w:p>
    <w:p>
      <w:pPr>
        <w:pStyle w:val="151"/>
        <w:framePr w:w="3173" w:h="1484" w:hRule="exact" w:hSpace="181" w:vSpace="181" w:vAnchor="page" w:hAnchor="page" w:x="4501" w:y="14897"/>
        <w:rPr>
          <w:rFonts w:hint="eastAsia" w:hAnsi="黑体"/>
          <w:w w:val="100"/>
          <w:sz w:val="28"/>
          <w:lang w:val="en-US" w:eastAsia="zh-CN"/>
        </w:rPr>
      </w:pPr>
      <w:r>
        <w:rPr>
          <w:rFonts w:hint="eastAsia" w:hAnsi="黑体"/>
          <w:w w:val="100"/>
          <w:sz w:val="28"/>
          <w:lang w:val="en-US" w:eastAsia="zh-CN"/>
        </w:rPr>
        <w:t>江苏省</w:t>
      </w:r>
      <w:r>
        <w:rPr>
          <w:rFonts w:hint="eastAsia" w:hAnsi="黑体"/>
          <w:w w:val="100"/>
          <w:sz w:val="28"/>
          <w:szCs w:val="22"/>
          <w:lang w:val="en-US" w:eastAsia="zh-CN"/>
        </w:rPr>
        <w:t>市场监</w:t>
      </w:r>
      <w:r>
        <w:rPr>
          <w:rFonts w:hint="eastAsia" w:hAnsi="黑体"/>
          <w:w w:val="100"/>
          <w:sz w:val="28"/>
          <w:lang w:val="en-US" w:eastAsia="zh-CN"/>
        </w:rPr>
        <w:t>督管理局</w:t>
      </w:r>
    </w:p>
    <w:p>
      <w:pPr>
        <w:pStyle w:val="151"/>
        <w:framePr w:w="3173" w:h="1484" w:hRule="exact" w:hSpace="181" w:vSpace="181" w:vAnchor="page" w:hAnchor="page" w:x="4501" w:y="14897"/>
        <w:rPr>
          <w:rFonts w:hint="eastAsia" w:hAnsi="黑体"/>
          <w:w w:val="100"/>
          <w:sz w:val="28"/>
          <w:lang w:val="en-US" w:eastAsia="zh-CN"/>
        </w:rPr>
      </w:pPr>
      <w:r>
        <w:rPr>
          <w:rFonts w:hint="eastAsia" w:hAnsi="黑体"/>
          <w:w w:val="100"/>
          <w:sz w:val="28"/>
          <w:lang w:val="en-US" w:eastAsia="zh-CN"/>
        </w:rPr>
        <w:t>浙江省市场监督管理局</w:t>
      </w:r>
    </w:p>
    <w:p>
      <w:pPr>
        <w:pStyle w:val="151"/>
        <w:framePr w:w="3173" w:h="1484" w:hRule="exact" w:hSpace="181" w:vSpace="181" w:vAnchor="page" w:hAnchor="page" w:x="4501" w:y="14897"/>
        <w:rPr>
          <w:rFonts w:hint="default" w:hAnsi="黑体"/>
          <w:w w:val="100"/>
          <w:sz w:val="28"/>
          <w:lang w:val="en-US" w:eastAsia="zh-CN"/>
        </w:rPr>
      </w:pPr>
      <w:r>
        <w:rPr>
          <w:rFonts w:hint="eastAsia" w:hAnsi="黑体"/>
          <w:w w:val="100"/>
          <w:sz w:val="28"/>
          <w:lang w:val="en-US" w:eastAsia="zh-CN"/>
        </w:rPr>
        <w:t>安徽省市场监督管理局</w:t>
      </w:r>
    </w:p>
    <w:p>
      <w:pPr>
        <w:pStyle w:val="151"/>
        <w:framePr w:w="3173" w:h="1484" w:hRule="exact" w:hSpace="181" w:vSpace="181" w:vAnchor="page" w:hAnchor="page" w:x="4501" w:y="14897"/>
        <w:jc w:val="both"/>
        <w:rPr>
          <w:rFonts w:hAnsi="黑体"/>
        </w:rPr>
      </w:pPr>
    </w:p>
    <w:p>
      <w:pPr>
        <w:rPr>
          <w:rFonts w:ascii="宋体" w:hAnsi="宋体"/>
          <w:sz w:val="28"/>
          <w:szCs w:val="28"/>
        </w:rPr>
        <w:sectPr>
          <w:headerReference r:id="rId7" w:type="first"/>
          <w:footerReference r:id="rId9" w:type="first"/>
          <w:headerReference r:id="rId5" w:type="default"/>
          <w:headerReference r:id="rId6" w:type="even"/>
          <w:footerReference r:id="rId8" w:type="even"/>
          <w:type w:val="continuous"/>
          <w:pgSz w:w="11906" w:h="16838"/>
          <w:pgMar w:top="-338" w:right="1134" w:bottom="1021" w:left="1134" w:header="0" w:footer="0" w:gutter="284"/>
          <w:cols w:space="425" w:num="1"/>
          <w:titlePg/>
          <w:docGrid w:linePitch="312" w:charSpace="0"/>
        </w:sectPr>
      </w:pPr>
      <w:r>
        <w:rPr>
          <w:sz w:val="21"/>
        </w:rPr>
        <mc:AlternateContent>
          <mc:Choice Requires="wps">
            <w:drawing>
              <wp:anchor distT="0" distB="0" distL="114300" distR="114300" simplePos="0" relativeHeight="251661312" behindDoc="0" locked="0" layoutInCell="1" allowOverlap="1">
                <wp:simplePos x="0" y="0"/>
                <wp:positionH relativeFrom="column">
                  <wp:posOffset>4349750</wp:posOffset>
                </wp:positionH>
                <wp:positionV relativeFrom="paragraph">
                  <wp:posOffset>9434195</wp:posOffset>
                </wp:positionV>
                <wp:extent cx="635000" cy="3683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635000" cy="3683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Times New Roman"/>
                                <w:b w:val="0"/>
                                <w:w w:val="100"/>
                                <w:kern w:val="0"/>
                                <w:sz w:val="28"/>
                                <w:szCs w:val="22"/>
                                <w:lang w:val="en-US" w:eastAsia="zh-CN" w:bidi="ar-SA"/>
                              </w:rPr>
                            </w:pPr>
                            <w:r>
                              <w:rPr>
                                <w:rFonts w:hint="eastAsia" w:ascii="黑体" w:hAnsi="黑体" w:eastAsia="黑体" w:cs="Times New Roman"/>
                                <w:b w:val="0"/>
                                <w:w w:val="100"/>
                                <w:kern w:val="0"/>
                                <w:sz w:val="28"/>
                                <w:szCs w:val="22"/>
                                <w:lang w:val="en-US" w:eastAsia="zh-CN" w:bidi="ar-SA"/>
                              </w:rPr>
                              <w:t>发布</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342.5pt;margin-top:742.85pt;height:29pt;width:50pt;z-index:251661312;mso-width-relative:page;mso-height-relative:page;" fillcolor="#FFFFFF [3201]" filled="t" stroked="f" coordsize="21600,21600" o:gfxdata="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WAAAAZHJzL1BLAQIUABQAAAAIAIdO4kD42Kbm1wAAAA0BAAAPAAAAAAAA&#10;AAEAIAAAADgAAABkcnMvZG93bnJldi54bWxQSwECFAAUAAAACACHTuJAyWlVqTYCAABSBAAADgAA&#10;AAAAAAABACAAAAA8AQAAZHJzL2Uyb0RvYy54bWxQSwUGAAAAAAYABgBZAQAA5AUAAAAA&#10;">
                <v:fill on="t" focussize="0,0"/>
                <v:stroke on="f" weight="0.5pt"/>
                <v:imagedata o:title=""/>
                <o:lock v:ext="edit" aspectratio="f"/>
                <v:textbox>
                  <w:txbxContent>
                    <w:p>
                      <w:pPr>
                        <w:rPr>
                          <w:rFonts w:hint="eastAsia" w:ascii="黑体" w:hAnsi="黑体" w:eastAsia="黑体" w:cs="Times New Roman"/>
                          <w:b w:val="0"/>
                          <w:w w:val="100"/>
                          <w:kern w:val="0"/>
                          <w:sz w:val="28"/>
                          <w:szCs w:val="22"/>
                          <w:lang w:val="en-US" w:eastAsia="zh-CN" w:bidi="ar-SA"/>
                        </w:rPr>
                      </w:pPr>
                      <w:r>
                        <w:rPr>
                          <w:rFonts w:hint="eastAsia" w:ascii="黑体" w:hAnsi="黑体" w:eastAsia="黑体" w:cs="Times New Roman"/>
                          <w:b w:val="0"/>
                          <w:w w:val="100"/>
                          <w:kern w:val="0"/>
                          <w:sz w:val="28"/>
                          <w:szCs w:val="22"/>
                          <w:lang w:val="en-US" w:eastAsia="zh-CN" w:bidi="ar-SA"/>
                        </w:rPr>
                        <w:t>发布</w:t>
                      </w:r>
                    </w:p>
                  </w:txbxContent>
                </v:textbox>
              </v:shape>
            </w:pict>
          </mc:Fallback>
        </mc:AlternateContent>
      </w: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91"/>
        <w:spacing w:after="468"/>
        <w:rPr>
          <w:rFonts w:hint="eastAsia"/>
        </w:rPr>
      </w:pPr>
      <w:bookmarkStart w:id="18" w:name="BookMark1"/>
      <w:bookmarkStart w:id="19" w:name="_Toc146113341"/>
      <w:bookmarkStart w:id="20" w:name="_Toc146114055"/>
      <w:bookmarkStart w:id="21" w:name="_Toc147591757"/>
      <w:bookmarkStart w:id="22" w:name="_Toc147591783"/>
      <w:bookmarkStart w:id="23" w:name="_Toc146107996"/>
      <w:bookmarkStart w:id="24" w:name="_Toc146108018"/>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TOC \o "1-1" \h </w:instrText>
      </w:r>
      <w:r>
        <w:fldChar w:fldCharType="separate"/>
      </w:r>
      <w:r>
        <w:fldChar w:fldCharType="begin"/>
      </w:r>
      <w:r>
        <w:instrText xml:space="preserve"> HYPERLINK \l "_Toc147592114" </w:instrText>
      </w:r>
      <w:r>
        <w:fldChar w:fldCharType="separate"/>
      </w:r>
      <w:r>
        <w:rPr>
          <w:rStyle w:val="32"/>
        </w:rPr>
        <w:t>前言</w:t>
      </w:r>
      <w:r>
        <w:tab/>
      </w:r>
      <w:r>
        <w:fldChar w:fldCharType="begin"/>
      </w:r>
      <w:r>
        <w:instrText xml:space="preserve"> PAGEREF _Toc147592114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"_Toc147592115" </w:instrText>
      </w:r>
      <w:r>
        <w:fldChar w:fldCharType="separate"/>
      </w:r>
      <w:r>
        <w:rPr>
          <w:rStyle w:val="32"/>
        </w:rPr>
        <w:t>1  范围</w:t>
      </w:r>
      <w:r>
        <w:tab/>
      </w:r>
      <w:r>
        <w:fldChar w:fldCharType="begin"/>
      </w:r>
      <w:r>
        <w:instrText xml:space="preserve"> PAGEREF _Toc147592115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"_Toc147592116" </w:instrText>
      </w:r>
      <w:r>
        <w:fldChar w:fldCharType="separate"/>
      </w:r>
      <w:r>
        <w:rPr>
          <w:rStyle w:val="32"/>
        </w:rPr>
        <w:t>2  规范性引用文件</w:t>
      </w:r>
      <w:r>
        <w:tab/>
      </w:r>
      <w:r>
        <w:fldChar w:fldCharType="begin"/>
      </w:r>
      <w:r>
        <w:instrText xml:space="preserve"> PAGEREF _Toc147592116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"_Toc147592117" </w:instrText>
      </w:r>
      <w:r>
        <w:fldChar w:fldCharType="separate"/>
      </w:r>
      <w:r>
        <w:rPr>
          <w:rStyle w:val="32"/>
        </w:rPr>
        <w:t>3  术语和定义</w:t>
      </w:r>
      <w:r>
        <w:tab/>
      </w:r>
      <w:r>
        <w:fldChar w:fldCharType="begin"/>
      </w:r>
      <w:r>
        <w:instrText xml:space="preserve"> PAGEREF _Toc147592117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"_Toc147592118" </w:instrText>
      </w:r>
      <w:r>
        <w:fldChar w:fldCharType="separate"/>
      </w:r>
      <w:r>
        <w:rPr>
          <w:rStyle w:val="32"/>
        </w:rPr>
        <w:t>4  基本要求</w:t>
      </w:r>
      <w:r>
        <w:tab/>
      </w:r>
      <w:r>
        <w:fldChar w:fldCharType="begin"/>
      </w:r>
      <w:r>
        <w:instrText xml:space="preserve"> PAGEREF _Toc147592118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"_Toc147592119" </w:instrText>
      </w:r>
      <w:r>
        <w:fldChar w:fldCharType="separate"/>
      </w:r>
      <w:r>
        <w:rPr>
          <w:rStyle w:val="32"/>
        </w:rPr>
        <w:t>5  申请组织</w:t>
      </w:r>
      <w:r>
        <w:tab/>
      </w:r>
      <w:r>
        <w:fldChar w:fldCharType="begin"/>
      </w:r>
      <w:r>
        <w:instrText xml:space="preserve"> PAGEREF _Toc147592119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"_Toc147592120" </w:instrText>
      </w:r>
      <w:r>
        <w:fldChar w:fldCharType="separate"/>
      </w:r>
      <w:r>
        <w:rPr>
          <w:rStyle w:val="32"/>
        </w:rPr>
        <w:t>6  评价指标确定原则</w:t>
      </w:r>
      <w:r>
        <w:tab/>
      </w:r>
      <w:r>
        <w:fldChar w:fldCharType="begin"/>
      </w:r>
      <w:r>
        <w:instrText xml:space="preserve"> PAGEREF _Toc147592120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"_Toc147592121" </w:instrText>
      </w:r>
      <w:r>
        <w:fldChar w:fldCharType="separate"/>
      </w:r>
      <w:r>
        <w:rPr>
          <w:rStyle w:val="32"/>
        </w:rPr>
        <w:t>7  认证实施</w:t>
      </w:r>
      <w:r>
        <w:tab/>
      </w:r>
      <w:r>
        <w:fldChar w:fldCharType="begin"/>
      </w:r>
      <w:r>
        <w:instrText xml:space="preserve"> PAGEREF _Toc147592121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"_Toc147592122" </w:instrText>
      </w:r>
      <w:r>
        <w:fldChar w:fldCharType="separate"/>
      </w:r>
      <w:r>
        <w:rPr>
          <w:rStyle w:val="32"/>
        </w:rPr>
        <w:t>附录A（资料性）  绿色产品评价指标示例</w:t>
      </w:r>
      <w:r>
        <w:tab/>
      </w:r>
      <w:r>
        <w:fldChar w:fldCharType="begin"/>
      </w:r>
      <w:r>
        <w:instrText xml:space="preserve"> PAGEREF _Toc147592122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"_Toc147592123" </w:instrText>
      </w:r>
      <w:r>
        <w:fldChar w:fldCharType="separate"/>
      </w:r>
      <w:r>
        <w:rPr>
          <w:rStyle w:val="32"/>
        </w:rPr>
        <w:t>附录B（资料性）  绿色服务特性评价指标示例</w:t>
      </w:r>
      <w:r>
        <w:tab/>
      </w:r>
      <w:r>
        <w:fldChar w:fldCharType="begin"/>
      </w:r>
      <w:r>
        <w:instrText xml:space="preserve"> PAGEREF _Toc147592123 \h </w:instrText>
      </w:r>
      <w:r>
        <w:fldChar w:fldCharType="separate"/>
      </w:r>
      <w:r>
        <w:t>7</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"_Toc147592124" </w:instrText>
      </w:r>
      <w:r>
        <w:fldChar w:fldCharType="separate"/>
      </w:r>
      <w:r>
        <w:rPr>
          <w:rStyle w:val="32"/>
        </w:rPr>
        <w:t>参考文献</w:t>
      </w:r>
      <w:r>
        <w:tab/>
      </w:r>
      <w:r>
        <w:rPr>
          <w:rFonts w:hint="eastAsia"/>
          <w:lang w:val="en-US" w:eastAsia="zh-CN"/>
        </w:rPr>
        <w:t>9</w:t>
      </w:r>
      <w:r>
        <w:fldChar w:fldCharType="end"/>
      </w:r>
    </w:p>
    <w:p>
      <w:pPr>
        <w:pStyle w:val="91"/>
        <w:spacing w:after="468"/>
        <w:sectPr>
          <w:headerReference r:id="rId10" w:type="default"/>
          <w:footerReference r:id="rId12" w:type="default"/>
          <w:headerReference r:id="rId11"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8"/>
    <w:p>
      <w:pPr>
        <w:pStyle w:val="89"/>
        <w:spacing w:before="900" w:after="468"/>
      </w:pPr>
      <w:bookmarkStart w:id="25" w:name="_Toc147592114"/>
      <w:bookmarkStart w:id="26" w:name="BookMark2"/>
      <w:r>
        <w:rPr>
          <w:spacing w:val="320"/>
        </w:rPr>
        <w:t>前</w:t>
      </w:r>
      <w:r>
        <w:t>言</w:t>
      </w:r>
      <w:bookmarkEnd w:id="19"/>
      <w:bookmarkEnd w:id="20"/>
      <w:bookmarkEnd w:id="21"/>
      <w:bookmarkEnd w:id="22"/>
      <w:bookmarkEnd w:id="23"/>
      <w:bookmarkEnd w:id="24"/>
      <w:bookmarkEnd w:id="25"/>
    </w:p>
    <w:p>
      <w:pPr>
        <w:pStyle w:val="56"/>
        <w:ind w:firstLine="420"/>
        <w:rPr>
          <w:rFonts w:hint="eastAsia"/>
        </w:rPr>
      </w:pPr>
      <w:r>
        <w:rPr>
          <w:rFonts w:hint="eastAsia"/>
        </w:rPr>
        <w:t>本文件按照GB/T 1.1</w:t>
      </w:r>
      <w:r>
        <w:rPr>
          <w:rFonts w:hint="eastAsia"/>
          <w:lang w:eastAsia="zh-CN"/>
        </w:rPr>
        <w:t>—</w:t>
      </w:r>
      <w:r>
        <w:rPr>
          <w:rFonts w:hint="eastAsia"/>
        </w:rPr>
        <w:t>2020《标准化工作导则 第1部分：标准化文件的结构和起草规则》的规定起草。</w:t>
      </w:r>
    </w:p>
    <w:p>
      <w:pPr>
        <w:pStyle w:val="56"/>
        <w:ind w:firstLine="420"/>
        <w:rPr>
          <w:rFonts w:hint="eastAsia"/>
        </w:rPr>
      </w:pPr>
      <w:r>
        <w:rPr>
          <w:rFonts w:hint="eastAsia"/>
        </w:rPr>
        <w:t>请注意本文件的某些内容可能涉及专利。本文件的发布机构不承担识别专利的责任。</w:t>
      </w:r>
    </w:p>
    <w:p>
      <w:pPr>
        <w:pStyle w:val="56"/>
        <w:ind w:firstLine="420"/>
        <w:rPr>
          <w:rFonts w:hint="eastAsia"/>
        </w:rPr>
      </w:pPr>
      <w:r>
        <w:rPr>
          <w:rFonts w:hint="eastAsia"/>
        </w:rPr>
        <w:t>本文件由上海市市场监督管理局、江苏省市场监督管理局、浙江省市场监督管理局、安徽省市场监督管理局联合提出归口并组织实施。</w:t>
      </w:r>
    </w:p>
    <w:p>
      <w:pPr>
        <w:pStyle w:val="56"/>
        <w:ind w:firstLine="420"/>
        <w:rPr>
          <w:rFonts w:hint="eastAsia"/>
        </w:rPr>
      </w:pPr>
      <w:r>
        <w:rPr>
          <w:rFonts w:hint="eastAsia"/>
        </w:rPr>
        <w:t>本文件起草单位：上海市检验检测认证协会、上海建科检验有限公司、上海电器科学研究所(集团)有限公司、上海质量管理科学研究院、中国质量认证中心、上海质量体系审核中心、上海添唯认证技术有限公司、方圆标志认证集团有限公司、中环联合(北京)认证中心有限公司、上海浦公检测技术有限公司、江苏省质量和标准化研究院、南京国环有机产品认证中心有限公司、通标标准技术服务有限公司、浙江省标准化研究院、浙江方圆检测集团股份有限公司、浙江省特种设备科学研究院、杭州万泰认证有限公司、浙江公信认证有限公司、安徽省质量和标准化研究院、合肥通用机械产品认证有限公司、中企华信认证中心有限公司。</w:t>
      </w:r>
    </w:p>
    <w:p>
      <w:pPr>
        <w:pStyle w:val="56"/>
        <w:ind w:firstLine="420"/>
      </w:pPr>
      <w:r>
        <w:rPr>
          <w:rFonts w:hint="eastAsia"/>
        </w:rPr>
        <w:t>本文件主要起草人：樊吉兵、郦东、刘春生、邓佳、沈静、孟祥生、王延维、张宝善、夏敏、秦伟浩、徐国华、刘春扬、姚应涛、谭平、汤潇、吴旭静、郑学东、闫涛、赵思豫、唐剑、蒋建平、鲍振鑫、林正、李道平、骆辉、左群山、汪君、孙淑伟、王纪鸿、刘旸、顾正、姜宁欣、童朱珏、楼科利、沈青、陈嫣红、胡玉蓉、郑张丰、吴煜、姚育旺。</w:t>
      </w: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6"/>
    <w:p>
      <w:pPr>
        <w:spacing w:line="20" w:lineRule="exact"/>
        <w:jc w:val="center"/>
        <w:rPr>
          <w:rFonts w:ascii="黑体" w:hAnsi="黑体" w:eastAsia="黑体"/>
          <w:sz w:val="32"/>
          <w:szCs w:val="32"/>
        </w:rPr>
      </w:pPr>
      <w:bookmarkStart w:id="27" w:name="BookMark4"/>
    </w:p>
    <w:p>
      <w:pPr>
        <w:spacing w:line="20" w:lineRule="exact"/>
        <w:jc w:val="center"/>
        <w:rPr>
          <w:rFonts w:ascii="黑体" w:hAnsi="黑体" w:eastAsia="黑体"/>
          <w:sz w:val="32"/>
          <w:szCs w:val="32"/>
        </w:rPr>
      </w:pPr>
    </w:p>
    <w:sdt>
      <w:sdtPr>
        <w:tag w:val="NEW_STAND_NAME"/>
        <w:id w:val="595910757"/>
        <w:lock w:val="sdtLocked"/>
        <w:placeholder>
          <w:docPart w:val="5CC8411539C14DC69885D8A47B25AC41"/>
        </w:placeholder>
      </w:sdtPr>
      <w:sdtContent>
        <w:p>
          <w:pPr>
            <w:pStyle w:val="177"/>
            <w:spacing w:before="312" w:beforeLines="100" w:after="686" w:afterLines="220"/>
          </w:pPr>
          <w:bookmarkStart w:id="28" w:name="NEW_STAND_NAME"/>
          <w:r>
            <w:rPr>
              <w:rFonts w:hint="eastAsia"/>
            </w:rPr>
            <w:t>绿色产品和服务认证规范</w:t>
          </w:r>
        </w:p>
      </w:sdtContent>
    </w:sdt>
    <w:bookmarkEnd w:id="28"/>
    <w:p>
      <w:pPr>
        <w:pStyle w:val="104"/>
        <w:spacing w:before="312" w:after="312"/>
      </w:pPr>
      <w:bookmarkStart w:id="29" w:name="_Toc26986771"/>
      <w:bookmarkStart w:id="30" w:name="_Toc146102309"/>
      <w:bookmarkStart w:id="31" w:name="_Toc17233325"/>
      <w:bookmarkStart w:id="32" w:name="_Toc146102268"/>
      <w:bookmarkStart w:id="33" w:name="_Toc147592115"/>
      <w:bookmarkStart w:id="34" w:name="_Toc147591758"/>
      <w:bookmarkStart w:id="35" w:name="_Toc146114056"/>
      <w:bookmarkStart w:id="36" w:name="_Toc26718930"/>
      <w:bookmarkStart w:id="37" w:name="_Toc24884211"/>
      <w:bookmarkStart w:id="38" w:name="_Toc26986530"/>
      <w:bookmarkStart w:id="39" w:name="_Toc26648465"/>
      <w:bookmarkStart w:id="40" w:name="_Toc146113342"/>
      <w:bookmarkStart w:id="41" w:name="_Toc146107997"/>
      <w:bookmarkStart w:id="42" w:name="_Toc147591784"/>
      <w:bookmarkStart w:id="43" w:name="_Toc97191423"/>
      <w:bookmarkStart w:id="44" w:name="_Toc17233333"/>
      <w:bookmarkStart w:id="45" w:name="_Toc146108019"/>
      <w:bookmarkStart w:id="46" w:name="_Toc24884218"/>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pPr>
        <w:pStyle w:val="56"/>
        <w:ind w:firstLine="420"/>
        <w:rPr>
          <w:rFonts w:hint="eastAsia"/>
        </w:rPr>
      </w:pPr>
      <w:bookmarkStart w:id="47" w:name="_Toc24884212"/>
      <w:bookmarkStart w:id="48" w:name="_Toc17233334"/>
      <w:bookmarkStart w:id="49" w:name="_Toc24884219"/>
      <w:bookmarkStart w:id="50" w:name="_Toc17233326"/>
      <w:bookmarkStart w:id="51" w:name="_Toc26648466"/>
      <w:r>
        <w:rPr>
          <w:rFonts w:hint="eastAsia"/>
        </w:rPr>
        <w:t>本文件规定了绿色产品和服务认证的基本要求、申请组织、评价指标确定原则、认证实施等内容。</w:t>
      </w:r>
    </w:p>
    <w:p>
      <w:pPr>
        <w:pStyle w:val="56"/>
        <w:ind w:firstLine="420"/>
      </w:pPr>
      <w:r>
        <w:rPr>
          <w:rFonts w:hint="eastAsia"/>
        </w:rPr>
        <w:t>本文件适用于认证机构开展长江三角洲区域（包括上海市、江苏省、浙江省、安徽省）绿色产品、绿色服务认证活动。</w:t>
      </w:r>
    </w:p>
    <w:p>
      <w:pPr>
        <w:pStyle w:val="104"/>
        <w:spacing w:before="312" w:after="312"/>
      </w:pPr>
      <w:bookmarkStart w:id="52" w:name="_Toc97191424"/>
      <w:bookmarkStart w:id="53" w:name="_Toc147592116"/>
      <w:bookmarkStart w:id="54" w:name="_Toc26986772"/>
      <w:bookmarkStart w:id="55" w:name="_Toc146102310"/>
      <w:bookmarkStart w:id="56" w:name="_Toc146108020"/>
      <w:bookmarkStart w:id="57" w:name="_Toc146114057"/>
      <w:bookmarkStart w:id="58" w:name="_Toc146102269"/>
      <w:bookmarkStart w:id="59" w:name="_Toc146107998"/>
      <w:bookmarkStart w:id="60" w:name="_Toc26986531"/>
      <w:bookmarkStart w:id="61" w:name="_Toc147591759"/>
      <w:bookmarkStart w:id="62" w:name="_Toc147591785"/>
      <w:bookmarkStart w:id="63" w:name="_Toc26718931"/>
      <w:bookmarkStart w:id="64" w:name="_Toc146113343"/>
      <w:r>
        <w:rPr>
          <w:rFonts w:hint="eastAsia"/>
        </w:rPr>
        <w:t>规范性引用文件</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sdt>
      <w:sdtPr>
        <w:rPr>
          <w:rFonts w:hint="eastAsia"/>
        </w:rPr>
        <w:id w:val="715848253"/>
        <w:placeholder>
          <w:docPart w:val="62C23E1527B04133A1AD507BE7349EF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rFonts w:hint="eastAsia"/>
        </w:rPr>
      </w:pPr>
      <w:r>
        <w:rPr>
          <w:rFonts w:hint="eastAsia"/>
        </w:rPr>
        <w:t>GB/T</w:t>
      </w:r>
      <w:r>
        <w:rPr>
          <w:rFonts w:hint="eastAsia"/>
          <w:lang w:val="en-US" w:eastAsia="zh-CN"/>
        </w:rPr>
        <w:t xml:space="preserve"> </w:t>
      </w:r>
      <w:r>
        <w:rPr>
          <w:rFonts w:hint="eastAsia"/>
        </w:rPr>
        <w:t>19001</w:t>
      </w:r>
      <w:r>
        <w:rPr>
          <w:rFonts w:hint="eastAsia"/>
          <w:lang w:eastAsia="zh-CN"/>
        </w:rPr>
        <w:t>—</w:t>
      </w:r>
      <w:r>
        <w:rPr>
          <w:rFonts w:hint="eastAsia"/>
        </w:rPr>
        <w:t>2016 质量管理体系 要求</w:t>
      </w:r>
    </w:p>
    <w:p>
      <w:pPr>
        <w:pStyle w:val="56"/>
        <w:ind w:firstLine="420"/>
        <w:rPr>
          <w:rFonts w:hint="eastAsia"/>
        </w:rPr>
      </w:pPr>
      <w:r>
        <w:rPr>
          <w:rFonts w:hint="eastAsia"/>
        </w:rPr>
        <w:t>GB/T</w:t>
      </w:r>
      <w:r>
        <w:rPr>
          <w:rFonts w:hint="eastAsia"/>
          <w:lang w:val="en-US" w:eastAsia="zh-CN"/>
        </w:rPr>
        <w:t xml:space="preserve"> </w:t>
      </w:r>
      <w:r>
        <w:rPr>
          <w:rFonts w:hint="eastAsia"/>
        </w:rPr>
        <w:t>23331</w:t>
      </w:r>
      <w:r>
        <w:rPr>
          <w:rFonts w:hint="eastAsia"/>
          <w:lang w:eastAsia="zh-CN"/>
        </w:rPr>
        <w:t>—</w:t>
      </w:r>
      <w:r>
        <w:rPr>
          <w:rFonts w:hint="eastAsia"/>
        </w:rPr>
        <w:t>2020 能源管理体系 要求及使用指南</w:t>
      </w:r>
    </w:p>
    <w:p>
      <w:pPr>
        <w:pStyle w:val="56"/>
        <w:ind w:firstLine="420"/>
        <w:rPr>
          <w:rFonts w:hint="eastAsia"/>
        </w:rPr>
      </w:pPr>
      <w:r>
        <w:rPr>
          <w:rFonts w:hint="eastAsia"/>
        </w:rPr>
        <w:t>GB/T</w:t>
      </w:r>
      <w:r>
        <w:rPr>
          <w:rFonts w:hint="eastAsia"/>
          <w:lang w:val="en-US" w:eastAsia="zh-CN"/>
        </w:rPr>
        <w:t xml:space="preserve"> </w:t>
      </w:r>
      <w:r>
        <w:rPr>
          <w:rFonts w:hint="eastAsia"/>
        </w:rPr>
        <w:t>24001</w:t>
      </w:r>
      <w:r>
        <w:rPr>
          <w:rFonts w:hint="eastAsia"/>
          <w:lang w:eastAsia="zh-CN"/>
        </w:rPr>
        <w:t>—</w:t>
      </w:r>
      <w:r>
        <w:rPr>
          <w:rFonts w:hint="eastAsia"/>
        </w:rPr>
        <w:t>2016 环境管理体系 要求及使用指南</w:t>
      </w:r>
    </w:p>
    <w:p>
      <w:pPr>
        <w:pStyle w:val="56"/>
        <w:ind w:firstLine="420"/>
        <w:rPr>
          <w:rFonts w:hint="eastAsia"/>
        </w:rPr>
      </w:pPr>
      <w:r>
        <w:rPr>
          <w:rFonts w:hint="eastAsia"/>
        </w:rPr>
        <w:t>GB/T</w:t>
      </w:r>
      <w:r>
        <w:rPr>
          <w:rFonts w:hint="eastAsia"/>
          <w:lang w:val="en-US" w:eastAsia="zh-CN"/>
        </w:rPr>
        <w:t xml:space="preserve"> </w:t>
      </w:r>
      <w:r>
        <w:rPr>
          <w:rFonts w:hint="eastAsia"/>
        </w:rPr>
        <w:t>27000</w:t>
      </w:r>
      <w:r>
        <w:rPr>
          <w:rFonts w:hint="eastAsia"/>
          <w:lang w:eastAsia="zh-CN"/>
        </w:rPr>
        <w:t>—</w:t>
      </w:r>
      <w:r>
        <w:rPr>
          <w:rFonts w:hint="eastAsia"/>
        </w:rPr>
        <w:t>2023 合格评定 词汇和通用原则</w:t>
      </w:r>
    </w:p>
    <w:p>
      <w:pPr>
        <w:pStyle w:val="56"/>
        <w:ind w:firstLine="420"/>
        <w:rPr>
          <w:rFonts w:hint="eastAsia"/>
        </w:rPr>
      </w:pPr>
      <w:r>
        <w:rPr>
          <w:rFonts w:hint="eastAsia"/>
        </w:rPr>
        <w:t>GB/T</w:t>
      </w:r>
      <w:r>
        <w:rPr>
          <w:rFonts w:hint="eastAsia"/>
          <w:lang w:val="en-US" w:eastAsia="zh-CN"/>
        </w:rPr>
        <w:t xml:space="preserve"> </w:t>
      </w:r>
      <w:r>
        <w:rPr>
          <w:rFonts w:hint="eastAsia"/>
        </w:rPr>
        <w:t>27027</w:t>
      </w:r>
      <w:r>
        <w:rPr>
          <w:rFonts w:hint="eastAsia"/>
          <w:lang w:eastAsia="zh-CN"/>
        </w:rPr>
        <w:t>—</w:t>
      </w:r>
      <w:r>
        <w:rPr>
          <w:rFonts w:hint="eastAsia"/>
        </w:rPr>
        <w:t>2020 合格评定 服务认证模式选择与应用导则</w:t>
      </w:r>
    </w:p>
    <w:p>
      <w:pPr>
        <w:pStyle w:val="56"/>
        <w:ind w:firstLine="420"/>
        <w:rPr>
          <w:rFonts w:hint="eastAsia"/>
        </w:rPr>
      </w:pPr>
      <w:r>
        <w:rPr>
          <w:rFonts w:hint="eastAsia"/>
        </w:rPr>
        <w:t>GB/T</w:t>
      </w:r>
      <w:r>
        <w:rPr>
          <w:rFonts w:hint="eastAsia"/>
          <w:lang w:val="en-US" w:eastAsia="zh-CN"/>
        </w:rPr>
        <w:t xml:space="preserve"> </w:t>
      </w:r>
      <w:r>
        <w:rPr>
          <w:rFonts w:hint="eastAsia"/>
        </w:rPr>
        <w:t>27065</w:t>
      </w:r>
      <w:r>
        <w:rPr>
          <w:rFonts w:hint="eastAsia"/>
          <w:lang w:eastAsia="zh-CN"/>
        </w:rPr>
        <w:t>—</w:t>
      </w:r>
      <w:r>
        <w:rPr>
          <w:rFonts w:hint="eastAsia"/>
        </w:rPr>
        <w:t>2015 合格评定 产品、过程和服务认证机构要求</w:t>
      </w:r>
    </w:p>
    <w:p>
      <w:pPr>
        <w:pStyle w:val="56"/>
        <w:ind w:firstLine="420"/>
        <w:rPr>
          <w:rFonts w:hint="eastAsia"/>
        </w:rPr>
      </w:pPr>
      <w:r>
        <w:rPr>
          <w:rFonts w:hint="eastAsia"/>
        </w:rPr>
        <w:t>GB/T</w:t>
      </w:r>
      <w:r>
        <w:rPr>
          <w:rFonts w:hint="eastAsia"/>
          <w:lang w:val="en-US" w:eastAsia="zh-CN"/>
        </w:rPr>
        <w:t xml:space="preserve"> </w:t>
      </w:r>
      <w:r>
        <w:rPr>
          <w:rFonts w:hint="eastAsia"/>
        </w:rPr>
        <w:t>27067</w:t>
      </w:r>
      <w:r>
        <w:rPr>
          <w:rFonts w:hint="eastAsia"/>
          <w:lang w:eastAsia="zh-CN"/>
        </w:rPr>
        <w:t>—</w:t>
      </w:r>
      <w:r>
        <w:rPr>
          <w:rFonts w:hint="eastAsia"/>
        </w:rPr>
        <w:t>2017 合格评定 产品认证基础和产品认证方案指南</w:t>
      </w:r>
    </w:p>
    <w:p>
      <w:pPr>
        <w:pStyle w:val="56"/>
        <w:ind w:firstLine="420"/>
        <w:rPr>
          <w:rFonts w:hint="eastAsia"/>
        </w:rPr>
      </w:pPr>
      <w:r>
        <w:rPr>
          <w:rFonts w:hint="eastAsia"/>
        </w:rPr>
        <w:t>GB/T</w:t>
      </w:r>
      <w:r>
        <w:rPr>
          <w:rFonts w:hint="eastAsia"/>
          <w:lang w:val="en-US" w:eastAsia="zh-CN"/>
        </w:rPr>
        <w:t xml:space="preserve"> </w:t>
      </w:r>
      <w:r>
        <w:rPr>
          <w:rFonts w:hint="eastAsia"/>
        </w:rPr>
        <w:t>33761</w:t>
      </w:r>
      <w:r>
        <w:rPr>
          <w:rFonts w:hint="eastAsia"/>
          <w:lang w:eastAsia="zh-CN"/>
        </w:rPr>
        <w:t>—</w:t>
      </w:r>
      <w:r>
        <w:rPr>
          <w:rFonts w:hint="eastAsia"/>
        </w:rPr>
        <w:t>2017 绿色产品评价通则</w:t>
      </w:r>
    </w:p>
    <w:p>
      <w:pPr>
        <w:pStyle w:val="56"/>
        <w:ind w:firstLine="420"/>
      </w:pPr>
      <w:r>
        <w:rPr>
          <w:rFonts w:hint="eastAsia"/>
        </w:rPr>
        <w:t>GB/T</w:t>
      </w:r>
      <w:r>
        <w:rPr>
          <w:rFonts w:hint="eastAsia"/>
          <w:lang w:val="en-US" w:eastAsia="zh-CN"/>
        </w:rPr>
        <w:t xml:space="preserve"> </w:t>
      </w:r>
      <w:r>
        <w:rPr>
          <w:rFonts w:hint="eastAsia"/>
        </w:rPr>
        <w:t>45001</w:t>
      </w:r>
      <w:r>
        <w:rPr>
          <w:rFonts w:hint="eastAsia"/>
          <w:lang w:eastAsia="zh-CN"/>
        </w:rPr>
        <w:t>—</w:t>
      </w:r>
      <w:r>
        <w:rPr>
          <w:rFonts w:hint="eastAsia"/>
        </w:rPr>
        <w:t>2020 职业健康安全管理体系 要求及使用指南</w:t>
      </w:r>
    </w:p>
    <w:p>
      <w:pPr>
        <w:pStyle w:val="104"/>
        <w:spacing w:before="312" w:after="312"/>
      </w:pPr>
      <w:bookmarkStart w:id="65" w:name="_Toc146108021"/>
      <w:bookmarkStart w:id="66" w:name="_Toc147591786"/>
      <w:bookmarkStart w:id="67" w:name="_Toc146107999"/>
      <w:bookmarkStart w:id="68" w:name="_Toc146114058"/>
      <w:bookmarkStart w:id="69" w:name="_Toc146102270"/>
      <w:bookmarkStart w:id="70" w:name="_Toc147591760"/>
      <w:bookmarkStart w:id="71" w:name="_Toc97191425"/>
      <w:bookmarkStart w:id="72" w:name="_Toc146113344"/>
      <w:bookmarkStart w:id="73" w:name="_Toc147592117"/>
      <w:bookmarkStart w:id="74" w:name="_Toc146102311"/>
      <w:r>
        <w:rPr>
          <w:rFonts w:hint="eastAsia"/>
          <w:szCs w:val="21"/>
        </w:rPr>
        <w:t>术语和定义</w:t>
      </w:r>
      <w:bookmarkEnd w:id="65"/>
      <w:bookmarkEnd w:id="66"/>
      <w:bookmarkEnd w:id="67"/>
      <w:bookmarkEnd w:id="68"/>
      <w:bookmarkEnd w:id="69"/>
      <w:bookmarkEnd w:id="70"/>
      <w:bookmarkEnd w:id="71"/>
      <w:bookmarkEnd w:id="72"/>
      <w:bookmarkEnd w:id="73"/>
      <w:bookmarkEnd w:id="74"/>
    </w:p>
    <w:sdt>
      <w:sdtPr>
        <w:rPr>
          <w:rFonts w:hint="eastAsia"/>
        </w:rPr>
        <w:id w:val="-1909835108"/>
        <w:placeholder>
          <w:docPart w:val="8EFC69505E434DE6BF3A4C6172F4D45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rPr>
      </w:sdtEndPr>
      <w:sdtContent>
        <w:p>
          <w:pPr>
            <w:pStyle w:val="56"/>
            <w:ind w:firstLine="420"/>
          </w:pPr>
          <w:bookmarkStart w:id="75" w:name="_Toc26986532"/>
          <w:bookmarkEnd w:id="75"/>
          <w:r>
            <w:rPr>
              <w:rFonts w:hint="eastAsia"/>
            </w:rPr>
            <w:t>GB/T</w:t>
          </w:r>
          <w:r>
            <w:rPr>
              <w:rFonts w:hint="eastAsia"/>
              <w:lang w:val="en-US" w:eastAsia="zh-CN"/>
            </w:rPr>
            <w:t xml:space="preserve"> </w:t>
          </w:r>
          <w:r>
            <w:rPr>
              <w:rFonts w:hint="eastAsia"/>
            </w:rPr>
            <w:t>19001、GB/T</w:t>
          </w:r>
          <w:r>
            <w:rPr>
              <w:rFonts w:hint="eastAsia"/>
              <w:lang w:val="en-US" w:eastAsia="zh-CN"/>
            </w:rPr>
            <w:t xml:space="preserve"> </w:t>
          </w:r>
          <w:r>
            <w:rPr>
              <w:rFonts w:hint="eastAsia"/>
            </w:rPr>
            <w:t>23331、GB/T</w:t>
          </w:r>
          <w:r>
            <w:rPr>
              <w:rFonts w:hint="eastAsia"/>
              <w:lang w:val="en-US" w:eastAsia="zh-CN"/>
            </w:rPr>
            <w:t xml:space="preserve"> </w:t>
          </w:r>
          <w:r>
            <w:rPr>
              <w:rFonts w:hint="eastAsia"/>
            </w:rPr>
            <w:t>24001、GB/T</w:t>
          </w:r>
          <w:r>
            <w:rPr>
              <w:rFonts w:hint="eastAsia"/>
              <w:lang w:val="en-US" w:eastAsia="zh-CN"/>
            </w:rPr>
            <w:t xml:space="preserve"> </w:t>
          </w:r>
          <w:r>
            <w:rPr>
              <w:rFonts w:hint="eastAsia"/>
            </w:rPr>
            <w:t>27065界定的以及下列术语和定义适用于本文件。</w:t>
          </w:r>
        </w:p>
      </w:sdtContent>
    </w:sdt>
    <w:p>
      <w:pPr>
        <w:pStyle w:val="223"/>
        <w:rPr>
          <w:rFonts w:ascii="黑体" w:hAnsi="黑体" w:eastAsia="黑体"/>
        </w:rPr>
      </w:pPr>
      <w:bookmarkStart w:id="76" w:name="_Toc146108000"/>
      <w:bookmarkEnd w:id="76"/>
      <w:bookmarkStart w:id="77" w:name="_Toc146108001"/>
    </w:p>
    <w:p>
      <w:pPr>
        <w:pStyle w:val="223"/>
        <w:numPr>
          <w:ilvl w:val="0"/>
          <w:numId w:val="0"/>
        </w:numPr>
        <w:ind w:firstLine="420" w:firstLineChars="200"/>
        <w:rPr>
          <w:rFonts w:ascii="黑体" w:hAnsi="黑体" w:eastAsia="黑体"/>
        </w:rPr>
      </w:pPr>
      <w:r>
        <w:rPr>
          <w:rFonts w:hint="eastAsia" w:ascii="黑体" w:hAnsi="黑体" w:eastAsia="黑体"/>
        </w:rPr>
        <w:t>绿色产品 green product</w:t>
      </w:r>
    </w:p>
    <w:bookmarkEnd w:id="77"/>
    <w:p>
      <w:pPr>
        <w:pStyle w:val="56"/>
        <w:ind w:firstLine="420"/>
      </w:pPr>
      <w:r>
        <w:rPr>
          <w:rFonts w:hint="eastAsia"/>
        </w:rPr>
        <w:t>在全生命周期过程中，符合环境保护要求，对生态环境和人体健康无害或危害小、资源能源消耗少、品质高的产品。</w:t>
      </w:r>
    </w:p>
    <w:p>
      <w:pPr>
        <w:pStyle w:val="56"/>
        <w:ind w:firstLine="420"/>
      </w:pPr>
      <w:r>
        <w:rPr>
          <w:rFonts w:hint="eastAsia"/>
        </w:rPr>
        <w:t>[来源:GB/T 33761</w:t>
      </w:r>
      <w:r>
        <w:rPr>
          <w:rFonts w:hint="eastAsia"/>
          <w:lang w:eastAsia="zh-CN"/>
        </w:rPr>
        <w:t>—</w:t>
      </w:r>
      <w:r>
        <w:rPr>
          <w:rFonts w:hint="eastAsia"/>
        </w:rPr>
        <w:t>2017，3.1]</w:t>
      </w:r>
    </w:p>
    <w:p>
      <w:pPr>
        <w:pStyle w:val="223"/>
        <w:ind w:left="420" w:hanging="420" w:hangingChars="200"/>
        <w:rPr>
          <w:rFonts w:ascii="黑体" w:hAnsi="黑体" w:eastAsia="黑体"/>
        </w:rPr>
      </w:pPr>
      <w:bookmarkStart w:id="78" w:name="_Toc146108002"/>
      <w:bookmarkEnd w:id="78"/>
      <w:bookmarkStart w:id="79" w:name="_Toc146108003"/>
      <w:r>
        <w:rPr>
          <w:rFonts w:ascii="黑体" w:hAnsi="黑体" w:eastAsia="黑体"/>
        </w:rPr>
        <w:br w:type="textWrapping"/>
      </w:r>
      <w:r>
        <w:rPr>
          <w:rFonts w:hint="eastAsia" w:ascii="黑体" w:hAnsi="黑体" w:eastAsia="黑体"/>
        </w:rPr>
        <w:t>绿色服务 green service</w:t>
      </w:r>
      <w:bookmarkEnd w:id="79"/>
    </w:p>
    <w:p>
      <w:pPr>
        <w:pStyle w:val="56"/>
        <w:ind w:firstLine="420"/>
      </w:pPr>
      <w:r>
        <w:rPr>
          <w:rFonts w:hint="eastAsia"/>
        </w:rPr>
        <w:t>服务提供的全过程遵循环境保护要求，对生态环境和人体健康无害或危害小、资源能源消耗少、输出品质高。</w:t>
      </w:r>
    </w:p>
    <w:p>
      <w:pPr>
        <w:pStyle w:val="223"/>
        <w:ind w:left="420" w:hanging="420" w:hangingChars="200"/>
        <w:rPr>
          <w:rFonts w:ascii="黑体" w:hAnsi="黑体" w:eastAsia="黑体"/>
        </w:rPr>
      </w:pPr>
      <w:bookmarkStart w:id="80" w:name="_Toc146108004"/>
      <w:bookmarkEnd w:id="80"/>
      <w:bookmarkStart w:id="81" w:name="_Toc146108005"/>
      <w:r>
        <w:rPr>
          <w:rFonts w:ascii="黑体" w:hAnsi="黑体" w:eastAsia="黑体"/>
        </w:rPr>
        <w:br w:type="textWrapping"/>
      </w:r>
      <w:r>
        <w:rPr>
          <w:rFonts w:hint="eastAsia" w:ascii="黑体" w:hAnsi="黑体" w:eastAsia="黑体"/>
        </w:rPr>
        <w:t>合格评定 conformity assessment</w:t>
      </w:r>
      <w:bookmarkEnd w:id="81"/>
    </w:p>
    <w:p>
      <w:pPr>
        <w:pStyle w:val="56"/>
        <w:ind w:firstLine="420"/>
      </w:pPr>
      <w:r>
        <w:rPr>
          <w:rFonts w:hint="eastAsia"/>
        </w:rPr>
        <w:t>与产品、过程、体系、人员或机构有关的规定要求得到满足的证实。</w:t>
      </w:r>
    </w:p>
    <w:p>
      <w:pPr>
        <w:pStyle w:val="56"/>
        <w:ind w:firstLine="420"/>
        <w:rPr>
          <w:rFonts w:hint="eastAsia"/>
        </w:rPr>
      </w:pPr>
      <w:r>
        <w:rPr>
          <w:rFonts w:hint="eastAsia"/>
        </w:rPr>
        <w:t>[来源:GB/T 27000</w:t>
      </w:r>
      <w:r>
        <w:rPr>
          <w:rFonts w:hint="eastAsia"/>
          <w:lang w:eastAsia="zh-CN"/>
        </w:rPr>
        <w:t>—</w:t>
      </w:r>
      <w:r>
        <w:rPr>
          <w:rFonts w:hint="eastAsia"/>
        </w:rPr>
        <w:t>2023，2.1]</w:t>
      </w:r>
    </w:p>
    <w:p>
      <w:pPr>
        <w:tabs>
          <w:tab w:val="left" w:pos="7499"/>
        </w:tabs>
      </w:pPr>
      <w:r>
        <w:tab/>
      </w:r>
    </w:p>
    <w:p>
      <w:pPr>
        <w:pStyle w:val="223"/>
        <w:ind w:left="420" w:hanging="420" w:hangingChars="200"/>
        <w:rPr>
          <w:rFonts w:ascii="黑体" w:hAnsi="黑体" w:eastAsia="黑体"/>
        </w:rPr>
      </w:pPr>
      <w:bookmarkStart w:id="82" w:name="_Toc146108006"/>
      <w:bookmarkEnd w:id="82"/>
      <w:bookmarkStart w:id="83" w:name="_Toc146108007"/>
      <w:r>
        <w:rPr>
          <w:rFonts w:ascii="黑体" w:hAnsi="黑体" w:eastAsia="黑体"/>
        </w:rPr>
        <w:br w:type="textWrapping"/>
      </w:r>
      <w:r>
        <w:rPr>
          <w:rFonts w:hint="eastAsia" w:ascii="黑体" w:hAnsi="黑体" w:eastAsia="黑体"/>
        </w:rPr>
        <w:t>全生命周期 whole life cycle</w:t>
      </w:r>
      <w:bookmarkEnd w:id="83"/>
    </w:p>
    <w:p>
      <w:pPr>
        <w:pStyle w:val="56"/>
        <w:ind w:firstLine="420"/>
      </w:pPr>
      <w:r>
        <w:rPr>
          <w:rFonts w:hint="eastAsia"/>
        </w:rPr>
        <w:t>是产品或服务从需求开始到完成产品处置或服务体验所经历的各个阶段的全过程。</w:t>
      </w:r>
    </w:p>
    <w:p>
      <w:pPr>
        <w:pStyle w:val="180"/>
      </w:pPr>
      <w:r>
        <w:rPr>
          <w:rFonts w:hint="eastAsia"/>
        </w:rPr>
        <w:t>典型生命周期阶段包括原材料获取、设计、生产、运输和(或)交付、使用、寿命结束后处理和最终处置。</w:t>
      </w:r>
    </w:p>
    <w:p>
      <w:pPr>
        <w:pStyle w:val="180"/>
      </w:pPr>
      <w:r>
        <w:rPr>
          <w:rFonts w:hint="eastAsia"/>
        </w:rPr>
        <w:t>适用的生命周期阶段将依活动、产品和服务的不同而不同。</w:t>
      </w:r>
    </w:p>
    <w:p>
      <w:pPr>
        <w:pStyle w:val="56"/>
        <w:ind w:firstLine="420"/>
      </w:pPr>
      <w:r>
        <w:rPr>
          <w:rFonts w:hint="eastAsia"/>
        </w:rPr>
        <w:t>[来源：G</w:t>
      </w:r>
      <w:r>
        <w:t>B/T</w:t>
      </w:r>
      <w:r>
        <w:rPr>
          <w:rFonts w:hint="eastAsia"/>
          <w:lang w:val="en-US" w:eastAsia="zh-CN"/>
        </w:rPr>
        <w:t xml:space="preserve"> </w:t>
      </w:r>
      <w:r>
        <w:t>24001</w:t>
      </w:r>
      <w:r>
        <w:rPr>
          <w:rFonts w:hint="eastAsia"/>
          <w:lang w:eastAsia="zh-CN"/>
        </w:rPr>
        <w:t>—</w:t>
      </w:r>
      <w:r>
        <w:t>2016,</w:t>
      </w:r>
      <w:r>
        <w:rPr>
          <w:rFonts w:hint="eastAsia"/>
          <w:lang w:val="en-US" w:eastAsia="zh-CN"/>
        </w:rPr>
        <w:t>3</w:t>
      </w:r>
      <w:r>
        <w:t>.</w:t>
      </w:r>
      <w:r>
        <w:rPr>
          <w:rFonts w:hint="eastAsia"/>
          <w:lang w:val="en-US" w:eastAsia="zh-CN"/>
        </w:rPr>
        <w:t>3</w:t>
      </w:r>
      <w:r>
        <w:t>.</w:t>
      </w:r>
      <w:r>
        <w:rPr>
          <w:rFonts w:hint="eastAsia"/>
          <w:lang w:val="en-US" w:eastAsia="zh-CN"/>
        </w:rPr>
        <w:t>3</w:t>
      </w:r>
      <w:r>
        <w:t>,</w:t>
      </w:r>
      <w:r>
        <w:rPr>
          <w:rFonts w:hint="eastAsia"/>
        </w:rPr>
        <w:t>有修改]</w:t>
      </w:r>
    </w:p>
    <w:p>
      <w:pPr>
        <w:pStyle w:val="104"/>
        <w:spacing w:before="312" w:after="312"/>
      </w:pPr>
      <w:bookmarkStart w:id="84" w:name="_Toc146108022"/>
      <w:bookmarkStart w:id="85" w:name="_Toc146114059"/>
      <w:bookmarkStart w:id="86" w:name="_Toc147592118"/>
      <w:bookmarkStart w:id="87" w:name="_Toc146108008"/>
      <w:bookmarkStart w:id="88" w:name="_Toc146113345"/>
      <w:bookmarkStart w:id="89" w:name="_Toc147591787"/>
      <w:bookmarkStart w:id="90" w:name="_Toc147591761"/>
      <w:r>
        <w:rPr>
          <w:rFonts w:hint="eastAsia"/>
        </w:rPr>
        <w:t>基本要求</w:t>
      </w:r>
      <w:bookmarkEnd w:id="84"/>
      <w:bookmarkEnd w:id="85"/>
      <w:bookmarkEnd w:id="86"/>
      <w:bookmarkEnd w:id="87"/>
      <w:bookmarkEnd w:id="88"/>
      <w:bookmarkEnd w:id="89"/>
      <w:bookmarkEnd w:id="90"/>
    </w:p>
    <w:p>
      <w:pPr>
        <w:pStyle w:val="105"/>
        <w:spacing w:before="156" w:after="156"/>
      </w:pPr>
      <w:bookmarkStart w:id="91" w:name="_Toc147591762"/>
      <w:bookmarkStart w:id="92" w:name="_Toc146108009"/>
      <w:r>
        <w:rPr>
          <w:rFonts w:hint="eastAsia"/>
        </w:rPr>
        <w:t>系统科学</w:t>
      </w:r>
      <w:bookmarkEnd w:id="91"/>
      <w:bookmarkEnd w:id="92"/>
    </w:p>
    <w:p>
      <w:pPr>
        <w:pStyle w:val="56"/>
        <w:ind w:firstLine="420"/>
      </w:pPr>
      <w:r>
        <w:rPr>
          <w:rFonts w:hint="eastAsia"/>
        </w:rPr>
        <w:t>认证活动应基于全生命周期理念，统筹资源属性、能源属性、环境属性、品质属性等，遵循合格评定基本原则，建立科学的评价方法与制度体系。</w:t>
      </w:r>
    </w:p>
    <w:p>
      <w:pPr>
        <w:pStyle w:val="105"/>
        <w:spacing w:before="156" w:after="156"/>
      </w:pPr>
      <w:bookmarkStart w:id="93" w:name="_Toc146108010"/>
      <w:bookmarkStart w:id="94" w:name="_Toc147591763"/>
      <w:r>
        <w:rPr>
          <w:rFonts w:hint="eastAsia"/>
        </w:rPr>
        <w:t>开放合作</w:t>
      </w:r>
      <w:bookmarkEnd w:id="93"/>
      <w:bookmarkEnd w:id="94"/>
    </w:p>
    <w:p>
      <w:pPr>
        <w:pStyle w:val="56"/>
        <w:ind w:firstLine="420"/>
      </w:pPr>
      <w:r>
        <w:rPr>
          <w:rFonts w:hint="eastAsia"/>
        </w:rPr>
        <w:t>认证活动应面向全社会开放，企事业单位或其他社会组织可自愿申请。宜引导区域优势产业和产业链供应链共同参与，合作互助，区域互补，协同提升。</w:t>
      </w:r>
    </w:p>
    <w:p>
      <w:pPr>
        <w:pStyle w:val="105"/>
        <w:spacing w:before="156" w:after="156"/>
      </w:pPr>
      <w:bookmarkStart w:id="95" w:name="_Toc147591764"/>
      <w:bookmarkStart w:id="96" w:name="_Toc146108011"/>
      <w:r>
        <w:rPr>
          <w:rFonts w:hint="eastAsia"/>
        </w:rPr>
        <w:t>创新发展</w:t>
      </w:r>
      <w:bookmarkEnd w:id="95"/>
      <w:bookmarkEnd w:id="96"/>
    </w:p>
    <w:p>
      <w:pPr>
        <w:pStyle w:val="56"/>
        <w:ind w:firstLine="420"/>
      </w:pPr>
      <w:r>
        <w:rPr>
          <w:rFonts w:hint="eastAsia"/>
        </w:rPr>
        <w:t>认证活动应聚焦长三角区域优势产业、重点领域，创新认证标准、技术和方法，带动区域产业链供应链绿色转型，持续满足生态环境建设要求，引领绿色低碳高质量发展。</w:t>
      </w:r>
    </w:p>
    <w:p>
      <w:pPr>
        <w:pStyle w:val="105"/>
        <w:spacing w:before="156" w:after="156"/>
      </w:pPr>
      <w:bookmarkStart w:id="97" w:name="_Toc147591765"/>
      <w:bookmarkStart w:id="98" w:name="_Toc146108012"/>
      <w:r>
        <w:rPr>
          <w:rFonts w:hint="eastAsia"/>
        </w:rPr>
        <w:t>公平公正</w:t>
      </w:r>
      <w:bookmarkEnd w:id="97"/>
      <w:bookmarkEnd w:id="98"/>
    </w:p>
    <w:p>
      <w:pPr>
        <w:pStyle w:val="56"/>
        <w:ind w:firstLine="420"/>
      </w:pPr>
      <w:r>
        <w:rPr>
          <w:rFonts w:hint="eastAsia"/>
        </w:rPr>
        <w:t>认证活动应按照本文件及相关规定开展，做到实事求是、客观公正。</w:t>
      </w:r>
    </w:p>
    <w:p>
      <w:pPr>
        <w:pStyle w:val="104"/>
        <w:spacing w:before="312" w:after="312"/>
      </w:pPr>
      <w:bookmarkStart w:id="99" w:name="_Toc146114060"/>
      <w:bookmarkStart w:id="100" w:name="_Toc147591766"/>
      <w:bookmarkStart w:id="101" w:name="_Toc146108023"/>
      <w:bookmarkStart w:id="102" w:name="_Toc146108013"/>
      <w:bookmarkStart w:id="103" w:name="_Toc147591788"/>
      <w:bookmarkStart w:id="104" w:name="_Toc147592119"/>
      <w:bookmarkStart w:id="105" w:name="_Toc146113346"/>
      <w:r>
        <w:rPr>
          <w:rFonts w:hint="eastAsia"/>
        </w:rPr>
        <w:t>申请组织</w:t>
      </w:r>
      <w:bookmarkEnd w:id="99"/>
      <w:bookmarkEnd w:id="100"/>
      <w:bookmarkEnd w:id="101"/>
      <w:bookmarkEnd w:id="102"/>
      <w:bookmarkEnd w:id="103"/>
      <w:bookmarkEnd w:id="104"/>
      <w:bookmarkEnd w:id="105"/>
    </w:p>
    <w:p>
      <w:pPr>
        <w:pStyle w:val="105"/>
        <w:spacing w:before="156" w:after="156"/>
      </w:pPr>
      <w:bookmarkStart w:id="106" w:name="_Toc146108014"/>
      <w:bookmarkStart w:id="107" w:name="_Toc147591767"/>
      <w:r>
        <w:rPr>
          <w:rFonts w:hint="eastAsia"/>
        </w:rPr>
        <w:t>基本条件</w:t>
      </w:r>
      <w:bookmarkEnd w:id="106"/>
      <w:bookmarkEnd w:id="107"/>
    </w:p>
    <w:p>
      <w:pPr>
        <w:pStyle w:val="56"/>
        <w:ind w:firstLine="420"/>
      </w:pPr>
      <w:r>
        <w:rPr>
          <w:rFonts w:hint="eastAsia"/>
        </w:rPr>
        <w:t>应同时满足以下基本条件：</w:t>
      </w:r>
    </w:p>
    <w:p>
      <w:pPr>
        <w:pStyle w:val="174"/>
      </w:pPr>
      <w:r>
        <w:rPr>
          <w:rFonts w:hint="eastAsia"/>
        </w:rPr>
        <w:t>依法登记注册的企事业单位或其它社会组织，具有相应责任承担能力；</w:t>
      </w:r>
    </w:p>
    <w:p>
      <w:pPr>
        <w:pStyle w:val="174"/>
      </w:pPr>
      <w:r>
        <w:rPr>
          <w:rFonts w:hint="eastAsia"/>
        </w:rPr>
        <w:t>遵守国家和地方法律法规及相关要求，近三年无较大质量、安全和环境污染事故。</w:t>
      </w:r>
    </w:p>
    <w:p>
      <w:pPr>
        <w:pStyle w:val="105"/>
        <w:spacing w:before="156" w:after="156"/>
      </w:pPr>
      <w:bookmarkStart w:id="108" w:name="_Toc147591768"/>
      <w:bookmarkStart w:id="109" w:name="_Toc146108015"/>
      <w:r>
        <w:rPr>
          <w:rFonts w:hint="eastAsia"/>
        </w:rPr>
        <w:t>管理要求</w:t>
      </w:r>
      <w:bookmarkEnd w:id="108"/>
      <w:bookmarkEnd w:id="109"/>
    </w:p>
    <w:p>
      <w:pPr>
        <w:pStyle w:val="165"/>
        <w:ind w:left="0" w:leftChars="0" w:firstLineChars="0"/>
      </w:pPr>
      <w:r>
        <w:rPr>
          <w:rFonts w:hint="eastAsia"/>
        </w:rPr>
        <w:t>应具备实现绿色产品生产或绿色服务提供的基本资源，包括但不限于设备、人员、场地等。</w:t>
      </w:r>
    </w:p>
    <w:p>
      <w:pPr>
        <w:pStyle w:val="165"/>
        <w:ind w:left="0" w:leftChars="0" w:firstLineChars="0"/>
      </w:pPr>
      <w:r>
        <w:rPr>
          <w:rFonts w:hint="eastAsia"/>
        </w:rPr>
        <w:t>应按照行业特点和要求，建立并有效运行质量管理体系和环境管理体系。必要时应建立并有效运行能源管理体系和职业健康安全管理体系等。</w:t>
      </w:r>
    </w:p>
    <w:p>
      <w:pPr>
        <w:pStyle w:val="179"/>
      </w:pPr>
      <w:r>
        <w:rPr>
          <w:rFonts w:hint="eastAsia"/>
        </w:rPr>
        <w:t>可参考GB/T 19001、GB/T 24001、GB/T 23331、GB/T 45001等，特定行业宜参考行业要求。</w:t>
      </w:r>
    </w:p>
    <w:p>
      <w:pPr>
        <w:pStyle w:val="165"/>
        <w:ind w:left="0" w:leftChars="0" w:firstLineChars="0"/>
      </w:pPr>
      <w:r>
        <w:rPr>
          <w:rFonts w:hint="eastAsia"/>
        </w:rPr>
        <w:t>应针对资源、能源、环境、品质等方面，建立并有效运行保障绿色产品生产或绿色服务提供的相应制度。</w:t>
      </w:r>
    </w:p>
    <w:p>
      <w:pPr>
        <w:pStyle w:val="104"/>
        <w:spacing w:before="312" w:after="312"/>
      </w:pPr>
      <w:bookmarkStart w:id="110" w:name="_Toc146113347"/>
      <w:bookmarkStart w:id="111" w:name="_Toc146108016"/>
      <w:bookmarkStart w:id="112" w:name="_Toc146108024"/>
      <w:bookmarkStart w:id="113" w:name="_Toc146114061"/>
      <w:bookmarkStart w:id="114" w:name="_Toc147591789"/>
      <w:bookmarkStart w:id="115" w:name="_Toc147592120"/>
      <w:bookmarkStart w:id="116" w:name="_Toc147591769"/>
      <w:r>
        <w:rPr>
          <w:rFonts w:hint="eastAsia"/>
        </w:rPr>
        <w:t>评价指标</w:t>
      </w:r>
      <w:bookmarkEnd w:id="110"/>
      <w:bookmarkEnd w:id="111"/>
      <w:bookmarkEnd w:id="112"/>
      <w:bookmarkEnd w:id="113"/>
      <w:r>
        <w:rPr>
          <w:rFonts w:hint="eastAsia"/>
        </w:rPr>
        <w:t>确定原则</w:t>
      </w:r>
      <w:bookmarkEnd w:id="114"/>
      <w:bookmarkEnd w:id="115"/>
      <w:bookmarkEnd w:id="116"/>
    </w:p>
    <w:p>
      <w:pPr>
        <w:pStyle w:val="105"/>
        <w:spacing w:before="156" w:after="156"/>
      </w:pPr>
      <w:bookmarkStart w:id="117" w:name="_Toc147591770"/>
      <w:r>
        <w:rPr>
          <w:rFonts w:hint="eastAsia"/>
        </w:rPr>
        <w:t>绿色产品</w:t>
      </w:r>
      <w:bookmarkEnd w:id="117"/>
    </w:p>
    <w:p>
      <w:pPr>
        <w:pStyle w:val="165"/>
        <w:ind w:left="0" w:leftChars="0" w:firstLineChars="0"/>
      </w:pPr>
      <w:r>
        <w:rPr>
          <w:rFonts w:hint="eastAsia"/>
        </w:rPr>
        <w:t>绿色产品评价指标的确定应在符合GB/T 33761相关评价指标要求基础上，以产品特性为主要方向，体现产品全生命周期理念，充分考虑原材料获取、设计、生产、运输和(或)交付、使用、寿命结束后处理和最终处置等过程，选择或制定绿色产品技术标准，量化设置可检测、可验证的指标。</w:t>
      </w:r>
    </w:p>
    <w:p>
      <w:pPr>
        <w:pStyle w:val="165"/>
        <w:ind w:left="0" w:leftChars="0" w:firstLineChars="0"/>
      </w:pPr>
      <w:r>
        <w:rPr>
          <w:rFonts w:hint="eastAsia"/>
        </w:rPr>
        <w:t>根据行业和产品自身的特点，绿色产品评价指标的确定应考虑资源属性、能源属性、环境属性和品质属性四个方面：</w:t>
      </w:r>
    </w:p>
    <w:p>
      <w:pPr>
        <w:pStyle w:val="174"/>
        <w:numPr>
          <w:ilvl w:val="0"/>
          <w:numId w:val="32"/>
        </w:numPr>
      </w:pPr>
      <w:r>
        <w:rPr>
          <w:rFonts w:hint="eastAsia"/>
        </w:rPr>
        <w:t>资源属性方面：应结合资源的可获得性、可再生性、可重复性、可减量性等设定；</w:t>
      </w:r>
    </w:p>
    <w:p>
      <w:pPr>
        <w:pStyle w:val="174"/>
      </w:pPr>
      <w:r>
        <w:rPr>
          <w:rFonts w:hint="eastAsia"/>
        </w:rPr>
        <w:t>能源属性方面：应结合能源使用、能源效率等进行设定；</w:t>
      </w:r>
    </w:p>
    <w:p>
      <w:pPr>
        <w:pStyle w:val="174"/>
      </w:pPr>
      <w:r>
        <w:rPr>
          <w:rFonts w:hint="eastAsia"/>
        </w:rPr>
        <w:t>环境属性方面：应结合污染物排放、温室气体排放、物理特征等进行设定；</w:t>
      </w:r>
    </w:p>
    <w:p>
      <w:pPr>
        <w:pStyle w:val="174"/>
      </w:pPr>
      <w:r>
        <w:rPr>
          <w:rFonts w:hint="eastAsia"/>
        </w:rPr>
        <w:t>品质属性方面：应结合功能性、耐用性、安全性等进行设定。</w:t>
      </w:r>
    </w:p>
    <w:p>
      <w:pPr>
        <w:pStyle w:val="179"/>
      </w:pPr>
      <w:r>
        <w:rPr>
          <w:rFonts w:hint="eastAsia"/>
        </w:rPr>
        <w:t>示例参见附录A。</w:t>
      </w:r>
    </w:p>
    <w:p>
      <w:pPr>
        <w:pStyle w:val="105"/>
        <w:spacing w:before="156" w:after="156"/>
      </w:pPr>
      <w:bookmarkStart w:id="118" w:name="_Toc147591771"/>
      <w:r>
        <w:rPr>
          <w:rFonts w:hint="eastAsia"/>
        </w:rPr>
        <w:t>绿色服务</w:t>
      </w:r>
      <w:bookmarkEnd w:id="118"/>
    </w:p>
    <w:p>
      <w:pPr>
        <w:pStyle w:val="165"/>
        <w:ind w:left="0" w:leftChars="0" w:firstLineChars="0"/>
      </w:pPr>
      <w:r>
        <w:rPr>
          <w:rFonts w:hint="eastAsia"/>
        </w:rPr>
        <w:t>绿色服务评价指标的选择应根据行业和服务自身的特点，结合资源属性、能源属性、环境属性和品质属性四个方面的基本要求，以服务特性为主要方向，基于特定服务的声明周期理念，充分考虑服务的设计、提供与交付、体验三个阶段，选择或制定绿色服务技术标准，量化设置可测评、可体验的指标。</w:t>
      </w:r>
    </w:p>
    <w:p>
      <w:pPr>
        <w:pStyle w:val="165"/>
        <w:ind w:left="0" w:leftChars="0" w:firstLineChars="0"/>
      </w:pPr>
      <w:r>
        <w:rPr>
          <w:rFonts w:hint="eastAsia"/>
        </w:rPr>
        <w:t>根据行业和服务自身的特点，绿色服务评价指标的确定应考虑资源属性、能源属性、环境属性和品质属性四个方面：</w:t>
      </w:r>
    </w:p>
    <w:p>
      <w:pPr>
        <w:pStyle w:val="174"/>
        <w:numPr>
          <w:ilvl w:val="0"/>
          <w:numId w:val="33"/>
        </w:numPr>
      </w:pPr>
      <w:r>
        <w:rPr>
          <w:rFonts w:hint="eastAsia"/>
        </w:rPr>
        <w:t>资源属性方面：应结合资源的可获得性、可再生性、可重复性、可减量性等设定；</w:t>
      </w:r>
    </w:p>
    <w:p>
      <w:pPr>
        <w:pStyle w:val="174"/>
        <w:numPr>
          <w:ilvl w:val="0"/>
          <w:numId w:val="33"/>
        </w:numPr>
      </w:pPr>
      <w:r>
        <w:rPr>
          <w:rFonts w:hint="eastAsia"/>
        </w:rPr>
        <w:t>能源属性方面：应结合能源使用、能源效率等进行设定；</w:t>
      </w:r>
    </w:p>
    <w:p>
      <w:pPr>
        <w:pStyle w:val="174"/>
        <w:numPr>
          <w:ilvl w:val="0"/>
          <w:numId w:val="33"/>
        </w:numPr>
      </w:pPr>
      <w:r>
        <w:rPr>
          <w:rFonts w:hint="eastAsia"/>
        </w:rPr>
        <w:t>环境属性方面：应关注污染物排放、温室气体排放、物理特征等进行设定；</w:t>
      </w:r>
    </w:p>
    <w:p>
      <w:pPr>
        <w:pStyle w:val="174"/>
        <w:numPr>
          <w:ilvl w:val="0"/>
          <w:numId w:val="33"/>
        </w:numPr>
        <w:rPr>
          <w:rFonts w:hint="eastAsia"/>
        </w:rPr>
      </w:pPr>
      <w:r>
        <w:rPr>
          <w:rFonts w:hint="eastAsia"/>
        </w:rPr>
        <w:t>品质属性方面：应结合功能性、经济性、安全性、文明性等进行设定。</w:t>
      </w:r>
    </w:p>
    <w:p>
      <w:pPr>
        <w:pStyle w:val="179"/>
      </w:pPr>
      <w:r>
        <w:rPr>
          <w:rFonts w:hint="eastAsia"/>
        </w:rPr>
        <w:t>示例参见附录B。</w:t>
      </w:r>
    </w:p>
    <w:p>
      <w:pPr>
        <w:pStyle w:val="104"/>
        <w:spacing w:before="312" w:after="312"/>
      </w:pPr>
      <w:bookmarkStart w:id="119" w:name="_Toc147591772"/>
      <w:bookmarkStart w:id="120" w:name="_Toc146113348"/>
      <w:bookmarkStart w:id="121" w:name="_Toc147591790"/>
      <w:bookmarkStart w:id="122" w:name="_Toc146114062"/>
      <w:bookmarkStart w:id="123" w:name="_Toc147592121"/>
      <w:r>
        <w:rPr>
          <w:rFonts w:hint="eastAsia"/>
        </w:rPr>
        <w:t>认证实施</w:t>
      </w:r>
      <w:bookmarkEnd w:id="119"/>
      <w:bookmarkEnd w:id="120"/>
      <w:bookmarkEnd w:id="121"/>
      <w:bookmarkEnd w:id="122"/>
      <w:bookmarkEnd w:id="123"/>
    </w:p>
    <w:p>
      <w:pPr>
        <w:pStyle w:val="105"/>
        <w:spacing w:before="156" w:after="156"/>
      </w:pPr>
      <w:bookmarkStart w:id="124" w:name="_Toc147591773"/>
      <w:r>
        <w:rPr>
          <w:rFonts w:hint="eastAsia"/>
        </w:rPr>
        <w:t>实施主体</w:t>
      </w:r>
      <w:bookmarkEnd w:id="124"/>
    </w:p>
    <w:p>
      <w:pPr>
        <w:pStyle w:val="56"/>
        <w:ind w:firstLine="420"/>
      </w:pPr>
      <w:r>
        <w:rPr>
          <w:rFonts w:hint="eastAsia"/>
        </w:rPr>
        <w:t>绿色产品和服务认证实施主体应为依法取得资质的第三方认证机构。</w:t>
      </w:r>
    </w:p>
    <w:p>
      <w:pPr>
        <w:pStyle w:val="105"/>
        <w:spacing w:before="156" w:after="156"/>
      </w:pPr>
      <w:bookmarkStart w:id="125" w:name="_Toc147591774"/>
      <w:r>
        <w:rPr>
          <w:rFonts w:hint="eastAsia"/>
        </w:rPr>
        <w:t>认证依据</w:t>
      </w:r>
      <w:bookmarkEnd w:id="125"/>
    </w:p>
    <w:p>
      <w:pPr>
        <w:pStyle w:val="56"/>
        <w:ind w:firstLine="420"/>
      </w:pPr>
      <w:r>
        <w:rPr>
          <w:rFonts w:hint="eastAsia"/>
        </w:rPr>
        <w:t>绿色产品和服务认证宜选择适用的国际、国家、行业、地方或团体标准。</w:t>
      </w:r>
    </w:p>
    <w:p>
      <w:pPr>
        <w:pStyle w:val="105"/>
        <w:spacing w:before="156" w:after="156"/>
      </w:pPr>
      <w:bookmarkStart w:id="126" w:name="_Toc147591775"/>
      <w:r>
        <w:rPr>
          <w:rFonts w:hint="eastAsia"/>
        </w:rPr>
        <w:t>认证模式</w:t>
      </w:r>
      <w:bookmarkEnd w:id="126"/>
    </w:p>
    <w:p>
      <w:pPr>
        <w:pStyle w:val="56"/>
        <w:ind w:firstLine="420"/>
      </w:pPr>
      <w:r>
        <w:rPr>
          <w:rFonts w:hint="eastAsia"/>
        </w:rPr>
        <w:t>一般情况下，推荐采用以下认证模式：</w:t>
      </w:r>
    </w:p>
    <w:p>
      <w:pPr>
        <w:pStyle w:val="174"/>
        <w:numPr>
          <w:ilvl w:val="0"/>
          <w:numId w:val="34"/>
        </w:numPr>
      </w:pPr>
      <w:r>
        <w:rPr>
          <w:rFonts w:hint="eastAsia"/>
        </w:rPr>
        <w:t>绿色产品认证：初始检查+产品抽样检验+获证后监督；或产品抽样检测+初始检查+获证后监督；</w:t>
      </w:r>
    </w:p>
    <w:p>
      <w:pPr>
        <w:pStyle w:val="174"/>
        <w:numPr>
          <w:ilvl w:val="0"/>
          <w:numId w:val="34"/>
        </w:numPr>
      </w:pPr>
      <w:r>
        <w:rPr>
          <w:rFonts w:hint="eastAsia"/>
        </w:rPr>
        <w:t>绿色服务认证：初始审查+服务特性测评+获证后监督。</w:t>
      </w:r>
    </w:p>
    <w:p>
      <w:pPr>
        <w:pStyle w:val="180"/>
        <w:numPr>
          <w:ilvl w:val="0"/>
          <w:numId w:val="35"/>
        </w:numPr>
      </w:pPr>
      <w:r>
        <w:rPr>
          <w:rFonts w:hint="eastAsia"/>
        </w:rPr>
        <w:t>需采用特殊模式的，应遵循合格评定的程序和合格评定功能法相关要求。</w:t>
      </w:r>
    </w:p>
    <w:p>
      <w:pPr>
        <w:pStyle w:val="180"/>
        <w:numPr>
          <w:ilvl w:val="0"/>
          <w:numId w:val="35"/>
        </w:numPr>
      </w:pPr>
      <w:r>
        <w:rPr>
          <w:rFonts w:hint="eastAsia"/>
        </w:rPr>
        <w:t>产品认证模式选择参考GB/T 27067。</w:t>
      </w:r>
    </w:p>
    <w:p>
      <w:pPr>
        <w:pStyle w:val="180"/>
        <w:numPr>
          <w:ilvl w:val="0"/>
          <w:numId w:val="35"/>
        </w:numPr>
      </w:pPr>
      <w:r>
        <w:rPr>
          <w:rFonts w:hint="eastAsia"/>
        </w:rPr>
        <w:t>服务认证模式选择参考GB/T 27207。</w:t>
      </w:r>
    </w:p>
    <w:p>
      <w:pPr>
        <w:pStyle w:val="105"/>
        <w:spacing w:before="156" w:after="156"/>
      </w:pPr>
      <w:bookmarkStart w:id="127" w:name="_Toc147591776"/>
      <w:r>
        <w:rPr>
          <w:rFonts w:hint="eastAsia"/>
        </w:rPr>
        <w:t>认证规则</w:t>
      </w:r>
      <w:bookmarkEnd w:id="127"/>
    </w:p>
    <w:p>
      <w:pPr>
        <w:pStyle w:val="56"/>
        <w:ind w:firstLine="420"/>
      </w:pPr>
      <w:r>
        <w:rPr>
          <w:rFonts w:hint="eastAsia"/>
        </w:rPr>
        <w:t>认证机构在开展绿色产品和服务认证时应依据本文件及相关要求，制定对应的认证规则，细化认证实施程序，按照国家认证监督管理部门要求进行备案并对外公布。</w:t>
      </w:r>
    </w:p>
    <w:p>
      <w:pPr>
        <w:pStyle w:val="105"/>
        <w:spacing w:before="156" w:after="156"/>
      </w:pPr>
      <w:bookmarkStart w:id="128" w:name="_Toc147591777"/>
      <w:r>
        <w:rPr>
          <w:rFonts w:hint="eastAsia"/>
        </w:rPr>
        <w:t>实施程序</w:t>
      </w:r>
      <w:bookmarkEnd w:id="128"/>
    </w:p>
    <w:p>
      <w:pPr>
        <w:pStyle w:val="56"/>
        <w:ind w:firstLine="420"/>
      </w:pPr>
      <w:r>
        <w:rPr>
          <w:rFonts w:hint="eastAsia"/>
        </w:rPr>
        <w:t>认证程序主要包括认证申请、申请评审、评价、复核、认证决定、监督等。</w:t>
      </w:r>
    </w:p>
    <w:p>
      <w:pPr>
        <w:pStyle w:val="105"/>
        <w:spacing w:before="156" w:after="156"/>
      </w:pPr>
      <w:bookmarkStart w:id="129" w:name="_Toc147591778"/>
      <w:r>
        <w:rPr>
          <w:rFonts w:hint="eastAsia"/>
        </w:rPr>
        <w:t>认证证书与标志</w:t>
      </w:r>
      <w:bookmarkEnd w:id="129"/>
    </w:p>
    <w:p>
      <w:pPr>
        <w:pStyle w:val="165"/>
        <w:ind w:left="0" w:leftChars="0" w:firstLineChars="0"/>
      </w:pPr>
      <w:r>
        <w:rPr>
          <w:rFonts w:hint="eastAsia"/>
        </w:rPr>
        <w:t>认证证书由实施绿色产品和服务认证相关组织统一要求。</w:t>
      </w:r>
    </w:p>
    <w:p>
      <w:pPr>
        <w:pStyle w:val="165"/>
        <w:ind w:left="0" w:leftChars="0" w:firstLineChars="0"/>
      </w:pPr>
      <w:r>
        <w:rPr>
          <w:rFonts w:hint="eastAsia"/>
        </w:rPr>
        <w:t>认证标志依据国家认证监督管理部门相关要求统一制定使用。</w:t>
      </w:r>
    </w:p>
    <w:p>
      <w:pPr>
        <w:pStyle w:val="105"/>
        <w:spacing w:before="156" w:after="156"/>
      </w:pPr>
      <w:bookmarkStart w:id="130" w:name="_Toc147591779"/>
      <w:r>
        <w:rPr>
          <w:rFonts w:hint="eastAsia"/>
        </w:rPr>
        <w:t>证书有效期</w:t>
      </w:r>
      <w:bookmarkEnd w:id="130"/>
    </w:p>
    <w:p>
      <w:pPr>
        <w:pStyle w:val="165"/>
        <w:ind w:left="0" w:leftChars="0" w:firstLineChars="0"/>
      </w:pPr>
      <w:r>
        <w:rPr>
          <w:rFonts w:hint="eastAsia"/>
        </w:rPr>
        <w:t>绿色产品认证证书有效期为5年，绿色服务认证证书有效期为3年。</w:t>
      </w:r>
    </w:p>
    <w:p>
      <w:pPr>
        <w:pStyle w:val="165"/>
        <w:ind w:left="0" w:leftChars="0" w:firstLineChars="0"/>
      </w:pPr>
      <w:r>
        <w:rPr>
          <w:rFonts w:hint="eastAsia"/>
        </w:rPr>
        <w:t>有效期内，证书有效性通过定期监督进行维持。</w:t>
      </w:r>
    </w:p>
    <w:p>
      <w:pPr>
        <w:pStyle w:val="165"/>
        <w:ind w:left="0" w:leftChars="0" w:firstLineChars="0"/>
      </w:pPr>
      <w:r>
        <w:rPr>
          <w:rFonts w:hint="eastAsia"/>
        </w:rPr>
        <w:t>证书有效期满前90天，通过认证的组织应申请再次认证，进行证书延续。</w:t>
      </w:r>
    </w:p>
    <w:p>
      <w:pPr>
        <w:pStyle w:val="165"/>
        <w:sectPr>
          <w:pgSz w:w="11906" w:h="16838"/>
          <w:pgMar w:top="1928" w:right="1134" w:bottom="1134" w:left="1134" w:header="1418" w:footer="1134" w:gutter="284"/>
          <w:pgNumType w:start="1"/>
          <w:cols w:space="425" w:num="1"/>
          <w:formProt w:val="0"/>
          <w:docGrid w:type="lines" w:linePitch="312" w:charSpace="0"/>
        </w:sectPr>
      </w:pPr>
    </w:p>
    <w:bookmarkEnd w:id="27"/>
    <w:p>
      <w:pPr>
        <w:pStyle w:val="198"/>
        <w:rPr>
          <w:vanish w:val="0"/>
        </w:rPr>
      </w:pPr>
      <w:bookmarkStart w:id="131" w:name="BookMark5"/>
    </w:p>
    <w:p>
      <w:pPr>
        <w:pStyle w:val="199"/>
        <w:rPr>
          <w:vanish w:val="0"/>
        </w:rPr>
      </w:pPr>
    </w:p>
    <w:p>
      <w:pPr>
        <w:pStyle w:val="76"/>
        <w:spacing w:after="156"/>
      </w:pPr>
      <w:r>
        <w:br w:type="textWrapping"/>
      </w:r>
      <w:bookmarkStart w:id="132" w:name="_Toc146114063"/>
      <w:bookmarkStart w:id="133" w:name="_Toc147591780"/>
      <w:bookmarkStart w:id="134" w:name="_Toc147592122"/>
      <w:bookmarkStart w:id="135" w:name="_Toc146113349"/>
      <w:bookmarkStart w:id="136" w:name="_Toc147591791"/>
      <w:r>
        <w:rPr>
          <w:rFonts w:hint="eastAsia"/>
        </w:rPr>
        <w:t>（资料性）</w:t>
      </w:r>
      <w:r>
        <w:br w:type="textWrapping"/>
      </w:r>
      <w:r>
        <w:rPr>
          <w:rFonts w:hint="eastAsia"/>
        </w:rPr>
        <w:t>绿色产品评价指标示例</w:t>
      </w:r>
      <w:bookmarkEnd w:id="132"/>
      <w:bookmarkEnd w:id="133"/>
      <w:bookmarkEnd w:id="134"/>
      <w:bookmarkEnd w:id="135"/>
      <w:bookmarkEnd w:id="136"/>
    </w:p>
    <w:p>
      <w:pPr>
        <w:pStyle w:val="56"/>
        <w:ind w:firstLine="420"/>
        <w:rPr>
          <w:rFonts w:hint="eastAsia"/>
        </w:rPr>
      </w:pPr>
      <w:r>
        <w:rPr>
          <w:rFonts w:hint="eastAsia"/>
        </w:rPr>
        <w:t>以</w:t>
      </w:r>
      <w:r>
        <w:rPr>
          <w:rFonts w:hint="eastAsia"/>
          <w:lang w:val="en-US" w:eastAsia="zh-CN"/>
        </w:rPr>
        <w:t>水性建筑</w:t>
      </w:r>
      <w:r>
        <w:rPr>
          <w:rFonts w:hint="eastAsia"/>
        </w:rPr>
        <w:t>涂料为例，指标设置如下：</w:t>
      </w:r>
    </w:p>
    <w:tbl>
      <w:tblPr>
        <w:tblStyle w:val="27"/>
        <w:tblW w:w="933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841"/>
        <w:gridCol w:w="1134"/>
        <w:gridCol w:w="965"/>
        <w:gridCol w:w="613"/>
        <w:gridCol w:w="690"/>
        <w:gridCol w:w="992"/>
        <w:gridCol w:w="709"/>
        <w:gridCol w:w="1016"/>
        <w:gridCol w:w="237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41" w:type="dxa"/>
            <w:tcBorders>
              <w:top w:val="single" w:color="auto" w:sz="8" w:space="0"/>
              <w:bottom w:val="single" w:color="auto" w:sz="8" w:space="0"/>
            </w:tcBorders>
            <w:shd w:val="clear" w:color="auto" w:fill="auto"/>
            <w:vAlign w:val="center"/>
          </w:tcPr>
          <w:p>
            <w:pPr>
              <w:pStyle w:val="178"/>
            </w:pPr>
            <w:r>
              <w:rPr>
                <w:rFonts w:hint="eastAsia"/>
              </w:rPr>
              <w:t>一级指标</w:t>
            </w:r>
          </w:p>
        </w:tc>
        <w:tc>
          <w:tcPr>
            <w:tcW w:w="1134" w:type="dxa"/>
            <w:tcBorders>
              <w:top w:val="single" w:color="auto" w:sz="8" w:space="0"/>
              <w:bottom w:val="single" w:color="auto" w:sz="8" w:space="0"/>
            </w:tcBorders>
            <w:shd w:val="clear" w:color="auto" w:fill="auto"/>
            <w:vAlign w:val="center"/>
          </w:tcPr>
          <w:p>
            <w:pPr>
              <w:pStyle w:val="178"/>
            </w:pPr>
            <w:r>
              <w:rPr>
                <w:rFonts w:hint="eastAsia"/>
              </w:rPr>
              <w:t>设定方向</w:t>
            </w:r>
          </w:p>
        </w:tc>
        <w:tc>
          <w:tcPr>
            <w:tcW w:w="3260" w:type="dxa"/>
            <w:gridSpan w:val="4"/>
            <w:tcBorders>
              <w:top w:val="single" w:color="auto" w:sz="8" w:space="0"/>
              <w:bottom w:val="single" w:color="auto" w:sz="8" w:space="0"/>
            </w:tcBorders>
            <w:shd w:val="clear" w:color="auto" w:fill="auto"/>
            <w:vAlign w:val="center"/>
          </w:tcPr>
          <w:p>
            <w:pPr>
              <w:pStyle w:val="178"/>
            </w:pPr>
            <w:r>
              <w:rPr>
                <w:rFonts w:hint="eastAsia"/>
              </w:rPr>
              <w:t>二级指标</w:t>
            </w:r>
          </w:p>
        </w:tc>
        <w:tc>
          <w:tcPr>
            <w:tcW w:w="709" w:type="dxa"/>
            <w:tcBorders>
              <w:top w:val="single" w:color="auto" w:sz="8" w:space="0"/>
              <w:bottom w:val="single" w:color="auto" w:sz="8" w:space="0"/>
            </w:tcBorders>
            <w:shd w:val="clear" w:color="auto" w:fill="auto"/>
            <w:vAlign w:val="center"/>
          </w:tcPr>
          <w:p>
            <w:pPr>
              <w:pStyle w:val="178"/>
            </w:pPr>
            <w:r>
              <w:rPr>
                <w:rFonts w:hint="eastAsia"/>
              </w:rPr>
              <w:t>单位</w:t>
            </w:r>
          </w:p>
        </w:tc>
        <w:tc>
          <w:tcPr>
            <w:tcW w:w="1016" w:type="dxa"/>
            <w:tcBorders>
              <w:top w:val="single" w:color="auto" w:sz="8" w:space="0"/>
              <w:bottom w:val="single" w:color="auto" w:sz="8" w:space="0"/>
            </w:tcBorders>
            <w:shd w:val="clear" w:color="auto" w:fill="auto"/>
            <w:vAlign w:val="center"/>
          </w:tcPr>
          <w:p>
            <w:pPr>
              <w:pStyle w:val="178"/>
            </w:pPr>
            <w:r>
              <w:rPr>
                <w:rFonts w:hint="eastAsia"/>
              </w:rPr>
              <w:t>基准值</w:t>
            </w:r>
          </w:p>
        </w:tc>
        <w:tc>
          <w:tcPr>
            <w:tcW w:w="2374" w:type="dxa"/>
            <w:tcBorders>
              <w:top w:val="single" w:color="auto" w:sz="8" w:space="0"/>
              <w:bottom w:val="single" w:color="auto" w:sz="8" w:space="0"/>
            </w:tcBorders>
            <w:shd w:val="clear" w:color="auto" w:fill="auto"/>
            <w:vAlign w:val="center"/>
          </w:tcPr>
          <w:p>
            <w:pPr>
              <w:pStyle w:val="178"/>
            </w:pPr>
            <w:r>
              <w:rPr>
                <w:rFonts w:hint="eastAsia"/>
              </w:rPr>
              <w:t>判定依据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restart"/>
            <w:tcBorders>
              <w:top w:val="single" w:color="auto" w:sz="8" w:space="0"/>
            </w:tcBorders>
            <w:shd w:val="clear" w:color="auto" w:fill="auto"/>
            <w:vAlign w:val="center"/>
          </w:tcPr>
          <w:p>
            <w:pPr>
              <w:pStyle w:val="178"/>
            </w:pPr>
            <w:r>
              <w:rPr>
                <w:rFonts w:hint="eastAsia"/>
              </w:rPr>
              <w:t>资源属性</w:t>
            </w:r>
          </w:p>
        </w:tc>
        <w:tc>
          <w:tcPr>
            <w:tcW w:w="1134" w:type="dxa"/>
            <w:vMerge w:val="restart"/>
            <w:tcBorders>
              <w:top w:val="single" w:color="auto" w:sz="8" w:space="0"/>
            </w:tcBorders>
            <w:shd w:val="clear" w:color="auto" w:fill="auto"/>
            <w:vAlign w:val="center"/>
          </w:tcPr>
          <w:p>
            <w:pPr>
              <w:pStyle w:val="178"/>
              <w:rPr>
                <w:szCs w:val="18"/>
              </w:rPr>
            </w:pPr>
            <w:r>
              <w:rPr>
                <w:rFonts w:hint="eastAsia" w:hAnsi="宋体"/>
              </w:rPr>
              <w:t>可获得性</w:t>
            </w:r>
          </w:p>
          <w:p>
            <w:pPr>
              <w:pStyle w:val="178"/>
            </w:pPr>
            <w:r>
              <w:rPr>
                <w:rFonts w:hint="eastAsia" w:hAnsi="宋体"/>
              </w:rPr>
              <w:t>可再生性</w:t>
            </w:r>
          </w:p>
          <w:p>
            <w:pPr>
              <w:pStyle w:val="178"/>
            </w:pPr>
            <w:r>
              <w:rPr>
                <w:rFonts w:hint="eastAsia" w:hAnsi="宋体"/>
              </w:rPr>
              <w:t>可重复性</w:t>
            </w:r>
          </w:p>
          <w:p>
            <w:pPr>
              <w:pStyle w:val="230"/>
              <w:jc w:val="center"/>
              <w:rPr>
                <w:rFonts w:ascii="宋体"/>
                <w:kern w:val="0"/>
                <w:sz w:val="18"/>
                <w:szCs w:val="20"/>
              </w:rPr>
            </w:pPr>
            <w:r>
              <w:rPr>
                <w:rFonts w:hint="eastAsia" w:ascii="宋体"/>
                <w:kern w:val="0"/>
                <w:sz w:val="18"/>
                <w:szCs w:val="20"/>
              </w:rPr>
              <w:t>可减量性</w:t>
            </w:r>
          </w:p>
        </w:tc>
        <w:tc>
          <w:tcPr>
            <w:tcW w:w="965" w:type="dxa"/>
            <w:vMerge w:val="restart"/>
            <w:tcBorders>
              <w:top w:val="single" w:color="auto" w:sz="8" w:space="0"/>
            </w:tcBorders>
            <w:shd w:val="clear" w:color="auto" w:fill="auto"/>
            <w:vAlign w:val="center"/>
          </w:tcPr>
          <w:p>
            <w:pPr>
              <w:pStyle w:val="178"/>
            </w:pPr>
            <w:r>
              <w:rPr>
                <w:rFonts w:hint="eastAsia"/>
              </w:rPr>
              <w:t>原材料要求</w:t>
            </w:r>
          </w:p>
        </w:tc>
        <w:tc>
          <w:tcPr>
            <w:tcW w:w="2295" w:type="dxa"/>
            <w:gridSpan w:val="3"/>
            <w:tcBorders>
              <w:top w:val="single" w:color="auto" w:sz="8" w:space="0"/>
            </w:tcBorders>
            <w:shd w:val="clear" w:color="auto" w:fill="auto"/>
            <w:vAlign w:val="center"/>
          </w:tcPr>
          <w:p>
            <w:pPr>
              <w:pStyle w:val="178"/>
              <w:jc w:val="left"/>
            </w:pPr>
            <w:r>
              <w:rPr>
                <w:rFonts w:hint="eastAsia"/>
              </w:rPr>
              <w:t>主要原材料生产企业要求</w:t>
            </w:r>
          </w:p>
        </w:tc>
        <w:tc>
          <w:tcPr>
            <w:tcW w:w="709" w:type="dxa"/>
            <w:tcBorders>
              <w:top w:val="single" w:color="auto" w:sz="8" w:space="0"/>
            </w:tcBorders>
            <w:shd w:val="clear" w:color="auto" w:fill="auto"/>
            <w:vAlign w:val="center"/>
          </w:tcPr>
          <w:p>
            <w:pPr>
              <w:pStyle w:val="178"/>
            </w:pPr>
            <w:r>
              <w:rPr>
                <w:rFonts w:hint="eastAsia"/>
              </w:rPr>
              <w:t>—</w:t>
            </w:r>
          </w:p>
        </w:tc>
        <w:tc>
          <w:tcPr>
            <w:tcW w:w="1016" w:type="dxa"/>
            <w:tcBorders>
              <w:top w:val="single" w:color="auto" w:sz="8" w:space="0"/>
            </w:tcBorders>
            <w:shd w:val="clear" w:color="auto" w:fill="auto"/>
            <w:vAlign w:val="center"/>
          </w:tcPr>
          <w:p>
            <w:pPr>
              <w:pStyle w:val="178"/>
            </w:pPr>
            <w:r>
              <w:rPr>
                <w:rFonts w:hint="eastAsia"/>
              </w:rPr>
              <w:t>应加强清洁</w:t>
            </w:r>
          </w:p>
          <w:p>
            <w:pPr>
              <w:pStyle w:val="178"/>
            </w:pPr>
            <w:r>
              <w:rPr>
                <w:rFonts w:hint="eastAsia"/>
              </w:rPr>
              <w:t>生产</w:t>
            </w:r>
          </w:p>
        </w:tc>
        <w:tc>
          <w:tcPr>
            <w:tcW w:w="2374" w:type="dxa"/>
            <w:tcBorders>
              <w:top w:val="single" w:color="auto" w:sz="8" w:space="0"/>
            </w:tcBorders>
            <w:shd w:val="clear" w:color="auto" w:fill="auto"/>
            <w:vAlign w:val="center"/>
          </w:tcPr>
          <w:p>
            <w:pPr>
              <w:pStyle w:val="178"/>
              <w:jc w:val="left"/>
            </w:pPr>
            <w:r>
              <w:rPr>
                <w:rFonts w:hint="eastAsia"/>
              </w:rPr>
              <w:t>提供证明材料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613" w:type="dxa"/>
            <w:vMerge w:val="restart"/>
            <w:shd w:val="clear" w:color="auto" w:fill="auto"/>
            <w:vAlign w:val="center"/>
          </w:tcPr>
          <w:p>
            <w:pPr>
              <w:pStyle w:val="178"/>
            </w:pPr>
            <w:r>
              <w:rPr>
                <w:rFonts w:hint="eastAsia"/>
              </w:rPr>
              <w:t>乳液</w:t>
            </w:r>
          </w:p>
        </w:tc>
        <w:tc>
          <w:tcPr>
            <w:tcW w:w="690" w:type="dxa"/>
            <w:vMerge w:val="restart"/>
            <w:shd w:val="clear" w:color="auto" w:fill="auto"/>
            <w:vAlign w:val="center"/>
          </w:tcPr>
          <w:p>
            <w:pPr>
              <w:pStyle w:val="178"/>
            </w:pPr>
            <w:r>
              <w:rPr>
                <w:rFonts w:hint="eastAsia"/>
              </w:rPr>
              <w:t>残余单体含量</w:t>
            </w:r>
          </w:p>
        </w:tc>
        <w:tc>
          <w:tcPr>
            <w:tcW w:w="992" w:type="dxa"/>
            <w:shd w:val="clear" w:color="auto" w:fill="auto"/>
            <w:vAlign w:val="center"/>
          </w:tcPr>
          <w:p>
            <w:pPr>
              <w:pStyle w:val="178"/>
            </w:pPr>
            <w:r>
              <w:rPr>
                <w:rFonts w:hint="eastAsia"/>
              </w:rPr>
              <w:t>内墙用</w:t>
            </w:r>
          </w:p>
        </w:tc>
        <w:tc>
          <w:tcPr>
            <w:tcW w:w="709" w:type="dxa"/>
            <w:shd w:val="clear" w:color="auto" w:fill="auto"/>
            <w:vAlign w:val="center"/>
          </w:tcPr>
          <w:p>
            <w:pPr>
              <w:pStyle w:val="178"/>
            </w:pPr>
            <w:r>
              <w:t>%</w:t>
            </w:r>
          </w:p>
        </w:tc>
        <w:tc>
          <w:tcPr>
            <w:tcW w:w="1016" w:type="dxa"/>
            <w:shd w:val="clear" w:color="auto" w:fill="auto"/>
            <w:vAlign w:val="center"/>
          </w:tcPr>
          <w:p>
            <w:pPr>
              <w:pStyle w:val="178"/>
            </w:pPr>
            <w:r>
              <w:rPr>
                <w:rFonts w:hint="eastAsia"/>
              </w:rPr>
              <w:t>≤</w:t>
            </w:r>
            <w:r>
              <w:t>0.03</w:t>
            </w:r>
          </w:p>
        </w:tc>
        <w:tc>
          <w:tcPr>
            <w:tcW w:w="2374" w:type="dxa"/>
            <w:vMerge w:val="restart"/>
            <w:shd w:val="clear" w:color="auto" w:fill="auto"/>
            <w:vAlign w:val="center"/>
          </w:tcPr>
          <w:p>
            <w:pPr>
              <w:pStyle w:val="178"/>
              <w:jc w:val="left"/>
            </w:pPr>
            <w:r>
              <w:rPr>
                <w:rFonts w:hint="eastAsia"/>
              </w:rPr>
              <w:t>按GB/T 20623</w:t>
            </w:r>
            <w:r>
              <w:rPr>
                <w:rFonts w:hint="eastAsia"/>
                <w:lang w:eastAsia="zh-CN"/>
              </w:rPr>
              <w:t>—</w:t>
            </w:r>
            <w:r>
              <w:rPr>
                <w:rFonts w:hint="eastAsia"/>
              </w:rPr>
              <w:t>2006中附录A检测，提供有资质的第三方检测报告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613" w:type="dxa"/>
            <w:vMerge w:val="continue"/>
            <w:shd w:val="clear" w:color="auto" w:fill="auto"/>
            <w:vAlign w:val="center"/>
          </w:tcPr>
          <w:p>
            <w:pPr>
              <w:pStyle w:val="178"/>
            </w:pPr>
          </w:p>
        </w:tc>
        <w:tc>
          <w:tcPr>
            <w:tcW w:w="690" w:type="dxa"/>
            <w:vMerge w:val="continue"/>
            <w:shd w:val="clear" w:color="auto" w:fill="auto"/>
            <w:vAlign w:val="center"/>
          </w:tcPr>
          <w:p>
            <w:pPr>
              <w:pStyle w:val="178"/>
            </w:pPr>
          </w:p>
        </w:tc>
        <w:tc>
          <w:tcPr>
            <w:tcW w:w="992" w:type="dxa"/>
            <w:shd w:val="clear" w:color="auto" w:fill="auto"/>
            <w:vAlign w:val="center"/>
          </w:tcPr>
          <w:p>
            <w:pPr>
              <w:pStyle w:val="178"/>
            </w:pPr>
            <w:r>
              <w:rPr>
                <w:rFonts w:hint="eastAsia"/>
              </w:rPr>
              <w:t>外墙用</w:t>
            </w:r>
          </w:p>
        </w:tc>
        <w:tc>
          <w:tcPr>
            <w:tcW w:w="709" w:type="dxa"/>
            <w:shd w:val="clear" w:color="auto" w:fill="auto"/>
            <w:vAlign w:val="center"/>
          </w:tcPr>
          <w:p>
            <w:pPr>
              <w:pStyle w:val="178"/>
            </w:pPr>
            <w:r>
              <w:t>%</w:t>
            </w:r>
          </w:p>
        </w:tc>
        <w:tc>
          <w:tcPr>
            <w:tcW w:w="1016" w:type="dxa"/>
            <w:shd w:val="clear" w:color="auto" w:fill="auto"/>
            <w:vAlign w:val="center"/>
          </w:tcPr>
          <w:p>
            <w:pPr>
              <w:pStyle w:val="178"/>
            </w:pPr>
            <w:r>
              <w:rPr>
                <w:rFonts w:hint="eastAsia"/>
              </w:rPr>
              <w:t>≤0.05</w:t>
            </w:r>
          </w:p>
        </w:tc>
        <w:tc>
          <w:tcPr>
            <w:tcW w:w="2374"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613" w:type="dxa"/>
            <w:vMerge w:val="continue"/>
            <w:shd w:val="clear" w:color="auto" w:fill="auto"/>
            <w:vAlign w:val="center"/>
          </w:tcPr>
          <w:p>
            <w:pPr>
              <w:pStyle w:val="178"/>
            </w:pPr>
          </w:p>
        </w:tc>
        <w:tc>
          <w:tcPr>
            <w:tcW w:w="1682" w:type="dxa"/>
            <w:gridSpan w:val="2"/>
            <w:shd w:val="clear" w:color="auto" w:fill="auto"/>
            <w:vAlign w:val="center"/>
          </w:tcPr>
          <w:p>
            <w:pPr>
              <w:pStyle w:val="178"/>
              <w:jc w:val="left"/>
            </w:pPr>
            <w:r>
              <w:rPr>
                <w:rFonts w:hint="eastAsia"/>
              </w:rPr>
              <w:t>苯、甲苯、乙苯、和二甲苯的含量总和</w:t>
            </w:r>
          </w:p>
        </w:tc>
        <w:tc>
          <w:tcPr>
            <w:tcW w:w="709" w:type="dxa"/>
            <w:shd w:val="clear" w:color="auto" w:fill="auto"/>
            <w:vAlign w:val="center"/>
          </w:tcPr>
          <w:p>
            <w:pPr>
              <w:pStyle w:val="178"/>
            </w:pPr>
            <w:r>
              <w:t>mg/kg</w:t>
            </w:r>
          </w:p>
        </w:tc>
        <w:tc>
          <w:tcPr>
            <w:tcW w:w="1016" w:type="dxa"/>
            <w:shd w:val="clear" w:color="auto" w:fill="auto"/>
            <w:vAlign w:val="center"/>
          </w:tcPr>
          <w:p>
            <w:pPr>
              <w:pStyle w:val="178"/>
            </w:pPr>
            <w:r>
              <w:rPr>
                <w:rFonts w:hint="eastAsia"/>
              </w:rPr>
              <w:t>≤100</w:t>
            </w:r>
          </w:p>
        </w:tc>
        <w:tc>
          <w:tcPr>
            <w:tcW w:w="2374" w:type="dxa"/>
            <w:shd w:val="clear" w:color="auto" w:fill="auto"/>
            <w:vAlign w:val="center"/>
          </w:tcPr>
          <w:p>
            <w:pPr>
              <w:pStyle w:val="178"/>
              <w:jc w:val="left"/>
            </w:pPr>
            <w:r>
              <w:rPr>
                <w:rFonts w:hint="eastAsia"/>
              </w:rPr>
              <w:t>按GB/T 23990</w:t>
            </w:r>
            <w:r>
              <w:rPr>
                <w:rFonts w:hint="eastAsia"/>
                <w:lang w:eastAsia="zh-CN"/>
              </w:rPr>
              <w:t>—</w:t>
            </w:r>
            <w:r>
              <w:rPr>
                <w:rFonts w:hint="eastAsia"/>
              </w:rPr>
              <w:t>2009检测，提供有资质的第三方检测报告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3260" w:type="dxa"/>
            <w:gridSpan w:val="4"/>
            <w:shd w:val="clear" w:color="auto" w:fill="auto"/>
            <w:vAlign w:val="center"/>
          </w:tcPr>
          <w:p>
            <w:pPr>
              <w:pStyle w:val="178"/>
              <w:jc w:val="left"/>
            </w:pPr>
            <w:r>
              <w:rPr>
                <w:rFonts w:hint="eastAsia"/>
              </w:rPr>
              <w:t>原材料消耗</w:t>
            </w:r>
          </w:p>
        </w:tc>
        <w:tc>
          <w:tcPr>
            <w:tcW w:w="709" w:type="dxa"/>
            <w:shd w:val="clear" w:color="auto" w:fill="auto"/>
            <w:vAlign w:val="center"/>
          </w:tcPr>
          <w:p>
            <w:pPr>
              <w:pStyle w:val="178"/>
            </w:pPr>
            <w:r>
              <w:rPr>
                <w:rFonts w:hint="eastAsia"/>
              </w:rPr>
              <w:t>t/t产品</w:t>
            </w:r>
          </w:p>
        </w:tc>
        <w:tc>
          <w:tcPr>
            <w:tcW w:w="1016" w:type="dxa"/>
            <w:shd w:val="clear" w:color="auto" w:fill="auto"/>
            <w:vAlign w:val="center"/>
          </w:tcPr>
          <w:p>
            <w:pPr>
              <w:pStyle w:val="178"/>
            </w:pPr>
            <w:r>
              <w:rPr>
                <w:rFonts w:hint="eastAsia"/>
              </w:rPr>
              <w:t>≤1.015</w:t>
            </w:r>
          </w:p>
        </w:tc>
        <w:tc>
          <w:tcPr>
            <w:tcW w:w="2374" w:type="dxa"/>
            <w:shd w:val="clear" w:color="auto" w:fill="auto"/>
            <w:vAlign w:val="center"/>
          </w:tcPr>
          <w:p>
            <w:pPr>
              <w:pStyle w:val="178"/>
              <w:jc w:val="left"/>
              <w:rPr>
                <w:rFonts w:hint="eastAsia" w:eastAsia="宋体"/>
                <w:lang w:eastAsia="zh-CN"/>
              </w:rPr>
            </w:pPr>
            <w:r>
              <w:rPr>
                <w:rFonts w:hint="eastAsia"/>
              </w:rPr>
              <w:t>依据</w:t>
            </w:r>
            <w:r>
              <w:rPr>
                <w:rFonts w:hint="eastAsia"/>
                <w:lang w:val="en-US" w:eastAsia="zh-CN"/>
              </w:rPr>
              <w:t>GB/T 35602—2017附录B的</w:t>
            </w:r>
            <w:r>
              <w:rPr>
                <w:rFonts w:hint="eastAsia"/>
              </w:rPr>
              <w:t>B.1计算原材料消耗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3260" w:type="dxa"/>
            <w:gridSpan w:val="4"/>
            <w:shd w:val="clear" w:color="auto" w:fill="auto"/>
            <w:vAlign w:val="center"/>
          </w:tcPr>
          <w:p>
            <w:pPr>
              <w:pStyle w:val="178"/>
              <w:jc w:val="left"/>
            </w:pPr>
            <w:r>
              <w:rPr>
                <w:rFonts w:hint="eastAsia"/>
              </w:rPr>
              <w:t>新鲜水消耗量</w:t>
            </w:r>
          </w:p>
        </w:tc>
        <w:tc>
          <w:tcPr>
            <w:tcW w:w="709" w:type="dxa"/>
            <w:shd w:val="clear" w:color="auto" w:fill="auto"/>
            <w:vAlign w:val="center"/>
          </w:tcPr>
          <w:p>
            <w:pPr>
              <w:pStyle w:val="178"/>
            </w:pPr>
            <w:r>
              <w:rPr>
                <w:rFonts w:hint="eastAsia"/>
              </w:rPr>
              <w:t>t/t产品</w:t>
            </w:r>
          </w:p>
        </w:tc>
        <w:tc>
          <w:tcPr>
            <w:tcW w:w="1016" w:type="dxa"/>
            <w:shd w:val="clear" w:color="auto" w:fill="auto"/>
            <w:vAlign w:val="center"/>
          </w:tcPr>
          <w:p>
            <w:pPr>
              <w:pStyle w:val="178"/>
            </w:pPr>
            <w:r>
              <w:rPr>
                <w:rFonts w:hint="eastAsia"/>
              </w:rPr>
              <w:t>≤0.25</w:t>
            </w:r>
          </w:p>
        </w:tc>
        <w:tc>
          <w:tcPr>
            <w:tcW w:w="2374" w:type="dxa"/>
            <w:shd w:val="clear" w:color="auto" w:fill="auto"/>
            <w:vAlign w:val="center"/>
          </w:tcPr>
          <w:p>
            <w:pPr>
              <w:pStyle w:val="178"/>
              <w:jc w:val="both"/>
            </w:pPr>
            <w:r>
              <w:rPr>
                <w:rFonts w:hint="eastAsia"/>
              </w:rPr>
              <w:t>依据</w:t>
            </w:r>
            <w:r>
              <w:rPr>
                <w:rFonts w:hint="eastAsia"/>
                <w:lang w:val="en-US" w:eastAsia="zh-CN"/>
              </w:rPr>
              <w:t>GB/T 35602—2017附录B的</w:t>
            </w:r>
            <w:r>
              <w:rPr>
                <w:rFonts w:hint="eastAsia"/>
              </w:rPr>
              <w:t>B.2计算新鲜水消耗量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3260" w:type="dxa"/>
            <w:gridSpan w:val="4"/>
            <w:shd w:val="clear" w:color="auto" w:fill="auto"/>
            <w:vAlign w:val="center"/>
          </w:tcPr>
          <w:p>
            <w:pPr>
              <w:pStyle w:val="178"/>
              <w:jc w:val="left"/>
            </w:pPr>
            <w:r>
              <w:rPr>
                <w:rFonts w:hint="eastAsia"/>
              </w:rPr>
              <w:t>单位产品中钛白粉用量</w:t>
            </w:r>
          </w:p>
        </w:tc>
        <w:tc>
          <w:tcPr>
            <w:tcW w:w="709" w:type="dxa"/>
            <w:shd w:val="clear" w:color="auto" w:fill="auto"/>
            <w:vAlign w:val="center"/>
          </w:tcPr>
          <w:p>
            <w:pPr>
              <w:pStyle w:val="178"/>
            </w:pPr>
            <w:r>
              <w:rPr>
                <w:rFonts w:hint="eastAsia"/>
              </w:rPr>
              <w:t>—</w:t>
            </w:r>
          </w:p>
        </w:tc>
        <w:tc>
          <w:tcPr>
            <w:tcW w:w="1016" w:type="dxa"/>
            <w:shd w:val="clear" w:color="auto" w:fill="auto"/>
            <w:vAlign w:val="center"/>
          </w:tcPr>
          <w:p>
            <w:pPr>
              <w:pStyle w:val="178"/>
            </w:pPr>
            <w:r>
              <w:rPr>
                <w:rFonts w:hint="eastAsia"/>
              </w:rPr>
              <w:t>—</w:t>
            </w:r>
          </w:p>
        </w:tc>
        <w:tc>
          <w:tcPr>
            <w:tcW w:w="2374" w:type="dxa"/>
            <w:shd w:val="clear" w:color="auto" w:fill="auto"/>
            <w:vAlign w:val="center"/>
          </w:tcPr>
          <w:p>
            <w:pPr>
              <w:pStyle w:val="178"/>
              <w:jc w:val="left"/>
            </w:pPr>
            <w:r>
              <w:rPr>
                <w:rFonts w:hint="eastAsia"/>
              </w:rPr>
              <w:t>提供证明材料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restart"/>
            <w:shd w:val="clear" w:color="auto" w:fill="auto"/>
            <w:vAlign w:val="center"/>
          </w:tcPr>
          <w:p>
            <w:pPr>
              <w:pStyle w:val="178"/>
            </w:pPr>
            <w:r>
              <w:rPr>
                <w:rFonts w:hint="eastAsia"/>
              </w:rPr>
              <w:t>能源属性</w:t>
            </w:r>
          </w:p>
        </w:tc>
        <w:tc>
          <w:tcPr>
            <w:tcW w:w="1134" w:type="dxa"/>
            <w:vMerge w:val="restart"/>
            <w:shd w:val="clear" w:color="auto" w:fill="auto"/>
            <w:vAlign w:val="center"/>
          </w:tcPr>
          <w:p>
            <w:pPr>
              <w:pStyle w:val="230"/>
              <w:jc w:val="center"/>
              <w:rPr>
                <w:rFonts w:ascii="宋体" w:hAnsi="宋体"/>
                <w:kern w:val="0"/>
                <w:sz w:val="18"/>
                <w:szCs w:val="20"/>
              </w:rPr>
            </w:pPr>
            <w:r>
              <w:rPr>
                <w:rFonts w:hint="eastAsia" w:ascii="宋体" w:hAnsi="宋体"/>
                <w:kern w:val="0"/>
                <w:sz w:val="18"/>
                <w:szCs w:val="20"/>
              </w:rPr>
              <w:t>能源使用</w:t>
            </w:r>
          </w:p>
          <w:p>
            <w:pPr>
              <w:pStyle w:val="230"/>
              <w:jc w:val="center"/>
            </w:pPr>
            <w:r>
              <w:rPr>
                <w:rFonts w:hint="eastAsia" w:ascii="宋体" w:hAnsi="宋体"/>
                <w:kern w:val="0"/>
                <w:sz w:val="18"/>
                <w:szCs w:val="20"/>
              </w:rPr>
              <w:t>能源效率</w:t>
            </w:r>
          </w:p>
        </w:tc>
        <w:tc>
          <w:tcPr>
            <w:tcW w:w="965" w:type="dxa"/>
            <w:vMerge w:val="restart"/>
            <w:shd w:val="clear" w:color="auto" w:fill="auto"/>
            <w:vAlign w:val="center"/>
          </w:tcPr>
          <w:p>
            <w:pPr>
              <w:pStyle w:val="178"/>
              <w:jc w:val="both"/>
            </w:pPr>
            <w:r>
              <w:rPr>
                <w:rFonts w:hint="eastAsia"/>
              </w:rPr>
              <w:t>产品综合能耗</w:t>
            </w:r>
          </w:p>
        </w:tc>
        <w:tc>
          <w:tcPr>
            <w:tcW w:w="2295" w:type="dxa"/>
            <w:gridSpan w:val="3"/>
            <w:shd w:val="clear" w:color="auto" w:fill="auto"/>
            <w:vAlign w:val="center"/>
          </w:tcPr>
          <w:p>
            <w:pPr>
              <w:pStyle w:val="178"/>
              <w:jc w:val="left"/>
            </w:pPr>
            <w:r>
              <w:rPr>
                <w:rFonts w:hint="eastAsia"/>
              </w:rPr>
              <w:t>平涂涂料</w:t>
            </w:r>
          </w:p>
        </w:tc>
        <w:tc>
          <w:tcPr>
            <w:tcW w:w="709" w:type="dxa"/>
            <w:vMerge w:val="restart"/>
            <w:shd w:val="clear" w:color="auto" w:fill="auto"/>
            <w:vAlign w:val="center"/>
          </w:tcPr>
          <w:p>
            <w:pPr>
              <w:pStyle w:val="178"/>
            </w:pPr>
            <w:r>
              <w:rPr>
                <w:rFonts w:hint="eastAsia"/>
              </w:rPr>
              <w:t>kgce/t</w:t>
            </w:r>
          </w:p>
          <w:p>
            <w:pPr>
              <w:pStyle w:val="178"/>
            </w:pPr>
            <w:r>
              <w:rPr>
                <w:rFonts w:hint="eastAsia"/>
              </w:rPr>
              <w:t>产品</w:t>
            </w:r>
          </w:p>
        </w:tc>
        <w:tc>
          <w:tcPr>
            <w:tcW w:w="1016" w:type="dxa"/>
            <w:shd w:val="clear" w:color="auto" w:fill="auto"/>
            <w:vAlign w:val="center"/>
          </w:tcPr>
          <w:p>
            <w:pPr>
              <w:pStyle w:val="178"/>
            </w:pPr>
            <w:r>
              <w:rPr>
                <w:rFonts w:hint="eastAsia"/>
              </w:rPr>
              <w:t>≤10.0</w:t>
            </w:r>
          </w:p>
        </w:tc>
        <w:tc>
          <w:tcPr>
            <w:tcW w:w="2374" w:type="dxa"/>
            <w:vMerge w:val="restart"/>
            <w:shd w:val="clear" w:color="auto" w:fill="auto"/>
            <w:vAlign w:val="center"/>
          </w:tcPr>
          <w:p>
            <w:pPr>
              <w:pStyle w:val="178"/>
              <w:jc w:val="both"/>
            </w:pPr>
            <w:r>
              <w:rPr>
                <w:rFonts w:hint="eastAsia"/>
              </w:rPr>
              <w:t>依据GB/T 2589计算产品综合能耗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2295" w:type="dxa"/>
            <w:gridSpan w:val="3"/>
            <w:shd w:val="clear" w:color="auto" w:fill="auto"/>
            <w:vAlign w:val="center"/>
          </w:tcPr>
          <w:p>
            <w:pPr>
              <w:pStyle w:val="178"/>
              <w:jc w:val="both"/>
            </w:pPr>
            <w:r>
              <w:rPr>
                <w:rFonts w:hint="eastAsia"/>
              </w:rPr>
              <w:t>质感涂料(砂壁状涂料、真石漆等)</w:t>
            </w:r>
          </w:p>
        </w:tc>
        <w:tc>
          <w:tcPr>
            <w:tcW w:w="709" w:type="dxa"/>
            <w:vMerge w:val="continue"/>
            <w:shd w:val="clear" w:color="auto" w:fill="auto"/>
            <w:vAlign w:val="center"/>
          </w:tcPr>
          <w:p>
            <w:pPr>
              <w:pStyle w:val="178"/>
            </w:pPr>
          </w:p>
        </w:tc>
        <w:tc>
          <w:tcPr>
            <w:tcW w:w="1016" w:type="dxa"/>
            <w:shd w:val="clear" w:color="auto" w:fill="auto"/>
            <w:vAlign w:val="center"/>
          </w:tcPr>
          <w:p>
            <w:pPr>
              <w:pStyle w:val="178"/>
            </w:pPr>
            <w:r>
              <w:rPr>
                <w:rFonts w:hint="eastAsia"/>
              </w:rPr>
              <w:t>≤15.0</w:t>
            </w:r>
          </w:p>
        </w:tc>
        <w:tc>
          <w:tcPr>
            <w:tcW w:w="2374"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restart"/>
            <w:shd w:val="clear" w:color="auto" w:fill="auto"/>
            <w:vAlign w:val="center"/>
          </w:tcPr>
          <w:p>
            <w:pPr>
              <w:pStyle w:val="178"/>
            </w:pPr>
            <w:r>
              <w:rPr>
                <w:rFonts w:hint="eastAsia"/>
              </w:rPr>
              <w:t>环境属性</w:t>
            </w:r>
          </w:p>
        </w:tc>
        <w:tc>
          <w:tcPr>
            <w:tcW w:w="1134" w:type="dxa"/>
            <w:vMerge w:val="restart"/>
            <w:shd w:val="clear" w:color="auto" w:fill="auto"/>
            <w:vAlign w:val="center"/>
          </w:tcPr>
          <w:p>
            <w:pPr>
              <w:pStyle w:val="230"/>
              <w:jc w:val="center"/>
              <w:rPr>
                <w:rFonts w:ascii="宋体" w:hAnsi="宋体"/>
                <w:kern w:val="0"/>
                <w:sz w:val="18"/>
                <w:szCs w:val="20"/>
              </w:rPr>
            </w:pPr>
            <w:r>
              <w:rPr>
                <w:rFonts w:hint="eastAsia" w:ascii="宋体" w:hAnsi="宋体"/>
                <w:kern w:val="0"/>
                <w:sz w:val="18"/>
                <w:szCs w:val="20"/>
              </w:rPr>
              <w:t>污染物排放</w:t>
            </w:r>
          </w:p>
          <w:p>
            <w:pPr>
              <w:pStyle w:val="230"/>
              <w:jc w:val="center"/>
              <w:rPr>
                <w:rFonts w:ascii="宋体" w:hAnsi="宋体"/>
                <w:kern w:val="0"/>
                <w:sz w:val="18"/>
                <w:szCs w:val="20"/>
              </w:rPr>
            </w:pPr>
            <w:r>
              <w:rPr>
                <w:rFonts w:hint="eastAsia" w:ascii="宋体" w:hAnsi="宋体"/>
                <w:kern w:val="0"/>
                <w:sz w:val="18"/>
                <w:szCs w:val="20"/>
              </w:rPr>
              <w:t>温室气体排放</w:t>
            </w:r>
          </w:p>
          <w:p>
            <w:pPr>
              <w:pStyle w:val="230"/>
              <w:jc w:val="center"/>
              <w:rPr>
                <w:rFonts w:ascii="宋体" w:hAnsi="宋体"/>
                <w:kern w:val="0"/>
                <w:sz w:val="18"/>
                <w:szCs w:val="20"/>
              </w:rPr>
            </w:pPr>
            <w:r>
              <w:rPr>
                <w:rFonts w:hint="eastAsia" w:ascii="宋体" w:hAnsi="宋体"/>
                <w:kern w:val="0"/>
                <w:sz w:val="18"/>
                <w:szCs w:val="20"/>
              </w:rPr>
              <w:t>物理特征</w:t>
            </w:r>
          </w:p>
        </w:tc>
        <w:tc>
          <w:tcPr>
            <w:tcW w:w="3260" w:type="dxa"/>
            <w:gridSpan w:val="4"/>
            <w:shd w:val="clear" w:color="auto" w:fill="auto"/>
            <w:vAlign w:val="center"/>
          </w:tcPr>
          <w:p>
            <w:pPr>
              <w:pStyle w:val="178"/>
              <w:jc w:val="both"/>
            </w:pPr>
            <w:r>
              <w:rPr>
                <w:rFonts w:hint="eastAsia"/>
              </w:rPr>
              <w:t>是否安装合乎要求的颗粒物回收装置，并正常运转</w:t>
            </w:r>
          </w:p>
        </w:tc>
        <w:tc>
          <w:tcPr>
            <w:tcW w:w="709" w:type="dxa"/>
            <w:shd w:val="clear" w:color="auto" w:fill="auto"/>
            <w:vAlign w:val="center"/>
          </w:tcPr>
          <w:p>
            <w:pPr>
              <w:pStyle w:val="178"/>
            </w:pPr>
            <w:r>
              <w:rPr>
                <w:rFonts w:hint="eastAsia"/>
              </w:rPr>
              <w:t>—</w:t>
            </w:r>
          </w:p>
        </w:tc>
        <w:tc>
          <w:tcPr>
            <w:tcW w:w="1016" w:type="dxa"/>
            <w:shd w:val="clear" w:color="auto" w:fill="auto"/>
            <w:vAlign w:val="center"/>
          </w:tcPr>
          <w:p>
            <w:pPr>
              <w:pStyle w:val="178"/>
            </w:pPr>
            <w:r>
              <w:rPr>
                <w:rFonts w:hint="eastAsia"/>
              </w:rPr>
              <w:t>是</w:t>
            </w:r>
          </w:p>
        </w:tc>
        <w:tc>
          <w:tcPr>
            <w:tcW w:w="2374" w:type="dxa"/>
            <w:shd w:val="clear" w:color="auto" w:fill="auto"/>
            <w:vAlign w:val="center"/>
          </w:tcPr>
          <w:p>
            <w:pPr>
              <w:pStyle w:val="178"/>
              <w:jc w:val="left"/>
            </w:pPr>
            <w:r>
              <w:rPr>
                <w:rFonts w:hint="eastAsia"/>
              </w:rPr>
              <w:t>现场检查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3260" w:type="dxa"/>
            <w:gridSpan w:val="4"/>
            <w:shd w:val="clear" w:color="auto" w:fill="auto"/>
            <w:vAlign w:val="center"/>
          </w:tcPr>
          <w:p>
            <w:pPr>
              <w:pStyle w:val="178"/>
              <w:jc w:val="both"/>
            </w:pPr>
            <w:r>
              <w:rPr>
                <w:rFonts w:hint="eastAsia"/>
              </w:rPr>
              <w:t>是否安装合乎要求的局部或整体密闭排气收集系统，收集后进入密闭式负压废气处理系统，并正常运转</w:t>
            </w:r>
          </w:p>
        </w:tc>
        <w:tc>
          <w:tcPr>
            <w:tcW w:w="709" w:type="dxa"/>
            <w:shd w:val="clear" w:color="auto" w:fill="auto"/>
            <w:vAlign w:val="center"/>
          </w:tcPr>
          <w:p>
            <w:pPr>
              <w:pStyle w:val="178"/>
            </w:pPr>
            <w:r>
              <w:rPr>
                <w:rFonts w:hint="eastAsia"/>
              </w:rPr>
              <w:t>—</w:t>
            </w:r>
          </w:p>
        </w:tc>
        <w:tc>
          <w:tcPr>
            <w:tcW w:w="1016" w:type="dxa"/>
            <w:shd w:val="clear" w:color="auto" w:fill="auto"/>
            <w:vAlign w:val="center"/>
          </w:tcPr>
          <w:p>
            <w:pPr>
              <w:pStyle w:val="178"/>
            </w:pPr>
            <w:r>
              <w:rPr>
                <w:rFonts w:hint="eastAsia"/>
              </w:rPr>
              <w:t>是</w:t>
            </w:r>
          </w:p>
        </w:tc>
        <w:tc>
          <w:tcPr>
            <w:tcW w:w="2374" w:type="dxa"/>
            <w:shd w:val="clear" w:color="auto" w:fill="auto"/>
            <w:vAlign w:val="center"/>
          </w:tcPr>
          <w:p>
            <w:pPr>
              <w:pStyle w:val="178"/>
              <w:jc w:val="left"/>
            </w:pPr>
            <w:r>
              <w:rPr>
                <w:rFonts w:hint="eastAsia"/>
              </w:rPr>
              <w:t>现场检查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3260" w:type="dxa"/>
            <w:gridSpan w:val="4"/>
            <w:shd w:val="clear" w:color="auto" w:fill="auto"/>
            <w:vAlign w:val="center"/>
          </w:tcPr>
          <w:p>
            <w:pPr>
              <w:pStyle w:val="178"/>
              <w:jc w:val="left"/>
            </w:pPr>
            <w:r>
              <w:rPr>
                <w:rFonts w:hint="eastAsia"/>
              </w:rPr>
              <w:t>污染物排放</w:t>
            </w:r>
          </w:p>
        </w:tc>
        <w:tc>
          <w:tcPr>
            <w:tcW w:w="709" w:type="dxa"/>
            <w:shd w:val="clear" w:color="auto" w:fill="auto"/>
            <w:vAlign w:val="center"/>
          </w:tcPr>
          <w:p>
            <w:pPr>
              <w:pStyle w:val="178"/>
            </w:pPr>
            <w:r>
              <w:rPr>
                <w:rFonts w:hint="eastAsia"/>
              </w:rPr>
              <w:t>—</w:t>
            </w:r>
          </w:p>
        </w:tc>
        <w:tc>
          <w:tcPr>
            <w:tcW w:w="1016" w:type="dxa"/>
            <w:shd w:val="clear" w:color="auto" w:fill="auto"/>
            <w:vAlign w:val="center"/>
          </w:tcPr>
          <w:p>
            <w:pPr>
              <w:pStyle w:val="178"/>
              <w:jc w:val="center"/>
            </w:pPr>
            <w:r>
              <w:rPr>
                <w:rFonts w:hint="eastAsia"/>
              </w:rPr>
              <w:t>应符合国家或地方规定的污染物排放标准和执法要求</w:t>
            </w:r>
          </w:p>
        </w:tc>
        <w:tc>
          <w:tcPr>
            <w:tcW w:w="2374" w:type="dxa"/>
            <w:vMerge w:val="restart"/>
            <w:shd w:val="clear" w:color="auto" w:fill="auto"/>
            <w:vAlign w:val="center"/>
          </w:tcPr>
          <w:p>
            <w:pPr>
              <w:pStyle w:val="178"/>
              <w:jc w:val="both"/>
            </w:pPr>
            <w:r>
              <w:rPr>
                <w:rFonts w:hint="eastAsia"/>
              </w:rPr>
              <w:t>按</w:t>
            </w:r>
            <w:r>
              <w:rPr>
                <w:rFonts w:hint="eastAsia"/>
                <w:lang w:val="en-US" w:eastAsia="zh-CN"/>
              </w:rPr>
              <w:t>GB/T 35602—2017附录B的</w:t>
            </w:r>
            <w:r>
              <w:rPr>
                <w:rFonts w:hint="eastAsia"/>
              </w:rPr>
              <w:t>B.3检测，提供有资质的第三方检测报告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restart"/>
            <w:shd w:val="clear" w:color="auto" w:fill="auto"/>
            <w:vAlign w:val="center"/>
          </w:tcPr>
          <w:p>
            <w:pPr>
              <w:pStyle w:val="178"/>
              <w:jc w:val="left"/>
            </w:pPr>
            <w:r>
              <w:rPr>
                <w:rFonts w:hint="eastAsia"/>
              </w:rPr>
              <w:t>挥发性有机化合物(VOC)含量</w:t>
            </w:r>
          </w:p>
        </w:tc>
        <w:tc>
          <w:tcPr>
            <w:tcW w:w="2295" w:type="dxa"/>
            <w:gridSpan w:val="3"/>
            <w:shd w:val="clear" w:color="auto" w:fill="auto"/>
            <w:vAlign w:val="center"/>
          </w:tcPr>
          <w:p>
            <w:pPr>
              <w:pStyle w:val="178"/>
              <w:jc w:val="both"/>
            </w:pPr>
            <w:r>
              <w:rPr>
                <w:rFonts w:hint="eastAsia"/>
              </w:rPr>
              <w:t>内墙涂料[光泽(60</w:t>
            </w:r>
            <w:r>
              <w:rPr>
                <w:rFonts w:hint="eastAsia" w:ascii="等线" w:hAnsi="等线" w:eastAsia="等线"/>
              </w:rPr>
              <w:t>°</w:t>
            </w:r>
            <w:r>
              <w:rPr>
                <w:rFonts w:hint="eastAsia"/>
              </w:rPr>
              <w:t>)≤10单位值]</w:t>
            </w:r>
          </w:p>
        </w:tc>
        <w:tc>
          <w:tcPr>
            <w:tcW w:w="709" w:type="dxa"/>
            <w:shd w:val="clear" w:color="auto" w:fill="auto"/>
            <w:vAlign w:val="center"/>
          </w:tcPr>
          <w:p>
            <w:pPr>
              <w:pStyle w:val="178"/>
            </w:pPr>
            <w:r>
              <w:t>g/L</w:t>
            </w:r>
          </w:p>
        </w:tc>
        <w:tc>
          <w:tcPr>
            <w:tcW w:w="1016" w:type="dxa"/>
            <w:shd w:val="clear" w:color="auto" w:fill="auto"/>
            <w:vAlign w:val="center"/>
          </w:tcPr>
          <w:p>
            <w:pPr>
              <w:pStyle w:val="178"/>
            </w:pPr>
            <w:r>
              <w:rPr>
                <w:rFonts w:hint="eastAsia"/>
              </w:rPr>
              <w:t>≤10</w:t>
            </w:r>
          </w:p>
        </w:tc>
        <w:tc>
          <w:tcPr>
            <w:tcW w:w="2374"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2295" w:type="dxa"/>
            <w:gridSpan w:val="3"/>
            <w:shd w:val="clear" w:color="auto" w:fill="auto"/>
            <w:vAlign w:val="center"/>
          </w:tcPr>
          <w:p>
            <w:pPr>
              <w:pStyle w:val="178"/>
              <w:jc w:val="both"/>
            </w:pPr>
            <w:r>
              <w:rPr>
                <w:rFonts w:hint="eastAsia"/>
              </w:rPr>
              <w:t>内墙涂料[光泽(60</w:t>
            </w:r>
            <w:r>
              <w:rPr>
                <w:rFonts w:hint="eastAsia" w:ascii="等线" w:hAnsi="等线" w:eastAsia="等线"/>
              </w:rPr>
              <w:t>°</w:t>
            </w:r>
            <w:r>
              <w:rPr>
                <w:rFonts w:hint="eastAsia"/>
              </w:rPr>
              <w:t>)&gt;10单位值]</w:t>
            </w:r>
          </w:p>
        </w:tc>
        <w:tc>
          <w:tcPr>
            <w:tcW w:w="709" w:type="dxa"/>
            <w:shd w:val="clear" w:color="auto" w:fill="auto"/>
            <w:vAlign w:val="center"/>
          </w:tcPr>
          <w:p>
            <w:pPr>
              <w:pStyle w:val="178"/>
            </w:pPr>
            <w:r>
              <w:t>g/L</w:t>
            </w:r>
          </w:p>
        </w:tc>
        <w:tc>
          <w:tcPr>
            <w:tcW w:w="1016" w:type="dxa"/>
            <w:shd w:val="clear" w:color="auto" w:fill="auto"/>
            <w:vAlign w:val="center"/>
          </w:tcPr>
          <w:p>
            <w:pPr>
              <w:pStyle w:val="178"/>
            </w:pPr>
            <w:r>
              <w:rPr>
                <w:rFonts w:hint="eastAsia"/>
              </w:rPr>
              <w:t>≤50</w:t>
            </w:r>
          </w:p>
        </w:tc>
        <w:tc>
          <w:tcPr>
            <w:tcW w:w="2374"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2295" w:type="dxa"/>
            <w:gridSpan w:val="3"/>
            <w:shd w:val="clear" w:color="auto" w:fill="auto"/>
            <w:vAlign w:val="center"/>
          </w:tcPr>
          <w:p>
            <w:pPr>
              <w:pStyle w:val="178"/>
              <w:jc w:val="left"/>
            </w:pPr>
            <w:r>
              <w:rPr>
                <w:rFonts w:hint="eastAsia"/>
              </w:rPr>
              <w:t>外墙涂料</w:t>
            </w:r>
          </w:p>
        </w:tc>
        <w:tc>
          <w:tcPr>
            <w:tcW w:w="709" w:type="dxa"/>
            <w:shd w:val="clear" w:color="auto" w:fill="auto"/>
            <w:vAlign w:val="center"/>
          </w:tcPr>
          <w:p>
            <w:pPr>
              <w:pStyle w:val="178"/>
            </w:pPr>
            <w:r>
              <w:t>g/L</w:t>
            </w:r>
          </w:p>
        </w:tc>
        <w:tc>
          <w:tcPr>
            <w:tcW w:w="1016" w:type="dxa"/>
            <w:shd w:val="clear" w:color="auto" w:fill="auto"/>
            <w:vAlign w:val="center"/>
          </w:tcPr>
          <w:p>
            <w:pPr>
              <w:pStyle w:val="178"/>
            </w:pPr>
            <w:r>
              <w:rPr>
                <w:rFonts w:hint="eastAsia"/>
              </w:rPr>
              <w:t>≤50</w:t>
            </w:r>
          </w:p>
        </w:tc>
        <w:tc>
          <w:tcPr>
            <w:tcW w:w="2374"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2295" w:type="dxa"/>
            <w:gridSpan w:val="3"/>
            <w:shd w:val="clear" w:color="auto" w:fill="auto"/>
            <w:vAlign w:val="center"/>
          </w:tcPr>
          <w:p>
            <w:pPr>
              <w:pStyle w:val="178"/>
              <w:jc w:val="left"/>
            </w:pPr>
            <w:r>
              <w:rPr>
                <w:rFonts w:hint="eastAsia"/>
              </w:rPr>
              <w:t>腻子</w:t>
            </w:r>
          </w:p>
        </w:tc>
        <w:tc>
          <w:tcPr>
            <w:tcW w:w="709" w:type="dxa"/>
            <w:shd w:val="clear" w:color="auto" w:fill="auto"/>
            <w:vAlign w:val="center"/>
          </w:tcPr>
          <w:p>
            <w:pPr>
              <w:pStyle w:val="178"/>
            </w:pPr>
            <w:r>
              <w:t>g/kg</w:t>
            </w:r>
          </w:p>
        </w:tc>
        <w:tc>
          <w:tcPr>
            <w:tcW w:w="1016" w:type="dxa"/>
            <w:shd w:val="clear" w:color="auto" w:fill="auto"/>
            <w:vAlign w:val="center"/>
          </w:tcPr>
          <w:p>
            <w:pPr>
              <w:pStyle w:val="178"/>
            </w:pPr>
            <w:r>
              <w:rPr>
                <w:rFonts w:hint="eastAsia"/>
              </w:rPr>
              <w:t>≤5</w:t>
            </w:r>
          </w:p>
        </w:tc>
        <w:tc>
          <w:tcPr>
            <w:tcW w:w="2374"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vMerge w:val="restart"/>
            <w:shd w:val="clear" w:color="auto" w:fill="auto"/>
            <w:vAlign w:val="center"/>
          </w:tcPr>
          <w:p>
            <w:pPr>
              <w:pStyle w:val="178"/>
            </w:pPr>
            <w:r>
              <w:rPr>
                <w:rFonts w:hint="eastAsia"/>
              </w:rPr>
              <w:t>品质属性</w:t>
            </w:r>
          </w:p>
        </w:tc>
        <w:tc>
          <w:tcPr>
            <w:tcW w:w="1134" w:type="dxa"/>
            <w:vMerge w:val="restart"/>
            <w:shd w:val="clear" w:color="auto" w:fill="auto"/>
            <w:vAlign w:val="center"/>
          </w:tcPr>
          <w:p>
            <w:pPr>
              <w:pStyle w:val="178"/>
            </w:pPr>
            <w:r>
              <w:rPr>
                <w:rFonts w:hint="eastAsia"/>
              </w:rPr>
              <w:t>功能性</w:t>
            </w:r>
          </w:p>
          <w:p>
            <w:pPr>
              <w:pStyle w:val="178"/>
            </w:pPr>
            <w:r>
              <w:rPr>
                <w:rFonts w:hint="eastAsia"/>
              </w:rPr>
              <w:t>耐用性</w:t>
            </w:r>
          </w:p>
          <w:p>
            <w:pPr>
              <w:pStyle w:val="178"/>
            </w:pPr>
            <w:r>
              <w:rPr>
                <w:rFonts w:hint="eastAsia"/>
              </w:rPr>
              <w:t>安全性</w:t>
            </w:r>
          </w:p>
        </w:tc>
        <w:tc>
          <w:tcPr>
            <w:tcW w:w="3260" w:type="dxa"/>
            <w:gridSpan w:val="4"/>
            <w:shd w:val="clear" w:color="auto" w:fill="auto"/>
            <w:vAlign w:val="center"/>
          </w:tcPr>
          <w:p>
            <w:pPr>
              <w:pStyle w:val="178"/>
              <w:jc w:val="left"/>
            </w:pPr>
            <w:r>
              <w:rPr>
                <w:rFonts w:hint="eastAsia"/>
              </w:rPr>
              <w:t>质量性能</w:t>
            </w:r>
          </w:p>
        </w:tc>
        <w:tc>
          <w:tcPr>
            <w:tcW w:w="709" w:type="dxa"/>
            <w:shd w:val="clear" w:color="auto" w:fill="auto"/>
            <w:vAlign w:val="center"/>
          </w:tcPr>
          <w:p>
            <w:pPr>
              <w:pStyle w:val="178"/>
            </w:pPr>
            <w:r>
              <w:rPr>
                <w:rFonts w:hint="eastAsia"/>
              </w:rPr>
              <w:t>—</w:t>
            </w:r>
          </w:p>
        </w:tc>
        <w:tc>
          <w:tcPr>
            <w:tcW w:w="1016" w:type="dxa"/>
            <w:shd w:val="clear" w:color="auto" w:fill="auto"/>
            <w:vAlign w:val="center"/>
          </w:tcPr>
          <w:p>
            <w:pPr>
              <w:pStyle w:val="178"/>
              <w:jc w:val="center"/>
            </w:pPr>
            <w:r>
              <w:rPr>
                <w:rFonts w:hint="eastAsia"/>
              </w:rPr>
              <w:t>应满足产品明示的标准中最高等级的技术要求</w:t>
            </w:r>
          </w:p>
        </w:tc>
        <w:tc>
          <w:tcPr>
            <w:tcW w:w="2374" w:type="dxa"/>
            <w:shd w:val="clear" w:color="auto" w:fill="auto"/>
            <w:vAlign w:val="center"/>
          </w:tcPr>
          <w:p>
            <w:pPr>
              <w:pStyle w:val="178"/>
              <w:jc w:val="both"/>
            </w:pPr>
            <w:r>
              <w:rPr>
                <w:rFonts w:hint="eastAsia"/>
              </w:rPr>
              <w:t>提供有资质的第三方检测报告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3260" w:type="dxa"/>
            <w:gridSpan w:val="4"/>
            <w:shd w:val="clear" w:color="auto" w:fill="auto"/>
            <w:vAlign w:val="center"/>
          </w:tcPr>
          <w:p>
            <w:pPr>
              <w:pStyle w:val="178"/>
              <w:jc w:val="left"/>
            </w:pPr>
            <w:r>
              <w:rPr>
                <w:rFonts w:hint="eastAsia"/>
              </w:rPr>
              <w:t>半挥发性有机化合物(SVOC)含量</w:t>
            </w:r>
          </w:p>
        </w:tc>
        <w:tc>
          <w:tcPr>
            <w:tcW w:w="709" w:type="dxa"/>
            <w:shd w:val="clear" w:color="auto" w:fill="auto"/>
            <w:vAlign w:val="center"/>
          </w:tcPr>
          <w:p>
            <w:pPr>
              <w:pStyle w:val="178"/>
            </w:pPr>
            <w:r>
              <w:t>%</w:t>
            </w:r>
          </w:p>
        </w:tc>
        <w:tc>
          <w:tcPr>
            <w:tcW w:w="1016" w:type="dxa"/>
            <w:shd w:val="clear" w:color="auto" w:fill="auto"/>
            <w:vAlign w:val="center"/>
          </w:tcPr>
          <w:p>
            <w:pPr>
              <w:pStyle w:val="178"/>
            </w:pPr>
            <w:r>
              <w:rPr>
                <w:rFonts w:hint="eastAsia"/>
              </w:rPr>
              <w:t>—</w:t>
            </w:r>
          </w:p>
        </w:tc>
        <w:tc>
          <w:tcPr>
            <w:tcW w:w="2374" w:type="dxa"/>
            <w:shd w:val="clear" w:color="auto" w:fill="auto"/>
            <w:vAlign w:val="center"/>
          </w:tcPr>
          <w:p>
            <w:pPr>
              <w:pStyle w:val="178"/>
              <w:jc w:val="left"/>
            </w:pPr>
            <w:r>
              <w:rPr>
                <w:rFonts w:hint="eastAsia"/>
              </w:rPr>
              <w:t>提供证明材料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3260" w:type="dxa"/>
            <w:gridSpan w:val="4"/>
            <w:shd w:val="clear" w:color="auto" w:fill="auto"/>
            <w:vAlign w:val="center"/>
          </w:tcPr>
          <w:p>
            <w:pPr>
              <w:pStyle w:val="178"/>
              <w:jc w:val="both"/>
            </w:pPr>
            <w:r>
              <w:rPr>
                <w:rFonts w:hint="eastAsia"/>
              </w:rPr>
              <w:t>总挥发性有机化合物(TVOC)释放量(限内墙涂料及内墙用腻子)</w:t>
            </w:r>
          </w:p>
        </w:tc>
        <w:tc>
          <w:tcPr>
            <w:tcW w:w="709" w:type="dxa"/>
            <w:shd w:val="clear" w:color="auto" w:fill="auto"/>
            <w:vAlign w:val="center"/>
          </w:tcPr>
          <w:p>
            <w:pPr>
              <w:pStyle w:val="178"/>
            </w:pPr>
            <w:r>
              <w:t>mg/m³</w:t>
            </w:r>
          </w:p>
        </w:tc>
        <w:tc>
          <w:tcPr>
            <w:tcW w:w="1016" w:type="dxa"/>
            <w:shd w:val="clear" w:color="auto" w:fill="auto"/>
            <w:vAlign w:val="center"/>
          </w:tcPr>
          <w:p>
            <w:pPr>
              <w:pStyle w:val="178"/>
            </w:pPr>
            <w:r>
              <w:rPr>
                <w:rFonts w:hint="eastAsia"/>
              </w:rPr>
              <w:t>≤1.0</w:t>
            </w:r>
          </w:p>
        </w:tc>
        <w:tc>
          <w:tcPr>
            <w:tcW w:w="2374" w:type="dxa"/>
            <w:vMerge w:val="restart"/>
            <w:shd w:val="clear" w:color="auto" w:fill="auto"/>
            <w:vAlign w:val="center"/>
          </w:tcPr>
          <w:p>
            <w:pPr>
              <w:pStyle w:val="178"/>
              <w:jc w:val="both"/>
            </w:pPr>
            <w:r>
              <w:rPr>
                <w:rFonts w:hint="eastAsia"/>
              </w:rPr>
              <w:t>按</w:t>
            </w:r>
            <w:r>
              <w:rPr>
                <w:rFonts w:hint="eastAsia"/>
                <w:lang w:val="en-US" w:eastAsia="zh-CN"/>
              </w:rPr>
              <w:t>GB/T 35602—2017附录B的</w:t>
            </w:r>
            <w:r>
              <w:rPr>
                <w:rFonts w:hint="eastAsia"/>
              </w:rPr>
              <w:t>B.4检测，提供有资质的第三方检测报告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230"/>
              <w:jc w:val="center"/>
            </w:pPr>
          </w:p>
        </w:tc>
        <w:tc>
          <w:tcPr>
            <w:tcW w:w="3260" w:type="dxa"/>
            <w:gridSpan w:val="4"/>
            <w:shd w:val="clear" w:color="auto" w:fill="auto"/>
            <w:vAlign w:val="center"/>
          </w:tcPr>
          <w:p>
            <w:pPr>
              <w:pStyle w:val="178"/>
            </w:pPr>
            <w:r>
              <w:rPr>
                <w:rFonts w:hint="eastAsia"/>
              </w:rPr>
              <w:t>甲醛释放量(限内墙涂料及内墙用腻子)</w:t>
            </w:r>
          </w:p>
        </w:tc>
        <w:tc>
          <w:tcPr>
            <w:tcW w:w="709" w:type="dxa"/>
            <w:shd w:val="clear" w:color="auto" w:fill="auto"/>
            <w:vAlign w:val="center"/>
          </w:tcPr>
          <w:p>
            <w:pPr>
              <w:pStyle w:val="178"/>
            </w:pPr>
            <w:r>
              <w:t>mg/m³</w:t>
            </w:r>
          </w:p>
        </w:tc>
        <w:tc>
          <w:tcPr>
            <w:tcW w:w="1016" w:type="dxa"/>
            <w:shd w:val="clear" w:color="auto" w:fill="auto"/>
            <w:vAlign w:val="center"/>
          </w:tcPr>
          <w:p>
            <w:pPr>
              <w:pStyle w:val="178"/>
            </w:pPr>
            <w:r>
              <w:rPr>
                <w:rFonts w:hint="eastAsia"/>
              </w:rPr>
              <w:t>≤0.1</w:t>
            </w:r>
          </w:p>
        </w:tc>
        <w:tc>
          <w:tcPr>
            <w:tcW w:w="2374"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restart"/>
            <w:shd w:val="clear" w:color="auto" w:fill="auto"/>
            <w:vAlign w:val="center"/>
          </w:tcPr>
          <w:p>
            <w:pPr>
              <w:pStyle w:val="178"/>
              <w:jc w:val="both"/>
            </w:pPr>
            <w:r>
              <w:rPr>
                <w:rFonts w:hint="eastAsia"/>
              </w:rPr>
              <w:t>游离甲醛含量(高效液相色谱法)</w:t>
            </w:r>
          </w:p>
        </w:tc>
        <w:tc>
          <w:tcPr>
            <w:tcW w:w="2295" w:type="dxa"/>
            <w:gridSpan w:val="3"/>
            <w:shd w:val="clear" w:color="auto" w:fill="auto"/>
            <w:vAlign w:val="center"/>
          </w:tcPr>
          <w:p>
            <w:pPr>
              <w:pStyle w:val="178"/>
              <w:jc w:val="left"/>
            </w:pPr>
            <w:r>
              <w:rPr>
                <w:rFonts w:hint="eastAsia"/>
              </w:rPr>
              <w:t>内墙涂料</w:t>
            </w:r>
          </w:p>
        </w:tc>
        <w:tc>
          <w:tcPr>
            <w:tcW w:w="709" w:type="dxa"/>
            <w:shd w:val="clear" w:color="auto" w:fill="auto"/>
            <w:vAlign w:val="center"/>
          </w:tcPr>
          <w:p>
            <w:pPr>
              <w:pStyle w:val="178"/>
            </w:pPr>
            <w:r>
              <w:t>mg/kg</w:t>
            </w:r>
          </w:p>
        </w:tc>
        <w:tc>
          <w:tcPr>
            <w:tcW w:w="1016" w:type="dxa"/>
            <w:shd w:val="clear" w:color="auto" w:fill="auto"/>
            <w:vAlign w:val="center"/>
          </w:tcPr>
          <w:p>
            <w:pPr>
              <w:pStyle w:val="178"/>
            </w:pPr>
            <w:r>
              <w:rPr>
                <w:rFonts w:hint="eastAsia"/>
              </w:rPr>
              <w:t>≤10</w:t>
            </w:r>
          </w:p>
        </w:tc>
        <w:tc>
          <w:tcPr>
            <w:tcW w:w="2374" w:type="dxa"/>
            <w:vMerge w:val="restart"/>
            <w:shd w:val="clear" w:color="auto" w:fill="auto"/>
            <w:vAlign w:val="center"/>
          </w:tcPr>
          <w:p>
            <w:pPr>
              <w:pStyle w:val="178"/>
              <w:jc w:val="both"/>
            </w:pPr>
            <w:r>
              <w:rPr>
                <w:rFonts w:hint="eastAsia"/>
              </w:rPr>
              <w:t>按</w:t>
            </w:r>
            <w:r>
              <w:rPr>
                <w:rFonts w:hint="eastAsia"/>
                <w:lang w:val="en-US" w:eastAsia="zh-CN"/>
              </w:rPr>
              <w:t>GB/T 35602—2017附录B的</w:t>
            </w:r>
            <w:r>
              <w:rPr>
                <w:rFonts w:hint="eastAsia"/>
              </w:rPr>
              <w:t>B.5检测，提供有资质的第三方检测报告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2295" w:type="dxa"/>
            <w:gridSpan w:val="3"/>
            <w:shd w:val="clear" w:color="auto" w:fill="auto"/>
            <w:vAlign w:val="center"/>
          </w:tcPr>
          <w:p>
            <w:pPr>
              <w:pStyle w:val="178"/>
              <w:jc w:val="left"/>
            </w:pPr>
            <w:r>
              <w:rPr>
                <w:rFonts w:hint="eastAsia"/>
              </w:rPr>
              <w:t>外墙涂料</w:t>
            </w:r>
          </w:p>
        </w:tc>
        <w:tc>
          <w:tcPr>
            <w:tcW w:w="709" w:type="dxa"/>
            <w:shd w:val="clear" w:color="auto" w:fill="auto"/>
            <w:vAlign w:val="center"/>
          </w:tcPr>
          <w:p>
            <w:pPr>
              <w:pStyle w:val="178"/>
            </w:pPr>
            <w:r>
              <w:t>mg/kg</w:t>
            </w:r>
          </w:p>
        </w:tc>
        <w:tc>
          <w:tcPr>
            <w:tcW w:w="1016" w:type="dxa"/>
            <w:shd w:val="clear" w:color="auto" w:fill="auto"/>
            <w:vAlign w:val="center"/>
          </w:tcPr>
          <w:p>
            <w:pPr>
              <w:pStyle w:val="178"/>
            </w:pPr>
            <w:r>
              <w:rPr>
                <w:rFonts w:hint="eastAsia"/>
              </w:rPr>
              <w:t>≤10</w:t>
            </w:r>
          </w:p>
        </w:tc>
        <w:tc>
          <w:tcPr>
            <w:tcW w:w="2374"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restart"/>
            <w:shd w:val="clear" w:color="auto" w:fill="auto"/>
            <w:vAlign w:val="center"/>
          </w:tcPr>
          <w:p>
            <w:pPr>
              <w:pStyle w:val="178"/>
              <w:jc w:val="both"/>
            </w:pPr>
            <w:r>
              <w:rPr>
                <w:rFonts w:hint="eastAsia"/>
              </w:rPr>
              <w:t>甲醛含量(乙酰丙酮法)</w:t>
            </w:r>
          </w:p>
        </w:tc>
        <w:tc>
          <w:tcPr>
            <w:tcW w:w="2295" w:type="dxa"/>
            <w:gridSpan w:val="3"/>
            <w:shd w:val="clear" w:color="auto" w:fill="auto"/>
            <w:vAlign w:val="center"/>
          </w:tcPr>
          <w:p>
            <w:pPr>
              <w:pStyle w:val="178"/>
              <w:jc w:val="left"/>
            </w:pPr>
            <w:r>
              <w:rPr>
                <w:rFonts w:hint="eastAsia"/>
              </w:rPr>
              <w:t>内墙涂料</w:t>
            </w:r>
          </w:p>
        </w:tc>
        <w:tc>
          <w:tcPr>
            <w:tcW w:w="709" w:type="dxa"/>
            <w:shd w:val="clear" w:color="auto" w:fill="auto"/>
            <w:vAlign w:val="center"/>
          </w:tcPr>
          <w:p>
            <w:pPr>
              <w:pStyle w:val="178"/>
            </w:pPr>
            <w:r>
              <w:t>mg/kg</w:t>
            </w:r>
          </w:p>
        </w:tc>
        <w:tc>
          <w:tcPr>
            <w:tcW w:w="1016" w:type="dxa"/>
            <w:shd w:val="clear" w:color="auto" w:fill="auto"/>
            <w:vAlign w:val="center"/>
          </w:tcPr>
          <w:p>
            <w:pPr>
              <w:pStyle w:val="178"/>
            </w:pPr>
            <w:r>
              <w:rPr>
                <w:rFonts w:hint="eastAsia"/>
              </w:rPr>
              <w:t>≤20</w:t>
            </w:r>
          </w:p>
        </w:tc>
        <w:tc>
          <w:tcPr>
            <w:tcW w:w="2374"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2295" w:type="dxa"/>
            <w:gridSpan w:val="3"/>
            <w:shd w:val="clear" w:color="auto" w:fill="auto"/>
            <w:vAlign w:val="center"/>
          </w:tcPr>
          <w:p>
            <w:pPr>
              <w:pStyle w:val="178"/>
              <w:jc w:val="left"/>
            </w:pPr>
            <w:r>
              <w:rPr>
                <w:rFonts w:hint="eastAsia"/>
              </w:rPr>
              <w:t>外墙涂料</w:t>
            </w:r>
          </w:p>
        </w:tc>
        <w:tc>
          <w:tcPr>
            <w:tcW w:w="709" w:type="dxa"/>
            <w:shd w:val="clear" w:color="auto" w:fill="auto"/>
            <w:vAlign w:val="center"/>
          </w:tcPr>
          <w:p>
            <w:pPr>
              <w:pStyle w:val="178"/>
            </w:pPr>
            <w:r>
              <w:t>mg/kg</w:t>
            </w:r>
          </w:p>
        </w:tc>
        <w:tc>
          <w:tcPr>
            <w:tcW w:w="1016" w:type="dxa"/>
            <w:shd w:val="clear" w:color="auto" w:fill="auto"/>
            <w:vAlign w:val="center"/>
          </w:tcPr>
          <w:p>
            <w:pPr>
              <w:pStyle w:val="178"/>
            </w:pPr>
            <w:r>
              <w:rPr>
                <w:rFonts w:hint="eastAsia"/>
              </w:rPr>
              <w:t>≤30</w:t>
            </w:r>
          </w:p>
        </w:tc>
        <w:tc>
          <w:tcPr>
            <w:tcW w:w="2374"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2295" w:type="dxa"/>
            <w:gridSpan w:val="3"/>
            <w:shd w:val="clear" w:color="auto" w:fill="auto"/>
            <w:vAlign w:val="center"/>
          </w:tcPr>
          <w:p>
            <w:pPr>
              <w:pStyle w:val="178"/>
              <w:jc w:val="left"/>
            </w:pPr>
            <w:r>
              <w:rPr>
                <w:rFonts w:hint="eastAsia"/>
              </w:rPr>
              <w:t>腻子</w:t>
            </w:r>
          </w:p>
        </w:tc>
        <w:tc>
          <w:tcPr>
            <w:tcW w:w="709" w:type="dxa"/>
            <w:shd w:val="clear" w:color="auto" w:fill="auto"/>
            <w:vAlign w:val="center"/>
          </w:tcPr>
          <w:p>
            <w:pPr>
              <w:pStyle w:val="178"/>
            </w:pPr>
            <w:r>
              <w:t>mg/kg</w:t>
            </w:r>
          </w:p>
        </w:tc>
        <w:tc>
          <w:tcPr>
            <w:tcW w:w="1016" w:type="dxa"/>
            <w:shd w:val="clear" w:color="auto" w:fill="auto"/>
            <w:vAlign w:val="center"/>
          </w:tcPr>
          <w:p>
            <w:pPr>
              <w:pStyle w:val="178"/>
            </w:pPr>
            <w:r>
              <w:rPr>
                <w:rFonts w:hint="eastAsia"/>
              </w:rPr>
              <w:t>≤5</w:t>
            </w:r>
          </w:p>
        </w:tc>
        <w:tc>
          <w:tcPr>
            <w:tcW w:w="2374"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3260" w:type="dxa"/>
            <w:gridSpan w:val="4"/>
            <w:shd w:val="clear" w:color="auto" w:fill="auto"/>
            <w:vAlign w:val="center"/>
          </w:tcPr>
          <w:p>
            <w:pPr>
              <w:pStyle w:val="178"/>
              <w:jc w:val="left"/>
            </w:pPr>
            <w:r>
              <w:rPr>
                <w:rFonts w:hint="eastAsia"/>
              </w:rPr>
              <w:t>苯、甲苯、乙苯和二甲苯的含量总和</w:t>
            </w:r>
          </w:p>
        </w:tc>
        <w:tc>
          <w:tcPr>
            <w:tcW w:w="709" w:type="dxa"/>
            <w:shd w:val="clear" w:color="auto" w:fill="auto"/>
            <w:vAlign w:val="center"/>
          </w:tcPr>
          <w:p>
            <w:pPr>
              <w:pStyle w:val="178"/>
            </w:pPr>
            <w:r>
              <w:t>mg/kg</w:t>
            </w:r>
          </w:p>
        </w:tc>
        <w:tc>
          <w:tcPr>
            <w:tcW w:w="1016" w:type="dxa"/>
            <w:shd w:val="clear" w:color="auto" w:fill="auto"/>
            <w:vAlign w:val="center"/>
          </w:tcPr>
          <w:p>
            <w:pPr>
              <w:pStyle w:val="178"/>
            </w:pPr>
            <w:r>
              <w:rPr>
                <w:rFonts w:hint="eastAsia"/>
              </w:rPr>
              <w:t>≤50</w:t>
            </w:r>
          </w:p>
        </w:tc>
        <w:tc>
          <w:tcPr>
            <w:tcW w:w="2374" w:type="dxa"/>
            <w:shd w:val="clear" w:color="auto" w:fill="auto"/>
            <w:vAlign w:val="center"/>
          </w:tcPr>
          <w:p>
            <w:pPr>
              <w:pStyle w:val="178"/>
              <w:jc w:val="both"/>
              <w:rPr>
                <w:rFonts w:hint="eastAsia"/>
              </w:rPr>
            </w:pPr>
            <w:r>
              <w:rPr>
                <w:rFonts w:hint="eastAsia"/>
              </w:rPr>
              <w:t>按GB/T 23990—2009检测，提供有资质的第三方检测报告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restart"/>
            <w:shd w:val="clear" w:color="auto" w:fill="auto"/>
            <w:vAlign w:val="center"/>
          </w:tcPr>
          <w:p>
            <w:pPr>
              <w:pStyle w:val="178"/>
            </w:pPr>
            <w:r>
              <w:rPr>
                <w:rFonts w:hint="eastAsia"/>
              </w:rPr>
              <w:t>品质属性</w:t>
            </w:r>
          </w:p>
        </w:tc>
        <w:tc>
          <w:tcPr>
            <w:tcW w:w="1134" w:type="dxa"/>
            <w:vMerge w:val="restart"/>
            <w:shd w:val="clear" w:color="auto" w:fill="auto"/>
            <w:vAlign w:val="center"/>
          </w:tcPr>
          <w:p>
            <w:pPr>
              <w:pStyle w:val="178"/>
            </w:pPr>
            <w:r>
              <w:rPr>
                <w:rFonts w:hint="eastAsia"/>
              </w:rPr>
              <w:t>功能性</w:t>
            </w:r>
          </w:p>
          <w:p>
            <w:pPr>
              <w:pStyle w:val="178"/>
            </w:pPr>
            <w:r>
              <w:rPr>
                <w:rFonts w:hint="eastAsia"/>
              </w:rPr>
              <w:t>耐用性</w:t>
            </w:r>
          </w:p>
          <w:p>
            <w:pPr>
              <w:pStyle w:val="178"/>
            </w:pPr>
            <w:r>
              <w:rPr>
                <w:rFonts w:hint="eastAsia"/>
              </w:rPr>
              <w:t>安全性</w:t>
            </w:r>
          </w:p>
        </w:tc>
        <w:tc>
          <w:tcPr>
            <w:tcW w:w="965" w:type="dxa"/>
            <w:vMerge w:val="restart"/>
            <w:shd w:val="clear" w:color="auto" w:fill="auto"/>
            <w:vAlign w:val="center"/>
          </w:tcPr>
          <w:p>
            <w:pPr>
              <w:pStyle w:val="178"/>
              <w:jc w:val="left"/>
            </w:pPr>
            <w:r>
              <w:rPr>
                <w:rFonts w:hint="eastAsia"/>
              </w:rPr>
              <w:t>重金属元素含量(限色漆和腻子)</w:t>
            </w:r>
          </w:p>
        </w:tc>
        <w:tc>
          <w:tcPr>
            <w:tcW w:w="2295" w:type="dxa"/>
            <w:gridSpan w:val="3"/>
            <w:shd w:val="clear" w:color="auto" w:fill="auto"/>
            <w:vAlign w:val="center"/>
          </w:tcPr>
          <w:p>
            <w:pPr>
              <w:pStyle w:val="178"/>
              <w:jc w:val="left"/>
            </w:pPr>
            <w:r>
              <w:rPr>
                <w:rFonts w:hint="eastAsia"/>
              </w:rPr>
              <w:t>铅(Pb)</w:t>
            </w:r>
          </w:p>
        </w:tc>
        <w:tc>
          <w:tcPr>
            <w:tcW w:w="709" w:type="dxa"/>
            <w:shd w:val="clear" w:color="auto" w:fill="auto"/>
            <w:vAlign w:val="center"/>
          </w:tcPr>
          <w:p>
            <w:pPr>
              <w:pStyle w:val="178"/>
            </w:pPr>
            <w:r>
              <w:t>mg/kg</w:t>
            </w:r>
          </w:p>
        </w:tc>
        <w:tc>
          <w:tcPr>
            <w:tcW w:w="1016" w:type="dxa"/>
            <w:shd w:val="clear" w:color="auto" w:fill="auto"/>
            <w:vAlign w:val="center"/>
          </w:tcPr>
          <w:p>
            <w:pPr>
              <w:pStyle w:val="178"/>
            </w:pPr>
            <w:r>
              <w:rPr>
                <w:rFonts w:hint="eastAsia"/>
              </w:rPr>
              <w:t>≤20</w:t>
            </w:r>
          </w:p>
        </w:tc>
        <w:tc>
          <w:tcPr>
            <w:tcW w:w="2374" w:type="dxa"/>
            <w:vMerge w:val="restart"/>
            <w:shd w:val="clear" w:color="auto" w:fill="auto"/>
            <w:vAlign w:val="center"/>
          </w:tcPr>
          <w:p>
            <w:pPr>
              <w:pStyle w:val="178"/>
              <w:jc w:val="both"/>
            </w:pPr>
            <w:r>
              <w:rPr>
                <w:rFonts w:hint="eastAsia"/>
              </w:rPr>
              <w:t>按</w:t>
            </w:r>
            <w:r>
              <w:rPr>
                <w:rFonts w:hint="eastAsia"/>
                <w:lang w:val="en-US" w:eastAsia="zh-CN"/>
              </w:rPr>
              <w:t>GB/T 35602—2017附录B的</w:t>
            </w:r>
            <w:r>
              <w:rPr>
                <w:rFonts w:hint="eastAsia"/>
              </w:rPr>
              <w:t>B.6检测，提供有资质的第三方检测报告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2295" w:type="dxa"/>
            <w:gridSpan w:val="3"/>
            <w:shd w:val="clear" w:color="auto" w:fill="auto"/>
            <w:vAlign w:val="center"/>
          </w:tcPr>
          <w:p>
            <w:pPr>
              <w:pStyle w:val="178"/>
              <w:jc w:val="left"/>
            </w:pPr>
            <w:r>
              <w:rPr>
                <w:rFonts w:hint="eastAsia"/>
              </w:rPr>
              <w:t>镉(Cd)</w:t>
            </w:r>
          </w:p>
        </w:tc>
        <w:tc>
          <w:tcPr>
            <w:tcW w:w="709" w:type="dxa"/>
            <w:shd w:val="clear" w:color="auto" w:fill="auto"/>
            <w:vAlign w:val="center"/>
          </w:tcPr>
          <w:p>
            <w:pPr>
              <w:pStyle w:val="178"/>
            </w:pPr>
            <w:r>
              <w:t>mg/kg</w:t>
            </w:r>
          </w:p>
        </w:tc>
        <w:tc>
          <w:tcPr>
            <w:tcW w:w="1016" w:type="dxa"/>
            <w:shd w:val="clear" w:color="auto" w:fill="auto"/>
            <w:vAlign w:val="center"/>
          </w:tcPr>
          <w:p>
            <w:pPr>
              <w:pStyle w:val="178"/>
            </w:pPr>
            <w:r>
              <w:rPr>
                <w:rFonts w:hint="eastAsia"/>
              </w:rPr>
              <w:t>≤20</w:t>
            </w:r>
          </w:p>
        </w:tc>
        <w:tc>
          <w:tcPr>
            <w:tcW w:w="2374" w:type="dxa"/>
            <w:vMerge w:val="continue"/>
            <w:shd w:val="clear" w:color="auto" w:fill="auto"/>
            <w:vAlign w:val="center"/>
          </w:tcPr>
          <w:p>
            <w:pPr>
              <w:pStyle w:val="178"/>
              <w:jc w:val="both"/>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2295" w:type="dxa"/>
            <w:gridSpan w:val="3"/>
            <w:shd w:val="clear" w:color="auto" w:fill="auto"/>
            <w:vAlign w:val="center"/>
          </w:tcPr>
          <w:p>
            <w:pPr>
              <w:pStyle w:val="178"/>
              <w:jc w:val="left"/>
            </w:pPr>
            <w:r>
              <w:rPr>
                <w:rFonts w:hint="eastAsia"/>
              </w:rPr>
              <w:t>六价铬</w:t>
            </w:r>
            <w:r>
              <w:t>(Cr</w:t>
            </w:r>
            <w:r>
              <w:rPr>
                <w:vertAlign w:val="superscript"/>
              </w:rPr>
              <w:t>6+</w:t>
            </w:r>
            <w:r>
              <w:t>)</w:t>
            </w:r>
          </w:p>
        </w:tc>
        <w:tc>
          <w:tcPr>
            <w:tcW w:w="709" w:type="dxa"/>
            <w:shd w:val="clear" w:color="auto" w:fill="auto"/>
            <w:vAlign w:val="center"/>
          </w:tcPr>
          <w:p>
            <w:pPr>
              <w:pStyle w:val="178"/>
            </w:pPr>
            <w:r>
              <w:t>mg/kg</w:t>
            </w:r>
          </w:p>
        </w:tc>
        <w:tc>
          <w:tcPr>
            <w:tcW w:w="1016" w:type="dxa"/>
            <w:shd w:val="clear" w:color="auto" w:fill="auto"/>
            <w:vAlign w:val="center"/>
          </w:tcPr>
          <w:p>
            <w:pPr>
              <w:pStyle w:val="178"/>
            </w:pPr>
            <w:r>
              <w:rPr>
                <w:rFonts w:hint="eastAsia"/>
              </w:rPr>
              <w:t>≤20</w:t>
            </w:r>
          </w:p>
        </w:tc>
        <w:tc>
          <w:tcPr>
            <w:tcW w:w="2374" w:type="dxa"/>
            <w:vMerge w:val="continue"/>
            <w:shd w:val="clear" w:color="auto" w:fill="auto"/>
            <w:vAlign w:val="center"/>
          </w:tcPr>
          <w:p>
            <w:pPr>
              <w:pStyle w:val="178"/>
              <w:jc w:val="both"/>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2295" w:type="dxa"/>
            <w:gridSpan w:val="3"/>
            <w:shd w:val="clear" w:color="auto" w:fill="auto"/>
            <w:vAlign w:val="center"/>
          </w:tcPr>
          <w:p>
            <w:pPr>
              <w:pStyle w:val="178"/>
              <w:jc w:val="left"/>
            </w:pPr>
            <w:r>
              <w:rPr>
                <w:rFonts w:hint="eastAsia"/>
              </w:rPr>
              <w:t>汞(Hg)</w:t>
            </w:r>
          </w:p>
        </w:tc>
        <w:tc>
          <w:tcPr>
            <w:tcW w:w="709" w:type="dxa"/>
            <w:shd w:val="clear" w:color="auto" w:fill="auto"/>
            <w:vAlign w:val="center"/>
          </w:tcPr>
          <w:p>
            <w:pPr>
              <w:pStyle w:val="178"/>
            </w:pPr>
            <w:r>
              <w:t>mg/kg</w:t>
            </w:r>
          </w:p>
        </w:tc>
        <w:tc>
          <w:tcPr>
            <w:tcW w:w="1016" w:type="dxa"/>
            <w:shd w:val="clear" w:color="auto" w:fill="auto"/>
            <w:vAlign w:val="center"/>
          </w:tcPr>
          <w:p>
            <w:pPr>
              <w:pStyle w:val="178"/>
            </w:pPr>
            <w:r>
              <w:rPr>
                <w:rFonts w:hint="eastAsia"/>
              </w:rPr>
              <w:t>≤20</w:t>
            </w:r>
          </w:p>
        </w:tc>
        <w:tc>
          <w:tcPr>
            <w:tcW w:w="2374" w:type="dxa"/>
            <w:vMerge w:val="continue"/>
            <w:shd w:val="clear" w:color="auto" w:fill="auto"/>
            <w:vAlign w:val="center"/>
          </w:tcPr>
          <w:p>
            <w:pPr>
              <w:pStyle w:val="178"/>
              <w:jc w:val="both"/>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2295" w:type="dxa"/>
            <w:gridSpan w:val="3"/>
            <w:shd w:val="clear" w:color="auto" w:fill="auto"/>
            <w:vAlign w:val="center"/>
          </w:tcPr>
          <w:p>
            <w:pPr>
              <w:pStyle w:val="178"/>
              <w:jc w:val="left"/>
            </w:pPr>
            <w:r>
              <w:rPr>
                <w:rFonts w:hint="eastAsia"/>
              </w:rPr>
              <w:t>砷(As)</w:t>
            </w:r>
          </w:p>
        </w:tc>
        <w:tc>
          <w:tcPr>
            <w:tcW w:w="709" w:type="dxa"/>
            <w:shd w:val="clear" w:color="auto" w:fill="auto"/>
            <w:vAlign w:val="center"/>
          </w:tcPr>
          <w:p>
            <w:pPr>
              <w:pStyle w:val="178"/>
            </w:pPr>
            <w:r>
              <w:t>mg/kg</w:t>
            </w:r>
          </w:p>
        </w:tc>
        <w:tc>
          <w:tcPr>
            <w:tcW w:w="1016" w:type="dxa"/>
            <w:shd w:val="clear" w:color="auto" w:fill="auto"/>
            <w:vAlign w:val="center"/>
          </w:tcPr>
          <w:p>
            <w:pPr>
              <w:pStyle w:val="178"/>
            </w:pPr>
            <w:r>
              <w:rPr>
                <w:rFonts w:hint="eastAsia"/>
              </w:rPr>
              <w:t>≤20</w:t>
            </w:r>
          </w:p>
        </w:tc>
        <w:tc>
          <w:tcPr>
            <w:tcW w:w="2374" w:type="dxa"/>
            <w:vMerge w:val="continue"/>
            <w:shd w:val="clear" w:color="auto" w:fill="auto"/>
            <w:vAlign w:val="center"/>
          </w:tcPr>
          <w:p>
            <w:pPr>
              <w:pStyle w:val="178"/>
              <w:jc w:val="both"/>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2295" w:type="dxa"/>
            <w:gridSpan w:val="3"/>
            <w:shd w:val="clear" w:color="auto" w:fill="auto"/>
            <w:vAlign w:val="center"/>
          </w:tcPr>
          <w:p>
            <w:pPr>
              <w:pStyle w:val="178"/>
              <w:jc w:val="left"/>
            </w:pPr>
            <w:r>
              <w:rPr>
                <w:rFonts w:hint="eastAsia"/>
              </w:rPr>
              <w:t>钡(Ba)</w:t>
            </w:r>
          </w:p>
        </w:tc>
        <w:tc>
          <w:tcPr>
            <w:tcW w:w="709" w:type="dxa"/>
            <w:shd w:val="clear" w:color="auto" w:fill="auto"/>
            <w:vAlign w:val="center"/>
          </w:tcPr>
          <w:p>
            <w:pPr>
              <w:pStyle w:val="178"/>
            </w:pPr>
            <w:r>
              <w:t>mg/kg</w:t>
            </w:r>
          </w:p>
        </w:tc>
        <w:tc>
          <w:tcPr>
            <w:tcW w:w="1016" w:type="dxa"/>
            <w:shd w:val="clear" w:color="auto" w:fill="auto"/>
            <w:vAlign w:val="center"/>
          </w:tcPr>
          <w:p>
            <w:pPr>
              <w:pStyle w:val="178"/>
            </w:pPr>
            <w:r>
              <w:rPr>
                <w:rFonts w:hint="eastAsia"/>
              </w:rPr>
              <w:t>≤100</w:t>
            </w:r>
          </w:p>
        </w:tc>
        <w:tc>
          <w:tcPr>
            <w:tcW w:w="2374" w:type="dxa"/>
            <w:vMerge w:val="continue"/>
            <w:shd w:val="clear" w:color="auto" w:fill="auto"/>
            <w:vAlign w:val="center"/>
          </w:tcPr>
          <w:p>
            <w:pPr>
              <w:pStyle w:val="178"/>
              <w:jc w:val="both"/>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2295" w:type="dxa"/>
            <w:gridSpan w:val="3"/>
            <w:shd w:val="clear" w:color="auto" w:fill="auto"/>
            <w:vAlign w:val="center"/>
          </w:tcPr>
          <w:p>
            <w:pPr>
              <w:pStyle w:val="178"/>
              <w:jc w:val="left"/>
            </w:pPr>
            <w:r>
              <w:rPr>
                <w:rFonts w:hint="eastAsia"/>
              </w:rPr>
              <w:t>硒(Se)</w:t>
            </w:r>
          </w:p>
        </w:tc>
        <w:tc>
          <w:tcPr>
            <w:tcW w:w="709" w:type="dxa"/>
            <w:shd w:val="clear" w:color="auto" w:fill="auto"/>
            <w:vAlign w:val="center"/>
          </w:tcPr>
          <w:p>
            <w:pPr>
              <w:pStyle w:val="178"/>
            </w:pPr>
            <w:r>
              <w:t>mg/kg</w:t>
            </w:r>
          </w:p>
        </w:tc>
        <w:tc>
          <w:tcPr>
            <w:tcW w:w="1016" w:type="dxa"/>
            <w:shd w:val="clear" w:color="auto" w:fill="auto"/>
            <w:vAlign w:val="center"/>
          </w:tcPr>
          <w:p>
            <w:pPr>
              <w:pStyle w:val="178"/>
            </w:pPr>
            <w:r>
              <w:rPr>
                <w:rFonts w:hint="eastAsia"/>
              </w:rPr>
              <w:t>≤20</w:t>
            </w:r>
          </w:p>
        </w:tc>
        <w:tc>
          <w:tcPr>
            <w:tcW w:w="2374" w:type="dxa"/>
            <w:vMerge w:val="continue"/>
            <w:shd w:val="clear" w:color="auto" w:fill="auto"/>
            <w:vAlign w:val="center"/>
          </w:tcPr>
          <w:p>
            <w:pPr>
              <w:pStyle w:val="178"/>
              <w:jc w:val="both"/>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2295" w:type="dxa"/>
            <w:gridSpan w:val="3"/>
            <w:shd w:val="clear" w:color="auto" w:fill="auto"/>
            <w:vAlign w:val="center"/>
          </w:tcPr>
          <w:p>
            <w:pPr>
              <w:pStyle w:val="178"/>
              <w:jc w:val="left"/>
            </w:pPr>
            <w:r>
              <w:rPr>
                <w:rFonts w:hint="eastAsia"/>
              </w:rPr>
              <w:t>锑(Sb)</w:t>
            </w:r>
          </w:p>
        </w:tc>
        <w:tc>
          <w:tcPr>
            <w:tcW w:w="709" w:type="dxa"/>
            <w:shd w:val="clear" w:color="auto" w:fill="auto"/>
            <w:vAlign w:val="center"/>
          </w:tcPr>
          <w:p>
            <w:pPr>
              <w:pStyle w:val="178"/>
            </w:pPr>
            <w:r>
              <w:t>mg/kg</w:t>
            </w:r>
          </w:p>
        </w:tc>
        <w:tc>
          <w:tcPr>
            <w:tcW w:w="1016" w:type="dxa"/>
            <w:shd w:val="clear" w:color="auto" w:fill="auto"/>
            <w:vAlign w:val="center"/>
          </w:tcPr>
          <w:p>
            <w:pPr>
              <w:pStyle w:val="178"/>
            </w:pPr>
            <w:r>
              <w:rPr>
                <w:rFonts w:hint="eastAsia"/>
              </w:rPr>
              <w:t>≤20</w:t>
            </w:r>
          </w:p>
        </w:tc>
        <w:tc>
          <w:tcPr>
            <w:tcW w:w="2374" w:type="dxa"/>
            <w:vMerge w:val="continue"/>
            <w:shd w:val="clear" w:color="auto" w:fill="auto"/>
            <w:vAlign w:val="center"/>
          </w:tcPr>
          <w:p>
            <w:pPr>
              <w:pStyle w:val="178"/>
              <w:jc w:val="both"/>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2295" w:type="dxa"/>
            <w:gridSpan w:val="3"/>
            <w:shd w:val="clear" w:color="auto" w:fill="auto"/>
            <w:vAlign w:val="center"/>
          </w:tcPr>
          <w:p>
            <w:pPr>
              <w:pStyle w:val="178"/>
              <w:jc w:val="left"/>
            </w:pPr>
            <w:r>
              <w:rPr>
                <w:rFonts w:hint="eastAsia"/>
              </w:rPr>
              <w:t>钴(Co)</w:t>
            </w:r>
          </w:p>
        </w:tc>
        <w:tc>
          <w:tcPr>
            <w:tcW w:w="709" w:type="dxa"/>
            <w:shd w:val="clear" w:color="auto" w:fill="auto"/>
            <w:vAlign w:val="center"/>
          </w:tcPr>
          <w:p>
            <w:pPr>
              <w:pStyle w:val="178"/>
            </w:pPr>
            <w:r>
              <w:t>mg/kg</w:t>
            </w:r>
          </w:p>
        </w:tc>
        <w:tc>
          <w:tcPr>
            <w:tcW w:w="1016" w:type="dxa"/>
            <w:shd w:val="clear" w:color="auto" w:fill="auto"/>
            <w:vAlign w:val="center"/>
          </w:tcPr>
          <w:p>
            <w:pPr>
              <w:pStyle w:val="178"/>
            </w:pPr>
            <w:r>
              <w:rPr>
                <w:rFonts w:hint="eastAsia"/>
              </w:rPr>
              <w:t>≤20</w:t>
            </w:r>
          </w:p>
        </w:tc>
        <w:tc>
          <w:tcPr>
            <w:tcW w:w="2374" w:type="dxa"/>
            <w:vMerge w:val="continue"/>
            <w:shd w:val="clear" w:color="auto" w:fill="auto"/>
            <w:vAlign w:val="center"/>
          </w:tcPr>
          <w:p>
            <w:pPr>
              <w:pStyle w:val="178"/>
              <w:jc w:val="both"/>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restart"/>
            <w:shd w:val="clear" w:color="auto" w:fill="auto"/>
            <w:vAlign w:val="center"/>
          </w:tcPr>
          <w:p>
            <w:pPr>
              <w:pStyle w:val="178"/>
              <w:jc w:val="both"/>
            </w:pPr>
            <w:r>
              <w:rPr>
                <w:rFonts w:hint="eastAsia"/>
              </w:rPr>
              <w:t>生物杀伤剂含量</w:t>
            </w:r>
          </w:p>
        </w:tc>
        <w:tc>
          <w:tcPr>
            <w:tcW w:w="613" w:type="dxa"/>
            <w:vMerge w:val="restart"/>
            <w:shd w:val="clear" w:color="auto" w:fill="auto"/>
            <w:vAlign w:val="center"/>
          </w:tcPr>
          <w:p>
            <w:pPr>
              <w:pStyle w:val="178"/>
              <w:jc w:val="left"/>
            </w:pPr>
            <w:r>
              <w:rPr>
                <w:rFonts w:hint="eastAsia"/>
              </w:rPr>
              <w:t>异噻唑啉酮</w:t>
            </w:r>
          </w:p>
        </w:tc>
        <w:tc>
          <w:tcPr>
            <w:tcW w:w="1682" w:type="dxa"/>
            <w:gridSpan w:val="2"/>
            <w:shd w:val="clear" w:color="auto" w:fill="auto"/>
            <w:vAlign w:val="center"/>
          </w:tcPr>
          <w:p>
            <w:pPr>
              <w:pStyle w:val="178"/>
              <w:jc w:val="left"/>
            </w:pPr>
            <w:r>
              <w:rPr>
                <w:rFonts w:hint="eastAsia"/>
              </w:rPr>
              <w:t>氯甲基异噻唑啉酮/甲基异噻唑啉酮(3/1)[CMI/MI</w:t>
            </w:r>
            <w:r>
              <w:t>(3/1)]</w:t>
            </w:r>
          </w:p>
        </w:tc>
        <w:tc>
          <w:tcPr>
            <w:tcW w:w="709" w:type="dxa"/>
            <w:shd w:val="clear" w:color="auto" w:fill="auto"/>
            <w:vAlign w:val="center"/>
          </w:tcPr>
          <w:p>
            <w:pPr>
              <w:pStyle w:val="178"/>
            </w:pPr>
            <w:r>
              <w:t>mg/kg</w:t>
            </w:r>
          </w:p>
        </w:tc>
        <w:tc>
          <w:tcPr>
            <w:tcW w:w="1016" w:type="dxa"/>
            <w:shd w:val="clear" w:color="auto" w:fill="auto"/>
            <w:vAlign w:val="center"/>
          </w:tcPr>
          <w:p>
            <w:pPr>
              <w:pStyle w:val="178"/>
            </w:pPr>
            <w:r>
              <w:rPr>
                <w:rFonts w:hint="eastAsia"/>
              </w:rPr>
              <w:t>≤15</w:t>
            </w:r>
          </w:p>
        </w:tc>
        <w:tc>
          <w:tcPr>
            <w:tcW w:w="2374" w:type="dxa"/>
            <w:vMerge w:val="restart"/>
            <w:shd w:val="clear" w:color="auto" w:fill="auto"/>
            <w:vAlign w:val="center"/>
          </w:tcPr>
          <w:p>
            <w:pPr>
              <w:pStyle w:val="178"/>
              <w:jc w:val="both"/>
            </w:pPr>
            <w:r>
              <w:rPr>
                <w:rFonts w:hint="eastAsia"/>
              </w:rPr>
              <w:t>提供全部生物杀伤剂使用清单(不得添加物质的污染限值均为50 mg/kg)</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613" w:type="dxa"/>
            <w:vMerge w:val="continue"/>
            <w:shd w:val="clear" w:color="auto" w:fill="auto"/>
            <w:vAlign w:val="center"/>
          </w:tcPr>
          <w:p>
            <w:pPr>
              <w:pStyle w:val="178"/>
            </w:pPr>
          </w:p>
        </w:tc>
        <w:tc>
          <w:tcPr>
            <w:tcW w:w="1682" w:type="dxa"/>
            <w:gridSpan w:val="2"/>
            <w:shd w:val="clear" w:color="auto" w:fill="auto"/>
            <w:vAlign w:val="center"/>
          </w:tcPr>
          <w:p>
            <w:pPr>
              <w:pStyle w:val="178"/>
              <w:jc w:val="both"/>
            </w:pPr>
            <w:r>
              <w:rPr>
                <w:rFonts w:hint="eastAsia"/>
              </w:rPr>
              <w:t>辛基异噻唑啉酮(OIT)</w:t>
            </w:r>
          </w:p>
        </w:tc>
        <w:tc>
          <w:tcPr>
            <w:tcW w:w="709" w:type="dxa"/>
            <w:shd w:val="clear" w:color="auto" w:fill="auto"/>
            <w:vAlign w:val="center"/>
          </w:tcPr>
          <w:p>
            <w:pPr>
              <w:pStyle w:val="178"/>
            </w:pPr>
            <w:r>
              <w:t>mg/kg</w:t>
            </w:r>
          </w:p>
        </w:tc>
        <w:tc>
          <w:tcPr>
            <w:tcW w:w="1016" w:type="dxa"/>
            <w:shd w:val="clear" w:color="auto" w:fill="auto"/>
            <w:vAlign w:val="center"/>
          </w:tcPr>
          <w:p>
            <w:pPr>
              <w:pStyle w:val="178"/>
            </w:pPr>
            <w:r>
              <w:rPr>
                <w:rFonts w:hint="eastAsia"/>
              </w:rPr>
              <w:t>≤500</w:t>
            </w:r>
          </w:p>
        </w:tc>
        <w:tc>
          <w:tcPr>
            <w:tcW w:w="2374"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613" w:type="dxa"/>
            <w:vMerge w:val="continue"/>
            <w:shd w:val="clear" w:color="auto" w:fill="auto"/>
            <w:vAlign w:val="center"/>
          </w:tcPr>
          <w:p>
            <w:pPr>
              <w:pStyle w:val="178"/>
            </w:pPr>
          </w:p>
        </w:tc>
        <w:tc>
          <w:tcPr>
            <w:tcW w:w="1682" w:type="dxa"/>
            <w:gridSpan w:val="2"/>
            <w:shd w:val="clear" w:color="auto" w:fill="auto"/>
            <w:vAlign w:val="center"/>
          </w:tcPr>
          <w:p>
            <w:pPr>
              <w:pStyle w:val="178"/>
              <w:jc w:val="left"/>
            </w:pPr>
            <w:r>
              <w:rPr>
                <w:rFonts w:hint="eastAsia"/>
              </w:rPr>
              <w:t>苯并异噻唑酮(BIT)</w:t>
            </w:r>
          </w:p>
        </w:tc>
        <w:tc>
          <w:tcPr>
            <w:tcW w:w="709" w:type="dxa"/>
            <w:shd w:val="clear" w:color="auto" w:fill="auto"/>
            <w:vAlign w:val="center"/>
          </w:tcPr>
          <w:p>
            <w:pPr>
              <w:pStyle w:val="178"/>
            </w:pPr>
            <w:r>
              <w:t>mg/kg</w:t>
            </w:r>
          </w:p>
        </w:tc>
        <w:tc>
          <w:tcPr>
            <w:tcW w:w="1016" w:type="dxa"/>
            <w:shd w:val="clear" w:color="auto" w:fill="auto"/>
            <w:vAlign w:val="center"/>
          </w:tcPr>
          <w:p>
            <w:pPr>
              <w:pStyle w:val="178"/>
            </w:pPr>
            <w:r>
              <w:rPr>
                <w:rFonts w:hint="eastAsia"/>
              </w:rPr>
              <w:t>≤500</w:t>
            </w:r>
          </w:p>
        </w:tc>
        <w:tc>
          <w:tcPr>
            <w:tcW w:w="2374"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613" w:type="dxa"/>
            <w:vMerge w:val="continue"/>
            <w:shd w:val="clear" w:color="auto" w:fill="auto"/>
            <w:vAlign w:val="center"/>
          </w:tcPr>
          <w:p>
            <w:pPr>
              <w:pStyle w:val="178"/>
            </w:pPr>
          </w:p>
        </w:tc>
        <w:tc>
          <w:tcPr>
            <w:tcW w:w="1682" w:type="dxa"/>
            <w:gridSpan w:val="2"/>
            <w:shd w:val="clear" w:color="auto" w:fill="auto"/>
            <w:vAlign w:val="center"/>
          </w:tcPr>
          <w:p>
            <w:pPr>
              <w:pStyle w:val="178"/>
              <w:jc w:val="left"/>
            </w:pPr>
            <w:r>
              <w:rPr>
                <w:rFonts w:hint="eastAsia"/>
              </w:rPr>
              <w:t>甲基异噻唑酮(MI)</w:t>
            </w:r>
          </w:p>
        </w:tc>
        <w:tc>
          <w:tcPr>
            <w:tcW w:w="709" w:type="dxa"/>
            <w:shd w:val="clear" w:color="auto" w:fill="auto"/>
            <w:vAlign w:val="center"/>
          </w:tcPr>
          <w:p>
            <w:pPr>
              <w:pStyle w:val="178"/>
            </w:pPr>
            <w:r>
              <w:t>mg/kg</w:t>
            </w:r>
          </w:p>
        </w:tc>
        <w:tc>
          <w:tcPr>
            <w:tcW w:w="1016" w:type="dxa"/>
            <w:shd w:val="clear" w:color="auto" w:fill="auto"/>
            <w:vAlign w:val="center"/>
          </w:tcPr>
          <w:p>
            <w:pPr>
              <w:pStyle w:val="178"/>
            </w:pPr>
            <w:r>
              <w:rPr>
                <w:rFonts w:hint="eastAsia"/>
              </w:rPr>
              <w:t>≤200</w:t>
            </w:r>
          </w:p>
        </w:tc>
        <w:tc>
          <w:tcPr>
            <w:tcW w:w="2374"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613" w:type="dxa"/>
            <w:vMerge w:val="continue"/>
            <w:shd w:val="clear" w:color="auto" w:fill="auto"/>
            <w:vAlign w:val="center"/>
          </w:tcPr>
          <w:p>
            <w:pPr>
              <w:pStyle w:val="178"/>
            </w:pPr>
          </w:p>
        </w:tc>
        <w:tc>
          <w:tcPr>
            <w:tcW w:w="1682" w:type="dxa"/>
            <w:gridSpan w:val="2"/>
            <w:shd w:val="clear" w:color="auto" w:fill="auto"/>
            <w:vAlign w:val="center"/>
          </w:tcPr>
          <w:p>
            <w:pPr>
              <w:pStyle w:val="178"/>
              <w:jc w:val="left"/>
            </w:pPr>
            <w:r>
              <w:rPr>
                <w:rFonts w:hint="eastAsia"/>
              </w:rPr>
              <w:t>双氯辛基异噻唑啉酮</w:t>
            </w:r>
            <w:r>
              <w:t>(DCOIT)</w:t>
            </w:r>
          </w:p>
        </w:tc>
        <w:tc>
          <w:tcPr>
            <w:tcW w:w="709" w:type="dxa"/>
            <w:shd w:val="clear" w:color="auto" w:fill="auto"/>
            <w:vAlign w:val="center"/>
          </w:tcPr>
          <w:p>
            <w:pPr>
              <w:pStyle w:val="178"/>
            </w:pPr>
            <w:r>
              <w:t>mg/kg</w:t>
            </w:r>
          </w:p>
        </w:tc>
        <w:tc>
          <w:tcPr>
            <w:tcW w:w="1016" w:type="dxa"/>
            <w:shd w:val="clear" w:color="auto" w:fill="auto"/>
            <w:vAlign w:val="center"/>
          </w:tcPr>
          <w:p>
            <w:pPr>
              <w:pStyle w:val="178"/>
            </w:pPr>
            <w:r>
              <w:rPr>
                <w:rFonts w:hint="eastAsia"/>
              </w:rPr>
              <w:t>≤500</w:t>
            </w:r>
          </w:p>
        </w:tc>
        <w:tc>
          <w:tcPr>
            <w:tcW w:w="2374"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613" w:type="dxa"/>
            <w:vMerge w:val="continue"/>
            <w:shd w:val="clear" w:color="auto" w:fill="auto"/>
            <w:vAlign w:val="center"/>
          </w:tcPr>
          <w:p>
            <w:pPr>
              <w:pStyle w:val="178"/>
            </w:pPr>
          </w:p>
        </w:tc>
        <w:tc>
          <w:tcPr>
            <w:tcW w:w="1682" w:type="dxa"/>
            <w:gridSpan w:val="2"/>
            <w:shd w:val="clear" w:color="auto" w:fill="auto"/>
            <w:vAlign w:val="center"/>
          </w:tcPr>
          <w:p>
            <w:pPr>
              <w:pStyle w:val="178"/>
              <w:jc w:val="left"/>
            </w:pPr>
            <w:r>
              <w:rPr>
                <w:rFonts w:hint="eastAsia"/>
              </w:rPr>
              <w:t>异噻唑啉酮含量总和</w:t>
            </w:r>
          </w:p>
        </w:tc>
        <w:tc>
          <w:tcPr>
            <w:tcW w:w="709" w:type="dxa"/>
            <w:shd w:val="clear" w:color="auto" w:fill="auto"/>
            <w:vAlign w:val="center"/>
          </w:tcPr>
          <w:p>
            <w:pPr>
              <w:pStyle w:val="178"/>
            </w:pPr>
            <w:r>
              <w:t>mg/kg</w:t>
            </w:r>
          </w:p>
        </w:tc>
        <w:tc>
          <w:tcPr>
            <w:tcW w:w="1016" w:type="dxa"/>
            <w:shd w:val="clear" w:color="auto" w:fill="auto"/>
            <w:vAlign w:val="center"/>
          </w:tcPr>
          <w:p>
            <w:pPr>
              <w:pStyle w:val="178"/>
            </w:pPr>
            <w:r>
              <w:rPr>
                <w:rFonts w:hint="eastAsia"/>
              </w:rPr>
              <w:t>≤750</w:t>
            </w:r>
          </w:p>
        </w:tc>
        <w:tc>
          <w:tcPr>
            <w:tcW w:w="2374"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2295" w:type="dxa"/>
            <w:gridSpan w:val="3"/>
            <w:shd w:val="clear" w:color="auto" w:fill="auto"/>
            <w:vAlign w:val="center"/>
          </w:tcPr>
          <w:p>
            <w:pPr>
              <w:pStyle w:val="178"/>
              <w:jc w:val="both"/>
            </w:pPr>
            <w:r>
              <w:rPr>
                <w:rFonts w:hint="eastAsia"/>
              </w:rPr>
              <w:t>碘代丙炔基氨基甲酸丁酯(IPBC)</w:t>
            </w:r>
          </w:p>
        </w:tc>
        <w:tc>
          <w:tcPr>
            <w:tcW w:w="709" w:type="dxa"/>
            <w:shd w:val="clear" w:color="auto" w:fill="auto"/>
            <w:vAlign w:val="center"/>
          </w:tcPr>
          <w:p>
            <w:pPr>
              <w:pStyle w:val="178"/>
            </w:pPr>
            <w:r>
              <w:t>mg/kg</w:t>
            </w:r>
          </w:p>
        </w:tc>
        <w:tc>
          <w:tcPr>
            <w:tcW w:w="1016" w:type="dxa"/>
            <w:shd w:val="clear" w:color="auto" w:fill="auto"/>
            <w:vAlign w:val="center"/>
          </w:tcPr>
          <w:p>
            <w:pPr>
              <w:pStyle w:val="178"/>
            </w:pPr>
            <w:r>
              <w:rPr>
                <w:rFonts w:hint="eastAsia"/>
              </w:rPr>
              <w:t>≤1500</w:t>
            </w:r>
          </w:p>
        </w:tc>
        <w:tc>
          <w:tcPr>
            <w:tcW w:w="2374"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2295" w:type="dxa"/>
            <w:gridSpan w:val="3"/>
            <w:shd w:val="clear" w:color="auto" w:fill="auto"/>
            <w:vAlign w:val="center"/>
          </w:tcPr>
          <w:p>
            <w:pPr>
              <w:pStyle w:val="178"/>
              <w:jc w:val="left"/>
            </w:pPr>
            <w:r>
              <w:rPr>
                <w:rFonts w:hint="eastAsia"/>
              </w:rPr>
              <w:t>吡啶硫酮锌(ZPT)</w:t>
            </w:r>
          </w:p>
        </w:tc>
        <w:tc>
          <w:tcPr>
            <w:tcW w:w="709" w:type="dxa"/>
            <w:shd w:val="clear" w:color="auto" w:fill="auto"/>
            <w:vAlign w:val="center"/>
          </w:tcPr>
          <w:p>
            <w:pPr>
              <w:pStyle w:val="178"/>
            </w:pPr>
            <w:r>
              <w:t>mg/kg</w:t>
            </w:r>
          </w:p>
        </w:tc>
        <w:tc>
          <w:tcPr>
            <w:tcW w:w="1016" w:type="dxa"/>
            <w:shd w:val="clear" w:color="auto" w:fill="auto"/>
            <w:vAlign w:val="center"/>
          </w:tcPr>
          <w:p>
            <w:pPr>
              <w:pStyle w:val="178"/>
            </w:pPr>
            <w:r>
              <w:rPr>
                <w:rFonts w:hint="eastAsia"/>
              </w:rPr>
              <w:t>≤1500</w:t>
            </w:r>
          </w:p>
        </w:tc>
        <w:tc>
          <w:tcPr>
            <w:tcW w:w="2374"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2295" w:type="dxa"/>
            <w:gridSpan w:val="3"/>
            <w:shd w:val="clear" w:color="auto" w:fill="auto"/>
            <w:vAlign w:val="center"/>
          </w:tcPr>
          <w:p>
            <w:pPr>
              <w:pStyle w:val="178"/>
              <w:jc w:val="left"/>
            </w:pPr>
            <w:r>
              <w:rPr>
                <w:rFonts w:hint="eastAsia"/>
              </w:rPr>
              <w:t>二(3-氨丙基)十二烷基胺</w:t>
            </w:r>
          </w:p>
        </w:tc>
        <w:tc>
          <w:tcPr>
            <w:tcW w:w="709" w:type="dxa"/>
            <w:shd w:val="clear" w:color="auto" w:fill="auto"/>
            <w:vAlign w:val="center"/>
          </w:tcPr>
          <w:p>
            <w:pPr>
              <w:pStyle w:val="178"/>
            </w:pPr>
            <w:r>
              <w:t>mg/kg</w:t>
            </w:r>
          </w:p>
        </w:tc>
        <w:tc>
          <w:tcPr>
            <w:tcW w:w="1016" w:type="dxa"/>
            <w:shd w:val="clear" w:color="auto" w:fill="auto"/>
            <w:vAlign w:val="center"/>
          </w:tcPr>
          <w:p>
            <w:pPr>
              <w:pStyle w:val="178"/>
            </w:pPr>
            <w:r>
              <w:rPr>
                <w:rFonts w:hint="eastAsia"/>
              </w:rPr>
              <w:t>≤500</w:t>
            </w:r>
          </w:p>
        </w:tc>
        <w:tc>
          <w:tcPr>
            <w:tcW w:w="2374"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2295" w:type="dxa"/>
            <w:gridSpan w:val="3"/>
            <w:shd w:val="clear" w:color="auto" w:fill="auto"/>
            <w:vAlign w:val="center"/>
          </w:tcPr>
          <w:p>
            <w:pPr>
              <w:pStyle w:val="178"/>
              <w:jc w:val="both"/>
            </w:pPr>
            <w:r>
              <w:rPr>
                <w:rFonts w:hint="eastAsia"/>
              </w:rPr>
              <w:t>多菌灵、敌草隆、百菌清、三氯生</w:t>
            </w:r>
          </w:p>
        </w:tc>
        <w:tc>
          <w:tcPr>
            <w:tcW w:w="709" w:type="dxa"/>
            <w:shd w:val="clear" w:color="auto" w:fill="auto"/>
            <w:vAlign w:val="center"/>
          </w:tcPr>
          <w:p>
            <w:pPr>
              <w:pStyle w:val="178"/>
            </w:pPr>
            <w:r>
              <w:rPr>
                <w:rFonts w:hint="eastAsia"/>
              </w:rPr>
              <w:t>—</w:t>
            </w:r>
          </w:p>
        </w:tc>
        <w:tc>
          <w:tcPr>
            <w:tcW w:w="1016" w:type="dxa"/>
            <w:shd w:val="clear" w:color="auto" w:fill="auto"/>
            <w:vAlign w:val="center"/>
          </w:tcPr>
          <w:p>
            <w:pPr>
              <w:pStyle w:val="178"/>
            </w:pPr>
            <w:r>
              <w:rPr>
                <w:rFonts w:hint="eastAsia"/>
              </w:rPr>
              <w:t>均不得添加</w:t>
            </w:r>
          </w:p>
        </w:tc>
        <w:tc>
          <w:tcPr>
            <w:tcW w:w="2374"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2295" w:type="dxa"/>
            <w:gridSpan w:val="3"/>
            <w:shd w:val="clear" w:color="auto" w:fill="auto"/>
            <w:vAlign w:val="center"/>
          </w:tcPr>
          <w:p>
            <w:pPr>
              <w:pStyle w:val="178"/>
              <w:jc w:val="both"/>
            </w:pPr>
            <w:r>
              <w:rPr>
                <w:rFonts w:hint="eastAsia"/>
              </w:rPr>
              <w:t>涉及在体内验证试验中确认具有内分泌干扰的生物杀伤剂</w:t>
            </w:r>
          </w:p>
        </w:tc>
        <w:tc>
          <w:tcPr>
            <w:tcW w:w="709" w:type="dxa"/>
            <w:shd w:val="clear" w:color="auto" w:fill="auto"/>
            <w:vAlign w:val="center"/>
          </w:tcPr>
          <w:p>
            <w:pPr>
              <w:pStyle w:val="178"/>
            </w:pPr>
            <w:r>
              <w:rPr>
                <w:rFonts w:hint="eastAsia"/>
              </w:rPr>
              <w:t>—</w:t>
            </w:r>
          </w:p>
        </w:tc>
        <w:tc>
          <w:tcPr>
            <w:tcW w:w="1016" w:type="dxa"/>
            <w:shd w:val="clear" w:color="auto" w:fill="auto"/>
            <w:vAlign w:val="center"/>
          </w:tcPr>
          <w:p>
            <w:pPr>
              <w:pStyle w:val="178"/>
            </w:pPr>
            <w:r>
              <w:rPr>
                <w:rFonts w:hint="eastAsia"/>
              </w:rPr>
              <w:t>不得添加</w:t>
            </w:r>
          </w:p>
        </w:tc>
        <w:tc>
          <w:tcPr>
            <w:tcW w:w="2374"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965" w:type="dxa"/>
            <w:vMerge w:val="continue"/>
            <w:shd w:val="clear" w:color="auto" w:fill="auto"/>
            <w:vAlign w:val="center"/>
          </w:tcPr>
          <w:p>
            <w:pPr>
              <w:pStyle w:val="178"/>
            </w:pPr>
          </w:p>
        </w:tc>
        <w:tc>
          <w:tcPr>
            <w:tcW w:w="2295" w:type="dxa"/>
            <w:gridSpan w:val="3"/>
            <w:shd w:val="clear" w:color="auto" w:fill="auto"/>
            <w:vAlign w:val="center"/>
          </w:tcPr>
          <w:p>
            <w:pPr>
              <w:pStyle w:val="178"/>
              <w:jc w:val="both"/>
            </w:pPr>
            <w:r>
              <w:rPr>
                <w:rFonts w:hint="eastAsia"/>
              </w:rPr>
              <w:t>涉及致癌性、生殖细胞致突变性、生殖毒性中类别1的生物杀伤剂</w:t>
            </w:r>
          </w:p>
        </w:tc>
        <w:tc>
          <w:tcPr>
            <w:tcW w:w="709" w:type="dxa"/>
            <w:shd w:val="clear" w:color="auto" w:fill="auto"/>
            <w:vAlign w:val="center"/>
          </w:tcPr>
          <w:p>
            <w:pPr>
              <w:pStyle w:val="178"/>
            </w:pPr>
            <w:r>
              <w:rPr>
                <w:rFonts w:hint="eastAsia"/>
              </w:rPr>
              <w:t>—</w:t>
            </w:r>
          </w:p>
        </w:tc>
        <w:tc>
          <w:tcPr>
            <w:tcW w:w="1016" w:type="dxa"/>
            <w:shd w:val="clear" w:color="auto" w:fill="auto"/>
            <w:vAlign w:val="center"/>
          </w:tcPr>
          <w:p>
            <w:pPr>
              <w:pStyle w:val="178"/>
            </w:pPr>
            <w:r>
              <w:rPr>
                <w:rFonts w:hint="eastAsia"/>
              </w:rPr>
              <w:t>不得添加</w:t>
            </w:r>
          </w:p>
        </w:tc>
        <w:tc>
          <w:tcPr>
            <w:tcW w:w="2374"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3260" w:type="dxa"/>
            <w:gridSpan w:val="4"/>
            <w:shd w:val="clear" w:color="auto" w:fill="auto"/>
            <w:vAlign w:val="center"/>
          </w:tcPr>
          <w:p>
            <w:pPr>
              <w:pStyle w:val="178"/>
              <w:jc w:val="left"/>
            </w:pPr>
            <w:r>
              <w:rPr>
                <w:rFonts w:hint="eastAsia"/>
              </w:rPr>
              <w:t>安全标签</w:t>
            </w:r>
          </w:p>
        </w:tc>
        <w:tc>
          <w:tcPr>
            <w:tcW w:w="709" w:type="dxa"/>
            <w:shd w:val="clear" w:color="auto" w:fill="auto"/>
            <w:vAlign w:val="center"/>
          </w:tcPr>
          <w:p>
            <w:pPr>
              <w:pStyle w:val="178"/>
            </w:pPr>
            <w:r>
              <w:rPr>
                <w:rFonts w:hint="eastAsia"/>
              </w:rPr>
              <w:t>—</w:t>
            </w:r>
          </w:p>
        </w:tc>
        <w:tc>
          <w:tcPr>
            <w:tcW w:w="1016" w:type="dxa"/>
            <w:shd w:val="clear" w:color="auto" w:fill="auto"/>
            <w:vAlign w:val="center"/>
          </w:tcPr>
          <w:p>
            <w:pPr>
              <w:pStyle w:val="178"/>
              <w:jc w:val="center"/>
            </w:pPr>
            <w:r>
              <w:rPr>
                <w:rFonts w:hint="eastAsia"/>
              </w:rPr>
              <w:t>符合GB</w:t>
            </w:r>
            <w:r>
              <w:t xml:space="preserve"> </w:t>
            </w:r>
            <w:r>
              <w:rPr>
                <w:rFonts w:hint="eastAsia"/>
              </w:rPr>
              <w:t>15258要求</w:t>
            </w:r>
          </w:p>
        </w:tc>
        <w:tc>
          <w:tcPr>
            <w:tcW w:w="2374" w:type="dxa"/>
            <w:shd w:val="clear" w:color="auto" w:fill="auto"/>
            <w:vAlign w:val="center"/>
          </w:tcPr>
          <w:p>
            <w:pPr>
              <w:pStyle w:val="178"/>
              <w:jc w:val="left"/>
            </w:pPr>
            <w:r>
              <w:rPr>
                <w:rFonts w:hint="eastAsia"/>
              </w:rPr>
              <w:t>提供证明材料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3260" w:type="dxa"/>
            <w:gridSpan w:val="4"/>
            <w:shd w:val="clear" w:color="auto" w:fill="auto"/>
            <w:vAlign w:val="center"/>
          </w:tcPr>
          <w:p>
            <w:pPr>
              <w:pStyle w:val="178"/>
              <w:jc w:val="left"/>
            </w:pPr>
            <w:r>
              <w:rPr>
                <w:rFonts w:hint="eastAsia"/>
              </w:rPr>
              <w:t>产品安全技术说明书(SDS)</w:t>
            </w:r>
          </w:p>
        </w:tc>
        <w:tc>
          <w:tcPr>
            <w:tcW w:w="709" w:type="dxa"/>
            <w:shd w:val="clear" w:color="auto" w:fill="auto"/>
            <w:vAlign w:val="center"/>
          </w:tcPr>
          <w:p>
            <w:pPr>
              <w:pStyle w:val="178"/>
            </w:pPr>
            <w:r>
              <w:rPr>
                <w:rFonts w:hint="eastAsia"/>
              </w:rPr>
              <w:t>—</w:t>
            </w:r>
          </w:p>
        </w:tc>
        <w:tc>
          <w:tcPr>
            <w:tcW w:w="1016" w:type="dxa"/>
            <w:shd w:val="clear" w:color="auto" w:fill="auto"/>
            <w:vAlign w:val="center"/>
          </w:tcPr>
          <w:p>
            <w:pPr>
              <w:pStyle w:val="178"/>
              <w:jc w:val="center"/>
            </w:pPr>
            <w:r>
              <w:rPr>
                <w:rFonts w:hint="eastAsia"/>
              </w:rPr>
              <w:t>符合GB/T 16483要求</w:t>
            </w:r>
          </w:p>
        </w:tc>
        <w:tc>
          <w:tcPr>
            <w:tcW w:w="2374" w:type="dxa"/>
            <w:shd w:val="clear" w:color="auto" w:fill="auto"/>
            <w:vAlign w:val="center"/>
          </w:tcPr>
          <w:p>
            <w:pPr>
              <w:pStyle w:val="178"/>
              <w:jc w:val="left"/>
            </w:pPr>
            <w:r>
              <w:rPr>
                <w:rFonts w:hint="eastAsia"/>
              </w:rPr>
              <w:t>提供证明材料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3260" w:type="dxa"/>
            <w:gridSpan w:val="4"/>
            <w:vMerge w:val="restart"/>
            <w:shd w:val="clear" w:color="auto" w:fill="auto"/>
            <w:vAlign w:val="center"/>
          </w:tcPr>
          <w:p>
            <w:pPr>
              <w:pStyle w:val="178"/>
              <w:jc w:val="left"/>
            </w:pPr>
            <w:r>
              <w:rPr>
                <w:rFonts w:hint="eastAsia"/>
              </w:rPr>
              <w:t>包装</w:t>
            </w:r>
          </w:p>
        </w:tc>
        <w:tc>
          <w:tcPr>
            <w:tcW w:w="709" w:type="dxa"/>
            <w:shd w:val="clear" w:color="auto" w:fill="auto"/>
            <w:vAlign w:val="center"/>
          </w:tcPr>
          <w:p>
            <w:pPr>
              <w:pStyle w:val="178"/>
            </w:pPr>
            <w:r>
              <w:rPr>
                <w:rFonts w:hint="eastAsia"/>
              </w:rPr>
              <w:t>—</w:t>
            </w:r>
          </w:p>
        </w:tc>
        <w:tc>
          <w:tcPr>
            <w:tcW w:w="1016" w:type="dxa"/>
            <w:shd w:val="clear" w:color="auto" w:fill="auto"/>
            <w:vAlign w:val="center"/>
          </w:tcPr>
          <w:p>
            <w:pPr>
              <w:pStyle w:val="178"/>
              <w:jc w:val="center"/>
            </w:pPr>
            <w:r>
              <w:rPr>
                <w:rFonts w:hint="eastAsia"/>
              </w:rPr>
              <w:t>包装材质不得含有聚氯乙烯或其他含有表2中有害物质的塑料</w:t>
            </w:r>
          </w:p>
        </w:tc>
        <w:tc>
          <w:tcPr>
            <w:tcW w:w="2374" w:type="dxa"/>
            <w:vMerge w:val="restart"/>
            <w:shd w:val="clear" w:color="auto" w:fill="auto"/>
            <w:vAlign w:val="center"/>
          </w:tcPr>
          <w:p>
            <w:pPr>
              <w:pStyle w:val="178"/>
              <w:jc w:val="left"/>
            </w:pPr>
            <w:r>
              <w:rPr>
                <w:rFonts w:hint="eastAsia"/>
              </w:rPr>
              <w:t>提供证明材料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3260" w:type="dxa"/>
            <w:gridSpan w:val="4"/>
            <w:vMerge w:val="continue"/>
            <w:shd w:val="clear" w:color="auto" w:fill="auto"/>
            <w:vAlign w:val="center"/>
          </w:tcPr>
          <w:p>
            <w:pPr>
              <w:pStyle w:val="178"/>
            </w:pPr>
          </w:p>
        </w:tc>
        <w:tc>
          <w:tcPr>
            <w:tcW w:w="709" w:type="dxa"/>
            <w:shd w:val="clear" w:color="auto" w:fill="auto"/>
            <w:vAlign w:val="center"/>
          </w:tcPr>
          <w:p>
            <w:pPr>
              <w:pStyle w:val="178"/>
            </w:pPr>
            <w:r>
              <w:rPr>
                <w:rFonts w:hint="eastAsia"/>
              </w:rPr>
              <w:t>—</w:t>
            </w:r>
          </w:p>
        </w:tc>
        <w:tc>
          <w:tcPr>
            <w:tcW w:w="1016" w:type="dxa"/>
            <w:shd w:val="clear" w:color="auto" w:fill="auto"/>
            <w:vAlign w:val="center"/>
          </w:tcPr>
          <w:p>
            <w:pPr>
              <w:pStyle w:val="178"/>
              <w:jc w:val="center"/>
              <w:rPr>
                <w:lang w:val="fr-FR"/>
              </w:rPr>
            </w:pPr>
            <w:r>
              <w:rPr>
                <w:rFonts w:hint="eastAsia"/>
              </w:rPr>
              <w:t>符合</w:t>
            </w:r>
            <w:r>
              <w:rPr>
                <w:rFonts w:hint="eastAsia"/>
                <w:lang w:val="fr-FR"/>
              </w:rPr>
              <w:t>GB/T 13491</w:t>
            </w:r>
            <w:r>
              <w:rPr>
                <w:rFonts w:hint="eastAsia"/>
              </w:rPr>
              <w:t>和</w:t>
            </w:r>
            <w:r>
              <w:rPr>
                <w:lang w:val="fr-FR"/>
              </w:rPr>
              <w:t>GB/T 16716.1</w:t>
            </w:r>
            <w:r>
              <w:rPr>
                <w:rFonts w:hint="eastAsia"/>
              </w:rPr>
              <w:t>要求</w:t>
            </w:r>
          </w:p>
        </w:tc>
        <w:tc>
          <w:tcPr>
            <w:tcW w:w="2374" w:type="dxa"/>
            <w:vMerge w:val="continue"/>
            <w:shd w:val="clear" w:color="auto" w:fill="auto"/>
            <w:vAlign w:val="center"/>
          </w:tcPr>
          <w:p>
            <w:pPr>
              <w:pStyle w:val="178"/>
              <w:rPr>
                <w:lang w:val="fr-FR"/>
              </w:rPr>
            </w:pPr>
          </w:p>
        </w:tc>
      </w:tr>
    </w:tbl>
    <w:p>
      <w:pPr>
        <w:pStyle w:val="56"/>
        <w:ind w:firstLine="0" w:firstLineChars="0"/>
        <w:rPr>
          <w:rFonts w:hint="eastAsia"/>
          <w:lang w:val="fr-FR"/>
        </w:rPr>
        <w:sectPr>
          <w:pgSz w:w="11906" w:h="16838"/>
          <w:pgMar w:top="1928" w:right="1134" w:bottom="1134" w:left="1134" w:header="1418" w:footer="1134" w:gutter="284"/>
          <w:cols w:space="425" w:num="1"/>
          <w:formProt w:val="0"/>
          <w:docGrid w:type="lines" w:linePitch="312" w:charSpace="0"/>
        </w:sectPr>
      </w:pPr>
    </w:p>
    <w:p>
      <w:pPr>
        <w:pStyle w:val="198"/>
        <w:rPr>
          <w:vanish w:val="0"/>
          <w:lang w:val="fr-FR"/>
        </w:rPr>
      </w:pPr>
    </w:p>
    <w:p>
      <w:pPr>
        <w:pStyle w:val="199"/>
        <w:rPr>
          <w:vanish w:val="0"/>
          <w:lang w:val="fr-FR"/>
        </w:rPr>
      </w:pPr>
    </w:p>
    <w:p>
      <w:pPr>
        <w:pStyle w:val="76"/>
        <w:spacing w:after="156"/>
      </w:pPr>
      <w:r>
        <w:rPr>
          <w:lang w:val="fr-FR"/>
        </w:rPr>
        <w:br w:type="textWrapping"/>
      </w:r>
      <w:bookmarkStart w:id="137" w:name="_Toc147591792"/>
      <w:bookmarkStart w:id="138" w:name="_Toc146114064"/>
      <w:bookmarkStart w:id="139" w:name="_Toc147591781"/>
      <w:bookmarkStart w:id="140" w:name="_Toc147592123"/>
      <w:bookmarkStart w:id="141" w:name="_Toc146113350"/>
      <w:r>
        <w:rPr>
          <w:rFonts w:hint="eastAsia"/>
        </w:rPr>
        <w:t>（资料性）</w:t>
      </w:r>
      <w:r>
        <w:br w:type="textWrapping"/>
      </w:r>
      <w:r>
        <w:rPr>
          <w:rFonts w:hint="eastAsia"/>
        </w:rPr>
        <w:t>绿色服务特性评价指标示例</w:t>
      </w:r>
      <w:bookmarkEnd w:id="137"/>
      <w:bookmarkEnd w:id="138"/>
      <w:bookmarkEnd w:id="139"/>
      <w:bookmarkEnd w:id="140"/>
      <w:bookmarkEnd w:id="141"/>
    </w:p>
    <w:p>
      <w:pPr>
        <w:pStyle w:val="56"/>
        <w:ind w:firstLine="420"/>
      </w:pPr>
      <w:r>
        <w:rPr>
          <w:rFonts w:hint="eastAsia"/>
        </w:rPr>
        <w:t>以餐饮服务为例，指标设置如下：</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408"/>
        <w:gridCol w:w="2268"/>
        <w:gridCol w:w="565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408" w:type="dxa"/>
            <w:tcBorders>
              <w:top w:val="single" w:color="auto" w:sz="8" w:space="0"/>
              <w:bottom w:val="single" w:color="auto" w:sz="8" w:space="0"/>
            </w:tcBorders>
            <w:shd w:val="clear" w:color="auto" w:fill="auto"/>
            <w:vAlign w:val="center"/>
          </w:tcPr>
          <w:p>
            <w:pPr>
              <w:pStyle w:val="178"/>
            </w:pPr>
            <w:r>
              <w:rPr>
                <w:rFonts w:hint="eastAsia"/>
              </w:rPr>
              <w:t>一级指标</w:t>
            </w:r>
          </w:p>
        </w:tc>
        <w:tc>
          <w:tcPr>
            <w:tcW w:w="2268" w:type="dxa"/>
            <w:tcBorders>
              <w:top w:val="single" w:color="auto" w:sz="8" w:space="0"/>
              <w:bottom w:val="single" w:color="auto" w:sz="8" w:space="0"/>
            </w:tcBorders>
            <w:shd w:val="clear" w:color="auto" w:fill="auto"/>
            <w:vAlign w:val="center"/>
          </w:tcPr>
          <w:p>
            <w:pPr>
              <w:pStyle w:val="178"/>
            </w:pPr>
            <w:r>
              <w:rPr>
                <w:rFonts w:hint="eastAsia"/>
              </w:rPr>
              <w:t>设定方向</w:t>
            </w:r>
          </w:p>
        </w:tc>
        <w:tc>
          <w:tcPr>
            <w:tcW w:w="5658" w:type="dxa"/>
            <w:tcBorders>
              <w:top w:val="single" w:color="auto" w:sz="8" w:space="0"/>
              <w:bottom w:val="single" w:color="auto" w:sz="8" w:space="0"/>
            </w:tcBorders>
            <w:shd w:val="clear" w:color="auto" w:fill="auto"/>
            <w:vAlign w:val="center"/>
          </w:tcPr>
          <w:p>
            <w:pPr>
              <w:pStyle w:val="178"/>
            </w:pPr>
            <w:r>
              <w:rPr>
                <w:rFonts w:hint="eastAsia"/>
              </w:rPr>
              <w:t>二级指标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005" w:hRule="atLeast"/>
          <w:tblHeader/>
          <w:jc w:val="center"/>
        </w:trPr>
        <w:tc>
          <w:tcPr>
            <w:tcW w:w="1408" w:type="dxa"/>
            <w:tcBorders>
              <w:top w:val="single" w:color="auto" w:sz="8" w:space="0"/>
            </w:tcBorders>
            <w:shd w:val="clear" w:color="auto" w:fill="auto"/>
            <w:vAlign w:val="center"/>
          </w:tcPr>
          <w:p>
            <w:pPr>
              <w:pStyle w:val="178"/>
            </w:pPr>
            <w:r>
              <w:rPr>
                <w:rFonts w:hint="eastAsia"/>
              </w:rPr>
              <w:t>资源属性</w:t>
            </w:r>
          </w:p>
        </w:tc>
        <w:tc>
          <w:tcPr>
            <w:tcW w:w="2268" w:type="dxa"/>
            <w:tcBorders>
              <w:top w:val="single" w:color="auto" w:sz="8" w:space="0"/>
            </w:tcBorders>
            <w:shd w:val="clear" w:color="auto" w:fill="auto"/>
            <w:vAlign w:val="center"/>
          </w:tcPr>
          <w:p>
            <w:pPr>
              <w:pStyle w:val="178"/>
            </w:pPr>
            <w:r>
              <w:rPr>
                <w:rFonts w:hint="eastAsia"/>
              </w:rPr>
              <w:t>可获得性</w:t>
            </w:r>
          </w:p>
          <w:p>
            <w:pPr>
              <w:pStyle w:val="178"/>
            </w:pPr>
            <w:r>
              <w:rPr>
                <w:rFonts w:hint="eastAsia"/>
              </w:rPr>
              <w:t>可再生性</w:t>
            </w:r>
          </w:p>
          <w:p>
            <w:pPr>
              <w:pStyle w:val="178"/>
            </w:pPr>
            <w:r>
              <w:rPr>
                <w:rFonts w:hint="eastAsia"/>
              </w:rPr>
              <w:t>可重复性</w:t>
            </w:r>
          </w:p>
          <w:p>
            <w:pPr>
              <w:pStyle w:val="178"/>
              <w:rPr>
                <w:rFonts w:hint="eastAsia"/>
              </w:rPr>
            </w:pPr>
            <w:r>
              <w:rPr>
                <w:rFonts w:hint="eastAsia"/>
              </w:rPr>
              <w:t>可减量性</w:t>
            </w:r>
          </w:p>
        </w:tc>
        <w:tc>
          <w:tcPr>
            <w:tcW w:w="5658" w:type="dxa"/>
            <w:tcBorders>
              <w:top w:val="single" w:color="auto" w:sz="8" w:space="0"/>
            </w:tcBorders>
            <w:shd w:val="clear" w:color="auto" w:fill="auto"/>
            <w:vAlign w:val="center"/>
          </w:tcPr>
          <w:p>
            <w:pPr>
              <w:pStyle w:val="178"/>
              <w:jc w:val="both"/>
              <w:rPr>
                <w:rFonts w:hint="eastAsia"/>
              </w:rPr>
            </w:pPr>
            <w:r>
              <w:rPr>
                <w:rFonts w:hint="eastAsia"/>
              </w:rPr>
              <w:t>1、不应以野生保护动、植物为食品原料，宜优先采用有机食材；</w:t>
            </w:r>
          </w:p>
          <w:p>
            <w:pPr>
              <w:pStyle w:val="178"/>
              <w:jc w:val="both"/>
              <w:rPr>
                <w:rFonts w:hint="eastAsia"/>
              </w:rPr>
            </w:pPr>
            <w:r>
              <w:rPr>
                <w:rFonts w:hint="eastAsia"/>
              </w:rPr>
              <w:t>2、不使用不可降解的一次性塑料餐饮具；</w:t>
            </w:r>
          </w:p>
          <w:p>
            <w:pPr>
              <w:pStyle w:val="178"/>
              <w:jc w:val="both"/>
              <w:rPr>
                <w:rFonts w:hint="eastAsia"/>
              </w:rPr>
            </w:pPr>
            <w:r>
              <w:rPr>
                <w:rFonts w:hint="eastAsia"/>
              </w:rPr>
              <w:t>3、应明确一次性塑料制品使用限量；</w:t>
            </w:r>
          </w:p>
          <w:p>
            <w:pPr>
              <w:pStyle w:val="178"/>
              <w:jc w:val="both"/>
              <w:rPr>
                <w:rFonts w:hint="eastAsia"/>
              </w:rPr>
            </w:pPr>
            <w:r>
              <w:rPr>
                <w:rFonts w:hint="eastAsia"/>
              </w:rPr>
              <w:t>4、应设定食材出成率；</w:t>
            </w:r>
          </w:p>
          <w:p>
            <w:pPr>
              <w:pStyle w:val="178"/>
              <w:jc w:val="both"/>
            </w:pPr>
            <w:r>
              <w:rPr>
                <w:rFonts w:hint="eastAsia"/>
              </w:rPr>
              <w:t>5、宜设定食材最低库存标准。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09" w:hRule="atLeast"/>
          <w:tblHeader/>
          <w:jc w:val="center"/>
        </w:trPr>
        <w:tc>
          <w:tcPr>
            <w:tcW w:w="1408" w:type="dxa"/>
            <w:tcBorders>
              <w:top w:val="single" w:color="auto" w:sz="8" w:space="0"/>
            </w:tcBorders>
            <w:shd w:val="clear" w:color="auto" w:fill="auto"/>
            <w:vAlign w:val="center"/>
          </w:tcPr>
          <w:p>
            <w:pPr>
              <w:pStyle w:val="178"/>
            </w:pPr>
            <w:r>
              <w:rPr>
                <w:rFonts w:hint="eastAsia"/>
              </w:rPr>
              <w:t>能源属性</w:t>
            </w:r>
          </w:p>
        </w:tc>
        <w:tc>
          <w:tcPr>
            <w:tcW w:w="2268" w:type="dxa"/>
            <w:tcBorders>
              <w:top w:val="single" w:color="auto" w:sz="8" w:space="0"/>
            </w:tcBorders>
            <w:shd w:val="clear" w:color="auto" w:fill="auto"/>
            <w:vAlign w:val="center"/>
          </w:tcPr>
          <w:p>
            <w:pPr>
              <w:pStyle w:val="178"/>
            </w:pPr>
            <w:r>
              <w:rPr>
                <w:rFonts w:hint="eastAsia"/>
              </w:rPr>
              <w:t>能源使用</w:t>
            </w:r>
          </w:p>
          <w:p>
            <w:pPr>
              <w:pStyle w:val="178"/>
              <w:rPr>
                <w:rFonts w:hint="eastAsia"/>
              </w:rPr>
            </w:pPr>
            <w:r>
              <w:rPr>
                <w:rFonts w:hint="eastAsia"/>
              </w:rPr>
              <w:t>能源效率</w:t>
            </w:r>
          </w:p>
        </w:tc>
        <w:tc>
          <w:tcPr>
            <w:tcW w:w="5658" w:type="dxa"/>
            <w:tcBorders>
              <w:top w:val="single" w:color="auto" w:sz="8" w:space="0"/>
            </w:tcBorders>
            <w:shd w:val="clear" w:color="auto" w:fill="auto"/>
            <w:vAlign w:val="center"/>
          </w:tcPr>
          <w:p>
            <w:pPr>
              <w:pStyle w:val="178"/>
              <w:jc w:val="both"/>
              <w:rPr>
                <w:rFonts w:hint="eastAsia"/>
              </w:rPr>
            </w:pPr>
            <w:r>
              <w:rPr>
                <w:rFonts w:hint="eastAsia"/>
              </w:rPr>
              <w:t>1、应设定能源消耗占营业收入比率；</w:t>
            </w:r>
          </w:p>
          <w:p>
            <w:pPr>
              <w:pStyle w:val="178"/>
              <w:jc w:val="both"/>
              <w:rPr>
                <w:rFonts w:hint="eastAsia"/>
              </w:rPr>
            </w:pPr>
            <w:r>
              <w:rPr>
                <w:rFonts w:hint="eastAsia"/>
              </w:rPr>
              <w:t>2、公共区域温度的控制应符合或高于GB/T 21084；</w:t>
            </w:r>
          </w:p>
          <w:p>
            <w:pPr>
              <w:pStyle w:val="178"/>
              <w:jc w:val="both"/>
              <w:rPr>
                <w:rFonts w:hint="eastAsia"/>
              </w:rPr>
            </w:pPr>
            <w:r>
              <w:rPr>
                <w:rFonts w:hint="eastAsia"/>
              </w:rPr>
              <w:t>3、宜采用节能标志产品；</w:t>
            </w:r>
          </w:p>
          <w:p>
            <w:pPr>
              <w:pStyle w:val="178"/>
              <w:jc w:val="both"/>
            </w:pPr>
            <w:r>
              <w:rPr>
                <w:rFonts w:hint="eastAsia"/>
              </w:rPr>
              <w:t>4、宜使用先进的节能设备技术。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4" w:hRule="atLeast"/>
          <w:tblHeader/>
          <w:jc w:val="center"/>
        </w:trPr>
        <w:tc>
          <w:tcPr>
            <w:tcW w:w="1408" w:type="dxa"/>
            <w:tcBorders>
              <w:top w:val="single" w:color="auto" w:sz="8" w:space="0"/>
            </w:tcBorders>
            <w:shd w:val="clear" w:color="auto" w:fill="auto"/>
            <w:vAlign w:val="center"/>
          </w:tcPr>
          <w:p>
            <w:pPr>
              <w:pStyle w:val="178"/>
            </w:pPr>
            <w:r>
              <w:rPr>
                <w:rFonts w:hint="eastAsia"/>
              </w:rPr>
              <w:t>环境属性</w:t>
            </w:r>
          </w:p>
        </w:tc>
        <w:tc>
          <w:tcPr>
            <w:tcW w:w="2268" w:type="dxa"/>
            <w:tcBorders>
              <w:top w:val="single" w:color="auto" w:sz="8" w:space="0"/>
            </w:tcBorders>
            <w:shd w:val="clear" w:color="auto" w:fill="auto"/>
            <w:vAlign w:val="center"/>
          </w:tcPr>
          <w:p>
            <w:pPr>
              <w:pStyle w:val="178"/>
            </w:pPr>
            <w:r>
              <w:rPr>
                <w:rFonts w:hint="eastAsia"/>
              </w:rPr>
              <w:t>污染物排放</w:t>
            </w:r>
          </w:p>
          <w:p>
            <w:pPr>
              <w:pStyle w:val="178"/>
            </w:pPr>
            <w:r>
              <w:rPr>
                <w:rFonts w:hint="eastAsia"/>
              </w:rPr>
              <w:t>温室气体排放</w:t>
            </w:r>
          </w:p>
          <w:p>
            <w:pPr>
              <w:pStyle w:val="178"/>
              <w:rPr>
                <w:rFonts w:hint="eastAsia"/>
              </w:rPr>
            </w:pPr>
            <w:r>
              <w:rPr>
                <w:rFonts w:hint="eastAsia"/>
              </w:rPr>
              <w:t>物理特征</w:t>
            </w:r>
          </w:p>
        </w:tc>
        <w:tc>
          <w:tcPr>
            <w:tcW w:w="5658" w:type="dxa"/>
            <w:tcBorders>
              <w:top w:val="single" w:color="auto" w:sz="8" w:space="0"/>
            </w:tcBorders>
            <w:shd w:val="clear" w:color="auto" w:fill="auto"/>
            <w:vAlign w:val="center"/>
          </w:tcPr>
          <w:p>
            <w:pPr>
              <w:pStyle w:val="178"/>
              <w:jc w:val="both"/>
              <w:rPr>
                <w:rFonts w:hint="eastAsia"/>
              </w:rPr>
            </w:pPr>
            <w:r>
              <w:rPr>
                <w:rFonts w:hint="eastAsia"/>
              </w:rPr>
              <w:t>1、杜绝环境污染超标事故；</w:t>
            </w:r>
          </w:p>
          <w:p>
            <w:pPr>
              <w:pStyle w:val="178"/>
              <w:jc w:val="both"/>
              <w:rPr>
                <w:rFonts w:hint="eastAsia"/>
              </w:rPr>
            </w:pPr>
            <w:r>
              <w:rPr>
                <w:rFonts w:hint="eastAsia"/>
              </w:rPr>
              <w:t>2、应设定固体废弃物排放减少率；</w:t>
            </w:r>
          </w:p>
          <w:p>
            <w:pPr>
              <w:pStyle w:val="178"/>
              <w:jc w:val="both"/>
              <w:rPr>
                <w:rFonts w:hint="eastAsia"/>
              </w:rPr>
            </w:pPr>
            <w:r>
              <w:rPr>
                <w:rFonts w:hint="eastAsia"/>
              </w:rPr>
              <w:t>3、噪声应符合或高于GB 22337；</w:t>
            </w:r>
          </w:p>
          <w:p>
            <w:pPr>
              <w:pStyle w:val="178"/>
              <w:jc w:val="both"/>
              <w:rPr>
                <w:rFonts w:hint="eastAsia"/>
              </w:rPr>
            </w:pPr>
            <w:r>
              <w:rPr>
                <w:rFonts w:hint="eastAsia"/>
              </w:rPr>
              <w:t>4、油烟排放应符合或高于GB 18483和相关地方标准；</w:t>
            </w:r>
          </w:p>
          <w:p>
            <w:pPr>
              <w:pStyle w:val="178"/>
              <w:jc w:val="both"/>
              <w:rPr>
                <w:rFonts w:hint="eastAsia"/>
              </w:rPr>
            </w:pPr>
            <w:r>
              <w:rPr>
                <w:rFonts w:hint="eastAsia"/>
              </w:rPr>
              <w:t>5、加工场所应配置油水分离设施；</w:t>
            </w:r>
          </w:p>
          <w:p>
            <w:pPr>
              <w:pStyle w:val="178"/>
              <w:jc w:val="both"/>
              <w:rPr>
                <w:rFonts w:hint="eastAsia"/>
              </w:rPr>
            </w:pPr>
            <w:r>
              <w:rPr>
                <w:rFonts w:hint="eastAsia"/>
              </w:rPr>
              <w:t>6、餐厨垃圾应低温密闭保存，无害化处理；</w:t>
            </w:r>
          </w:p>
          <w:p>
            <w:pPr>
              <w:pStyle w:val="178"/>
              <w:jc w:val="both"/>
            </w:pPr>
            <w:r>
              <w:rPr>
                <w:rFonts w:hint="eastAsia"/>
              </w:rPr>
              <w:t>7、宜关注建筑空间</w:t>
            </w:r>
            <w:r>
              <w:rPr>
                <w:rFonts w:hint="eastAsia"/>
                <w:lang w:val="en-US" w:eastAsia="zh-CN"/>
              </w:rPr>
              <w:t>利用</w:t>
            </w:r>
            <w:r>
              <w:rPr>
                <w:rFonts w:hint="eastAsia"/>
              </w:rPr>
              <w:t>率，自然采光的设计与运用等。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590" w:hRule="atLeast"/>
          <w:jc w:val="center"/>
        </w:trPr>
        <w:tc>
          <w:tcPr>
            <w:tcW w:w="1408" w:type="dxa"/>
            <w:tcBorders>
              <w:top w:val="single" w:color="auto" w:sz="8" w:space="0"/>
            </w:tcBorders>
            <w:shd w:val="clear" w:color="auto" w:fill="auto"/>
            <w:vAlign w:val="center"/>
          </w:tcPr>
          <w:p>
            <w:pPr>
              <w:pStyle w:val="178"/>
            </w:pPr>
            <w:r>
              <w:rPr>
                <w:rFonts w:hint="eastAsia"/>
              </w:rPr>
              <w:t>品质属性</w:t>
            </w:r>
          </w:p>
        </w:tc>
        <w:tc>
          <w:tcPr>
            <w:tcW w:w="2268" w:type="dxa"/>
            <w:tcBorders>
              <w:top w:val="single" w:color="auto" w:sz="8" w:space="0"/>
            </w:tcBorders>
            <w:shd w:val="clear" w:color="auto" w:fill="auto"/>
            <w:vAlign w:val="center"/>
          </w:tcPr>
          <w:p>
            <w:pPr>
              <w:pStyle w:val="178"/>
            </w:pPr>
            <w:r>
              <w:rPr>
                <w:rFonts w:hint="eastAsia"/>
              </w:rPr>
              <w:t>功能性</w:t>
            </w:r>
          </w:p>
          <w:p>
            <w:pPr>
              <w:pStyle w:val="178"/>
            </w:pPr>
            <w:r>
              <w:rPr>
                <w:rFonts w:hint="eastAsia"/>
              </w:rPr>
              <w:t>经济性</w:t>
            </w:r>
          </w:p>
          <w:p>
            <w:pPr>
              <w:pStyle w:val="178"/>
            </w:pPr>
            <w:r>
              <w:rPr>
                <w:rFonts w:hint="eastAsia"/>
              </w:rPr>
              <w:t>安全性</w:t>
            </w:r>
          </w:p>
          <w:p>
            <w:pPr>
              <w:pStyle w:val="178"/>
            </w:pPr>
            <w:r>
              <w:rPr>
                <w:rFonts w:hint="eastAsia"/>
              </w:rPr>
              <w:t>舒适性</w:t>
            </w:r>
          </w:p>
          <w:p>
            <w:pPr>
              <w:pStyle w:val="178"/>
            </w:pPr>
            <w:r>
              <w:rPr>
                <w:rFonts w:hint="eastAsia"/>
              </w:rPr>
              <w:t>时间性</w:t>
            </w:r>
          </w:p>
          <w:p>
            <w:pPr>
              <w:pStyle w:val="178"/>
            </w:pPr>
            <w:r>
              <w:rPr>
                <w:rFonts w:hint="eastAsia"/>
              </w:rPr>
              <w:t>文明性</w:t>
            </w:r>
          </w:p>
        </w:tc>
        <w:tc>
          <w:tcPr>
            <w:tcW w:w="5658" w:type="dxa"/>
            <w:tcBorders>
              <w:top w:val="single" w:color="auto" w:sz="8" w:space="0"/>
            </w:tcBorders>
            <w:shd w:val="clear" w:color="auto" w:fill="auto"/>
            <w:vAlign w:val="center"/>
          </w:tcPr>
          <w:p>
            <w:pPr>
              <w:pStyle w:val="178"/>
              <w:jc w:val="both"/>
              <w:rPr>
                <w:rFonts w:hint="eastAsia"/>
              </w:rPr>
            </w:pPr>
            <w:r>
              <w:rPr>
                <w:rFonts w:hint="eastAsia"/>
              </w:rPr>
              <w:t>1、应设定顾客满意度、投诉处理率；</w:t>
            </w:r>
          </w:p>
          <w:p>
            <w:pPr>
              <w:pStyle w:val="178"/>
              <w:jc w:val="both"/>
              <w:rPr>
                <w:rFonts w:hint="eastAsia"/>
              </w:rPr>
            </w:pPr>
            <w:r>
              <w:rPr>
                <w:rFonts w:hint="eastAsia"/>
              </w:rPr>
              <w:t>2、应设定菜品质量达标率（如感官性状异常率，无公害、绿色、有机食品的符合性）；</w:t>
            </w:r>
          </w:p>
          <w:p>
            <w:pPr>
              <w:pStyle w:val="178"/>
              <w:jc w:val="both"/>
              <w:rPr>
                <w:rFonts w:hint="eastAsia"/>
              </w:rPr>
            </w:pPr>
            <w:r>
              <w:rPr>
                <w:rFonts w:hint="eastAsia"/>
              </w:rPr>
              <w:t>3、应设定服务成功率（如现场预约的流失率、出菜率、退菜率、索赔率等）；</w:t>
            </w:r>
          </w:p>
          <w:p>
            <w:pPr>
              <w:pStyle w:val="178"/>
              <w:jc w:val="both"/>
              <w:rPr>
                <w:rFonts w:hint="eastAsia"/>
              </w:rPr>
            </w:pPr>
            <w:r>
              <w:rPr>
                <w:rFonts w:hint="eastAsia"/>
              </w:rPr>
              <w:t>4、宜餐饮服务信息智能化（如服务信息采集、食品原材料溯源、企业员工健康信息采集、服务消费电子化、食品卫生及安全生产监控）；</w:t>
            </w:r>
          </w:p>
          <w:p>
            <w:pPr>
              <w:pStyle w:val="178"/>
              <w:jc w:val="both"/>
              <w:rPr>
                <w:rFonts w:hint="eastAsia"/>
              </w:rPr>
            </w:pPr>
            <w:r>
              <w:rPr>
                <w:rFonts w:hint="eastAsia"/>
              </w:rPr>
              <w:t>5、食品留样和储存应符合或高于GB 31654要求；</w:t>
            </w:r>
          </w:p>
          <w:p>
            <w:pPr>
              <w:pStyle w:val="178"/>
              <w:jc w:val="both"/>
              <w:rPr>
                <w:rFonts w:hint="eastAsia"/>
              </w:rPr>
            </w:pPr>
            <w:r>
              <w:rPr>
                <w:rFonts w:hint="eastAsia"/>
              </w:rPr>
              <w:t>6、应杜绝安全事件；</w:t>
            </w:r>
          </w:p>
          <w:p>
            <w:pPr>
              <w:pStyle w:val="178"/>
              <w:jc w:val="both"/>
              <w:rPr>
                <w:rFonts w:hint="eastAsia"/>
              </w:rPr>
            </w:pPr>
            <w:r>
              <w:rPr>
                <w:rFonts w:hint="eastAsia"/>
              </w:rPr>
              <w:t>7、餐厅温度应控制在合理合适范围；</w:t>
            </w:r>
          </w:p>
          <w:p>
            <w:pPr>
              <w:pStyle w:val="178"/>
              <w:jc w:val="both"/>
              <w:rPr>
                <w:rFonts w:hint="eastAsia"/>
              </w:rPr>
            </w:pPr>
            <w:r>
              <w:rPr>
                <w:rFonts w:hint="eastAsia"/>
              </w:rPr>
              <w:t>8、应确定服务的响应时间（订单确认、入座、上菜、结账、诉求等）；</w:t>
            </w:r>
          </w:p>
          <w:p>
            <w:pPr>
              <w:pStyle w:val="178"/>
              <w:jc w:val="both"/>
              <w:rPr>
                <w:rFonts w:hint="eastAsia"/>
              </w:rPr>
            </w:pPr>
            <w:r>
              <w:rPr>
                <w:rFonts w:hint="eastAsia"/>
              </w:rPr>
              <w:t>9、宜设定植物绿化环境覆盖率；</w:t>
            </w:r>
          </w:p>
          <w:p>
            <w:pPr>
              <w:pStyle w:val="178"/>
              <w:jc w:val="both"/>
            </w:pPr>
            <w:r>
              <w:rPr>
                <w:rFonts w:hint="eastAsia"/>
              </w:rPr>
              <w:t>10、应配备足够的现场资源及人员。</w:t>
            </w:r>
          </w:p>
        </w:tc>
      </w:tr>
      <w:bookmarkEnd w:id="131"/>
    </w:tbl>
    <w:p>
      <w:pPr>
        <w:rPr>
          <w:lang w:val="fr-FR"/>
        </w:rPr>
      </w:pPr>
      <w:bookmarkStart w:id="142" w:name="BookMark6"/>
      <w:r>
        <w:rPr>
          <w:lang w:val="fr-FR"/>
        </w:rPr>
        <w:br w:type="page"/>
      </w:r>
    </w:p>
    <w:p>
      <w:pPr>
        <w:rPr>
          <w:lang w:val="fr-FR"/>
        </w:rPr>
      </w:pPr>
    </w:p>
    <w:p>
      <w:pPr>
        <w:pStyle w:val="56"/>
        <w:ind w:firstLine="420"/>
      </w:pPr>
      <w:r>
        <w:rPr>
          <w:rFonts w:hint="eastAsia"/>
        </w:rPr>
        <w:t>以</w:t>
      </w:r>
      <w:r>
        <w:rPr>
          <w:rFonts w:hint="eastAsia"/>
          <w:lang w:val="en-US" w:eastAsia="zh-CN"/>
        </w:rPr>
        <w:t>公共机构数据中心</w:t>
      </w:r>
      <w:r>
        <w:rPr>
          <w:rFonts w:hint="eastAsia"/>
        </w:rPr>
        <w:t>为例，指标设置如下：</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408"/>
        <w:gridCol w:w="2268"/>
        <w:gridCol w:w="565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408" w:type="dxa"/>
            <w:tcBorders>
              <w:top w:val="single" w:color="auto" w:sz="8" w:space="0"/>
              <w:bottom w:val="single" w:color="auto" w:sz="8" w:space="0"/>
            </w:tcBorders>
            <w:shd w:val="clear" w:color="auto" w:fill="auto"/>
            <w:vAlign w:val="center"/>
          </w:tcPr>
          <w:p>
            <w:pPr>
              <w:pStyle w:val="178"/>
            </w:pPr>
            <w:r>
              <w:rPr>
                <w:rFonts w:hint="eastAsia"/>
              </w:rPr>
              <w:t>一级指标</w:t>
            </w:r>
          </w:p>
        </w:tc>
        <w:tc>
          <w:tcPr>
            <w:tcW w:w="2268" w:type="dxa"/>
            <w:tcBorders>
              <w:top w:val="single" w:color="auto" w:sz="8" w:space="0"/>
              <w:bottom w:val="single" w:color="auto" w:sz="8" w:space="0"/>
            </w:tcBorders>
            <w:shd w:val="clear" w:color="auto" w:fill="auto"/>
            <w:vAlign w:val="center"/>
          </w:tcPr>
          <w:p>
            <w:pPr>
              <w:pStyle w:val="178"/>
            </w:pPr>
            <w:r>
              <w:rPr>
                <w:rFonts w:hint="eastAsia"/>
              </w:rPr>
              <w:t>设定方向</w:t>
            </w:r>
          </w:p>
        </w:tc>
        <w:tc>
          <w:tcPr>
            <w:tcW w:w="5658" w:type="dxa"/>
            <w:tcBorders>
              <w:top w:val="single" w:color="auto" w:sz="8" w:space="0"/>
              <w:bottom w:val="single" w:color="auto" w:sz="8" w:space="0"/>
            </w:tcBorders>
            <w:shd w:val="clear" w:color="auto" w:fill="auto"/>
            <w:vAlign w:val="center"/>
          </w:tcPr>
          <w:p>
            <w:pPr>
              <w:pStyle w:val="178"/>
            </w:pPr>
            <w:r>
              <w:rPr>
                <w:rFonts w:hint="eastAsia"/>
              </w:rPr>
              <w:t>二级指标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005" w:hRule="atLeast"/>
          <w:tblHeader/>
          <w:jc w:val="center"/>
        </w:trPr>
        <w:tc>
          <w:tcPr>
            <w:tcW w:w="1408" w:type="dxa"/>
            <w:tcBorders>
              <w:top w:val="single" w:color="auto" w:sz="8" w:space="0"/>
            </w:tcBorders>
            <w:shd w:val="clear" w:color="auto" w:fill="auto"/>
            <w:vAlign w:val="center"/>
          </w:tcPr>
          <w:p>
            <w:pPr>
              <w:pStyle w:val="178"/>
            </w:pPr>
            <w:r>
              <w:rPr>
                <w:rFonts w:hint="eastAsia"/>
              </w:rPr>
              <w:t>资源属性</w:t>
            </w:r>
          </w:p>
        </w:tc>
        <w:tc>
          <w:tcPr>
            <w:tcW w:w="2268" w:type="dxa"/>
            <w:tcBorders>
              <w:top w:val="single" w:color="auto" w:sz="8" w:space="0"/>
            </w:tcBorders>
            <w:shd w:val="clear" w:color="auto" w:fill="auto"/>
            <w:vAlign w:val="center"/>
          </w:tcPr>
          <w:p>
            <w:pPr>
              <w:pStyle w:val="178"/>
            </w:pPr>
            <w:r>
              <w:rPr>
                <w:rFonts w:hint="eastAsia"/>
              </w:rPr>
              <w:t>可获得性</w:t>
            </w:r>
          </w:p>
          <w:p>
            <w:pPr>
              <w:pStyle w:val="178"/>
            </w:pPr>
            <w:r>
              <w:rPr>
                <w:rFonts w:hint="eastAsia"/>
              </w:rPr>
              <w:t>可再生性</w:t>
            </w:r>
          </w:p>
          <w:p>
            <w:pPr>
              <w:pStyle w:val="178"/>
            </w:pPr>
            <w:r>
              <w:rPr>
                <w:rFonts w:hint="eastAsia"/>
              </w:rPr>
              <w:t>可重复性</w:t>
            </w:r>
          </w:p>
          <w:p>
            <w:pPr>
              <w:pStyle w:val="178"/>
              <w:rPr>
                <w:rFonts w:hint="eastAsia"/>
              </w:rPr>
            </w:pPr>
            <w:r>
              <w:rPr>
                <w:rFonts w:hint="eastAsia"/>
              </w:rPr>
              <w:t>可减量性</w:t>
            </w:r>
          </w:p>
        </w:tc>
        <w:tc>
          <w:tcPr>
            <w:tcW w:w="5658" w:type="dxa"/>
            <w:tcBorders>
              <w:top w:val="single" w:color="auto" w:sz="8" w:space="0"/>
            </w:tcBorders>
            <w:shd w:val="clear" w:color="auto" w:fill="auto"/>
            <w:vAlign w:val="center"/>
          </w:tcPr>
          <w:p>
            <w:pPr>
              <w:pStyle w:val="178"/>
              <w:jc w:val="both"/>
              <w:rPr>
                <w:rFonts w:hint="eastAsia" w:ascii="宋体" w:eastAsia="宋体"/>
                <w:lang w:val="en-US" w:eastAsia="zh-CN"/>
              </w:rPr>
            </w:pPr>
            <w:r>
              <w:rPr>
                <w:rFonts w:hint="eastAsia" w:ascii="宋体" w:eastAsia="宋体"/>
                <w:lang w:val="en-US" w:eastAsia="zh-CN"/>
              </w:rPr>
              <w:t>1、机房的平面布置、主机房密闭性和空间利用应进行科学的布局与规划</w:t>
            </w:r>
            <w:r>
              <w:rPr>
                <w:rFonts w:hint="eastAsia"/>
                <w:lang w:val="en-US" w:eastAsia="zh-CN"/>
              </w:rPr>
              <w:t>；</w:t>
            </w:r>
          </w:p>
          <w:p>
            <w:pPr>
              <w:pStyle w:val="178"/>
              <w:jc w:val="both"/>
              <w:rPr>
                <w:rFonts w:hint="default" w:ascii="宋体" w:eastAsia="宋体"/>
                <w:lang w:val="en-US" w:eastAsia="zh-CN"/>
              </w:rPr>
            </w:pPr>
            <w:r>
              <w:rPr>
                <w:rFonts w:hint="eastAsia" w:ascii="宋体" w:eastAsia="宋体"/>
                <w:lang w:val="en-US" w:eastAsia="zh-CN"/>
              </w:rPr>
              <w:t>2、电子设备信息布置应采用冷热通道隔离技术</w:t>
            </w:r>
            <w:r>
              <w:rPr>
                <w:rFonts w:hint="eastAsia"/>
                <w:lang w:val="en-US" w:eastAsia="zh-CN"/>
              </w:rPr>
              <w:t>；</w:t>
            </w:r>
          </w:p>
          <w:p>
            <w:pPr>
              <w:pStyle w:val="178"/>
              <w:jc w:val="both"/>
              <w:rPr>
                <w:rFonts w:hint="eastAsia" w:ascii="宋体" w:eastAsia="宋体"/>
                <w:lang w:val="en-US" w:eastAsia="zh-CN"/>
              </w:rPr>
            </w:pPr>
            <w:r>
              <w:rPr>
                <w:rFonts w:hint="eastAsia" w:ascii="宋体" w:eastAsia="宋体"/>
                <w:lang w:val="en-US" w:eastAsia="zh-CN"/>
              </w:rPr>
              <w:t>3、主机房、辅助区、支持区和行政管理区，空调系统末端分区服务、分区控制</w:t>
            </w:r>
            <w:r>
              <w:rPr>
                <w:rFonts w:hint="eastAsia"/>
                <w:lang w:val="en-US" w:eastAsia="zh-CN"/>
              </w:rPr>
              <w:t>；</w:t>
            </w:r>
          </w:p>
          <w:p>
            <w:pPr>
              <w:pStyle w:val="178"/>
              <w:jc w:val="both"/>
            </w:pPr>
            <w:r>
              <w:rPr>
                <w:rFonts w:hint="eastAsia" w:ascii="宋体" w:eastAsia="宋体"/>
                <w:lang w:val="en-US" w:eastAsia="zh-CN"/>
              </w:rPr>
              <w:t>4、数据中心用水设备应采用经过节水认证的产品或符合GB/T18870要求的节水器具，并合理设置给水压力</w:t>
            </w:r>
            <w:r>
              <w:rPr>
                <w:rFonts w:hint="eastAsia"/>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09" w:hRule="atLeast"/>
          <w:tblHeader/>
          <w:jc w:val="center"/>
        </w:trPr>
        <w:tc>
          <w:tcPr>
            <w:tcW w:w="1408" w:type="dxa"/>
            <w:tcBorders>
              <w:top w:val="single" w:color="auto" w:sz="8" w:space="0"/>
            </w:tcBorders>
            <w:shd w:val="clear" w:color="auto" w:fill="auto"/>
            <w:vAlign w:val="center"/>
          </w:tcPr>
          <w:p>
            <w:pPr>
              <w:pStyle w:val="178"/>
            </w:pPr>
            <w:r>
              <w:rPr>
                <w:rFonts w:hint="eastAsia"/>
              </w:rPr>
              <w:t>能源属性</w:t>
            </w:r>
          </w:p>
        </w:tc>
        <w:tc>
          <w:tcPr>
            <w:tcW w:w="2268" w:type="dxa"/>
            <w:tcBorders>
              <w:top w:val="single" w:color="auto" w:sz="8" w:space="0"/>
            </w:tcBorders>
            <w:shd w:val="clear" w:color="auto" w:fill="auto"/>
            <w:vAlign w:val="center"/>
          </w:tcPr>
          <w:p>
            <w:pPr>
              <w:pStyle w:val="178"/>
            </w:pPr>
            <w:r>
              <w:rPr>
                <w:rFonts w:hint="eastAsia"/>
              </w:rPr>
              <w:t>能源使用</w:t>
            </w:r>
          </w:p>
          <w:p>
            <w:pPr>
              <w:pStyle w:val="178"/>
              <w:rPr>
                <w:rFonts w:hint="eastAsia"/>
              </w:rPr>
            </w:pPr>
            <w:r>
              <w:rPr>
                <w:rFonts w:hint="eastAsia"/>
              </w:rPr>
              <w:t>能源效率</w:t>
            </w:r>
          </w:p>
        </w:tc>
        <w:tc>
          <w:tcPr>
            <w:tcW w:w="5658" w:type="dxa"/>
            <w:tcBorders>
              <w:top w:val="single" w:color="auto" w:sz="8" w:space="0"/>
            </w:tcBorders>
            <w:shd w:val="clear" w:color="auto" w:fill="auto"/>
            <w:vAlign w:val="center"/>
          </w:tcPr>
          <w:p>
            <w:pPr>
              <w:pStyle w:val="178"/>
              <w:jc w:val="both"/>
              <w:rPr>
                <w:rFonts w:hint="default" w:eastAsia="宋体"/>
                <w:lang w:val="en-US" w:eastAsia="zh-CN"/>
              </w:rPr>
            </w:pPr>
            <w:r>
              <w:rPr>
                <w:rFonts w:hint="eastAsia"/>
                <w:lang w:val="en-US" w:eastAsia="zh-CN"/>
              </w:rPr>
              <w:t>1、主机房温湿度控制允许控制在允许范围的上限；</w:t>
            </w:r>
          </w:p>
          <w:p>
            <w:pPr>
              <w:pStyle w:val="178"/>
              <w:jc w:val="both"/>
              <w:rPr>
                <w:rFonts w:hint="eastAsia" w:ascii="宋体" w:eastAsia="宋体"/>
                <w:lang w:val="en-US" w:eastAsia="zh-CN"/>
              </w:rPr>
            </w:pPr>
            <w:r>
              <w:rPr>
                <w:rFonts w:hint="eastAsia"/>
                <w:lang w:val="en-US" w:eastAsia="zh-CN"/>
              </w:rPr>
              <w:t>2、</w:t>
            </w:r>
            <w:r>
              <w:rPr>
                <w:rFonts w:hint="eastAsia" w:ascii="宋体" w:eastAsia="宋体"/>
                <w:lang w:val="en-US" w:eastAsia="zh-CN"/>
              </w:rPr>
              <w:t>定期对数据中心的能源消耗进行分项统计与分析</w:t>
            </w:r>
            <w:r>
              <w:rPr>
                <w:rFonts w:hint="eastAsia"/>
                <w:lang w:val="en-US" w:eastAsia="zh-CN"/>
              </w:rPr>
              <w:t>；</w:t>
            </w:r>
          </w:p>
          <w:p>
            <w:pPr>
              <w:pStyle w:val="178"/>
              <w:jc w:val="both"/>
              <w:rPr>
                <w:rFonts w:hint="eastAsia" w:ascii="宋体" w:eastAsia="宋体"/>
                <w:lang w:val="en-US" w:eastAsia="zh-CN"/>
              </w:rPr>
            </w:pPr>
            <w:r>
              <w:rPr>
                <w:rFonts w:hint="eastAsia" w:ascii="宋体" w:eastAsia="宋体"/>
                <w:lang w:val="en-US" w:eastAsia="zh-CN"/>
              </w:rPr>
              <w:t>3、建立PUE、WUE控制目标并进行监测与分析</w:t>
            </w:r>
            <w:r>
              <w:rPr>
                <w:rFonts w:hint="eastAsia"/>
                <w:lang w:val="en-US" w:eastAsia="zh-CN"/>
              </w:rPr>
              <w:t>；</w:t>
            </w:r>
          </w:p>
          <w:p>
            <w:pPr>
              <w:pStyle w:val="178"/>
              <w:jc w:val="both"/>
              <w:rPr>
                <w:rFonts w:hint="eastAsia" w:ascii="宋体" w:eastAsia="宋体"/>
                <w:lang w:val="en-US" w:eastAsia="zh-CN"/>
              </w:rPr>
            </w:pPr>
            <w:r>
              <w:rPr>
                <w:rFonts w:hint="eastAsia" w:ascii="宋体" w:eastAsia="宋体"/>
                <w:lang w:val="en-US" w:eastAsia="zh-CN"/>
              </w:rPr>
              <w:t>4、建立设备管理档案，及时淘汰低效落后设备</w:t>
            </w:r>
            <w:r>
              <w:rPr>
                <w:rFonts w:hint="eastAsia"/>
                <w:lang w:val="en-US" w:eastAsia="zh-CN"/>
              </w:rPr>
              <w:t>；</w:t>
            </w:r>
          </w:p>
          <w:p>
            <w:pPr>
              <w:pStyle w:val="178"/>
              <w:jc w:val="both"/>
              <w:rPr>
                <w:rFonts w:hint="default"/>
                <w:lang w:val="en-US" w:eastAsia="zh-CN"/>
              </w:rPr>
            </w:pPr>
            <w:r>
              <w:rPr>
                <w:rFonts w:hint="eastAsia" w:ascii="宋体" w:eastAsia="宋体"/>
                <w:lang w:val="en-US" w:eastAsia="zh-CN"/>
              </w:rPr>
              <w:t>5、优先采购满足国家有关绿色产品设计要求或满足相关节能、节水、有害物质限制标准要求的设备和产品</w:t>
            </w:r>
            <w:r>
              <w:rPr>
                <w:rFonts w:hint="eastAsia"/>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4" w:hRule="atLeast"/>
          <w:tblHeader/>
          <w:jc w:val="center"/>
        </w:trPr>
        <w:tc>
          <w:tcPr>
            <w:tcW w:w="1408" w:type="dxa"/>
            <w:tcBorders>
              <w:top w:val="single" w:color="auto" w:sz="8" w:space="0"/>
            </w:tcBorders>
            <w:shd w:val="clear" w:color="auto" w:fill="auto"/>
            <w:vAlign w:val="center"/>
          </w:tcPr>
          <w:p>
            <w:pPr>
              <w:pStyle w:val="178"/>
            </w:pPr>
            <w:r>
              <w:rPr>
                <w:rFonts w:hint="eastAsia"/>
              </w:rPr>
              <w:t>环境属性</w:t>
            </w:r>
          </w:p>
        </w:tc>
        <w:tc>
          <w:tcPr>
            <w:tcW w:w="2268" w:type="dxa"/>
            <w:tcBorders>
              <w:top w:val="single" w:color="auto" w:sz="8" w:space="0"/>
            </w:tcBorders>
            <w:shd w:val="clear" w:color="auto" w:fill="auto"/>
            <w:vAlign w:val="center"/>
          </w:tcPr>
          <w:p>
            <w:pPr>
              <w:pStyle w:val="178"/>
            </w:pPr>
            <w:r>
              <w:rPr>
                <w:rFonts w:hint="eastAsia"/>
              </w:rPr>
              <w:t>污染物排放</w:t>
            </w:r>
          </w:p>
          <w:p>
            <w:pPr>
              <w:pStyle w:val="178"/>
            </w:pPr>
            <w:r>
              <w:rPr>
                <w:rFonts w:hint="eastAsia"/>
              </w:rPr>
              <w:t>温室气体排放</w:t>
            </w:r>
          </w:p>
          <w:p>
            <w:pPr>
              <w:pStyle w:val="178"/>
              <w:rPr>
                <w:rFonts w:hint="eastAsia"/>
              </w:rPr>
            </w:pPr>
            <w:r>
              <w:rPr>
                <w:rFonts w:hint="eastAsia"/>
              </w:rPr>
              <w:t>物理特征</w:t>
            </w:r>
          </w:p>
        </w:tc>
        <w:tc>
          <w:tcPr>
            <w:tcW w:w="5658" w:type="dxa"/>
            <w:tcBorders>
              <w:top w:val="single" w:color="auto" w:sz="8" w:space="0"/>
            </w:tcBorders>
            <w:shd w:val="clear" w:color="auto" w:fill="auto"/>
            <w:vAlign w:val="center"/>
          </w:tcPr>
          <w:p>
            <w:pPr>
              <w:pStyle w:val="178"/>
              <w:jc w:val="both"/>
              <w:rPr>
                <w:rFonts w:hint="eastAsia" w:ascii="宋体" w:eastAsia="宋体"/>
                <w:highlight w:val="none"/>
                <w:lang w:val="en-US" w:eastAsia="zh-CN"/>
              </w:rPr>
            </w:pPr>
            <w:r>
              <w:rPr>
                <w:rFonts w:hint="eastAsia" w:ascii="宋体" w:eastAsia="宋体"/>
                <w:highlight w:val="none"/>
                <w:lang w:val="en-US" w:eastAsia="zh-CN"/>
              </w:rPr>
              <w:t>1、主机房空气含尘浓度应开展监测工作</w:t>
            </w:r>
            <w:r>
              <w:rPr>
                <w:rFonts w:hint="eastAsia"/>
                <w:highlight w:val="none"/>
                <w:lang w:val="en-US" w:eastAsia="zh-CN"/>
              </w:rPr>
              <w:t>，</w:t>
            </w:r>
            <w:r>
              <w:rPr>
                <w:rFonts w:hint="eastAsia" w:ascii="宋体" w:eastAsia="宋体"/>
                <w:highlight w:val="none"/>
                <w:lang w:val="en-US" w:eastAsia="zh-CN"/>
              </w:rPr>
              <w:t>并达到相关标准要求</w:t>
            </w:r>
            <w:r>
              <w:rPr>
                <w:rFonts w:hint="eastAsia"/>
                <w:highlight w:val="none"/>
                <w:lang w:val="en-US" w:eastAsia="zh-CN"/>
              </w:rPr>
              <w:t>；</w:t>
            </w:r>
          </w:p>
          <w:p>
            <w:pPr>
              <w:pStyle w:val="178"/>
              <w:jc w:val="both"/>
              <w:rPr>
                <w:rFonts w:hint="eastAsia" w:ascii="宋体" w:eastAsia="宋体"/>
                <w:highlight w:val="none"/>
                <w:lang w:val="en-US" w:eastAsia="zh-CN"/>
              </w:rPr>
            </w:pPr>
            <w:r>
              <w:rPr>
                <w:rFonts w:hint="eastAsia"/>
                <w:highlight w:val="none"/>
                <w:lang w:val="en-US" w:eastAsia="zh-CN"/>
              </w:rPr>
              <w:t>2</w:t>
            </w:r>
            <w:r>
              <w:rPr>
                <w:rFonts w:hint="eastAsia" w:ascii="宋体" w:eastAsia="宋体"/>
                <w:highlight w:val="none"/>
                <w:lang w:val="en-US" w:eastAsia="zh-CN"/>
              </w:rPr>
              <w:t>、人员活动区的游离甲醛、苯、氨、氡和 TVOC 等空气污染物浓度应符合 GB 50325 的规定</w:t>
            </w:r>
            <w:r>
              <w:rPr>
                <w:rFonts w:hint="eastAsia"/>
                <w:highlight w:val="none"/>
                <w:lang w:val="en-US" w:eastAsia="zh-CN"/>
              </w:rPr>
              <w:t>；</w:t>
            </w:r>
          </w:p>
          <w:p>
            <w:pPr>
              <w:pStyle w:val="178"/>
              <w:jc w:val="both"/>
              <w:rPr>
                <w:rFonts w:hint="eastAsia" w:ascii="宋体" w:eastAsia="宋体"/>
                <w:highlight w:val="none"/>
                <w:lang w:val="en-US" w:eastAsia="zh-CN"/>
              </w:rPr>
            </w:pPr>
            <w:r>
              <w:rPr>
                <w:rFonts w:hint="eastAsia"/>
                <w:highlight w:val="none"/>
                <w:lang w:val="en-US" w:eastAsia="zh-CN"/>
              </w:rPr>
              <w:t>3</w:t>
            </w:r>
            <w:r>
              <w:rPr>
                <w:rFonts w:hint="eastAsia" w:ascii="宋体" w:eastAsia="宋体"/>
                <w:highlight w:val="none"/>
                <w:lang w:val="en-US" w:eastAsia="zh-CN"/>
              </w:rPr>
              <w:t>、噪声应满足 GB 50118 中的低限标准要求</w:t>
            </w:r>
            <w:r>
              <w:rPr>
                <w:rFonts w:hint="eastAsia"/>
                <w:highlight w:val="none"/>
                <w:lang w:val="en-US" w:eastAsia="zh-CN"/>
              </w:rPr>
              <w:t>；</w:t>
            </w:r>
          </w:p>
          <w:p>
            <w:pPr>
              <w:pStyle w:val="178"/>
              <w:jc w:val="both"/>
              <w:rPr>
                <w:rFonts w:hint="eastAsia"/>
                <w:highlight w:val="none"/>
                <w:lang w:val="en-US" w:eastAsia="zh-CN"/>
              </w:rPr>
            </w:pPr>
            <w:r>
              <w:rPr>
                <w:rFonts w:hint="eastAsia"/>
                <w:highlight w:val="none"/>
                <w:lang w:val="en-US" w:eastAsia="zh-CN"/>
              </w:rPr>
              <w:t>4</w:t>
            </w:r>
            <w:r>
              <w:rPr>
                <w:rFonts w:hint="eastAsia" w:ascii="宋体" w:eastAsia="宋体"/>
                <w:highlight w:val="none"/>
                <w:lang w:val="en-US" w:eastAsia="zh-CN"/>
              </w:rPr>
              <w:t xml:space="preserve">、服务器机房、网络机房等的照度应满足 </w:t>
            </w:r>
            <w:r>
              <w:rPr>
                <w:rFonts w:hint="default" w:ascii="宋体" w:eastAsia="宋体"/>
                <w:highlight w:val="none"/>
                <w:lang w:val="en-US" w:eastAsia="zh-CN"/>
              </w:rPr>
              <w:t xml:space="preserve">GB 50174 </w:t>
            </w:r>
            <w:r>
              <w:rPr>
                <w:rFonts w:hint="eastAsia" w:ascii="宋体" w:eastAsia="宋体"/>
                <w:highlight w:val="none"/>
                <w:lang w:val="en-US" w:eastAsia="zh-CN"/>
              </w:rPr>
              <w:t>中的要求</w:t>
            </w:r>
            <w:r>
              <w:rPr>
                <w:rFonts w:hint="eastAsia"/>
                <w:highlight w:val="none"/>
                <w:lang w:val="en-US" w:eastAsia="zh-CN"/>
              </w:rPr>
              <w:t>；</w:t>
            </w:r>
          </w:p>
          <w:p>
            <w:pPr>
              <w:pStyle w:val="178"/>
              <w:jc w:val="both"/>
              <w:rPr>
                <w:rFonts w:hint="default"/>
                <w:highlight w:val="none"/>
                <w:lang w:val="en-US" w:eastAsia="zh-CN"/>
              </w:rPr>
            </w:pPr>
            <w:r>
              <w:rPr>
                <w:rFonts w:hint="eastAsia"/>
                <w:highlight w:val="none"/>
                <w:lang w:val="en-US" w:eastAsia="zh-CN"/>
              </w:rPr>
              <w:t>5、</w:t>
            </w:r>
            <w:r>
              <w:rPr>
                <w:rFonts w:hint="eastAsia" w:ascii="宋体" w:eastAsia="宋体"/>
                <w:highlight w:val="none"/>
                <w:lang w:val="en-US" w:eastAsia="zh-CN"/>
              </w:rPr>
              <w:t>制定主要设备设施经济运行与维护要求、废弃电器电子产品回收处理要求和对有毒有害物质的管理要求</w:t>
            </w:r>
            <w:r>
              <w:rPr>
                <w:rFonts w:hint="eastAsia"/>
                <w:highlight w:val="non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83" w:hRule="atLeast"/>
          <w:jc w:val="center"/>
        </w:trPr>
        <w:tc>
          <w:tcPr>
            <w:tcW w:w="1408" w:type="dxa"/>
            <w:tcBorders>
              <w:top w:val="single" w:color="auto" w:sz="8" w:space="0"/>
            </w:tcBorders>
            <w:shd w:val="clear" w:color="auto" w:fill="auto"/>
            <w:vAlign w:val="center"/>
          </w:tcPr>
          <w:p>
            <w:pPr>
              <w:pStyle w:val="178"/>
            </w:pPr>
            <w:r>
              <w:rPr>
                <w:rFonts w:hint="eastAsia"/>
              </w:rPr>
              <w:t>品质属性</w:t>
            </w:r>
          </w:p>
        </w:tc>
        <w:tc>
          <w:tcPr>
            <w:tcW w:w="2268" w:type="dxa"/>
            <w:tcBorders>
              <w:top w:val="single" w:color="auto" w:sz="8" w:space="0"/>
            </w:tcBorders>
            <w:shd w:val="clear" w:color="auto" w:fill="auto"/>
            <w:vAlign w:val="center"/>
          </w:tcPr>
          <w:p>
            <w:pPr>
              <w:pStyle w:val="178"/>
            </w:pPr>
            <w:r>
              <w:rPr>
                <w:rFonts w:hint="eastAsia"/>
              </w:rPr>
              <w:t>功能性</w:t>
            </w:r>
          </w:p>
          <w:p>
            <w:pPr>
              <w:pStyle w:val="178"/>
            </w:pPr>
            <w:r>
              <w:rPr>
                <w:rFonts w:hint="eastAsia"/>
              </w:rPr>
              <w:t>经济性</w:t>
            </w:r>
          </w:p>
          <w:p>
            <w:pPr>
              <w:pStyle w:val="178"/>
            </w:pPr>
            <w:r>
              <w:rPr>
                <w:rFonts w:hint="eastAsia"/>
              </w:rPr>
              <w:t>安全性</w:t>
            </w:r>
          </w:p>
          <w:p>
            <w:pPr>
              <w:pStyle w:val="178"/>
            </w:pPr>
            <w:r>
              <w:rPr>
                <w:rFonts w:hint="eastAsia"/>
              </w:rPr>
              <w:t>舒适性</w:t>
            </w:r>
          </w:p>
          <w:p>
            <w:pPr>
              <w:pStyle w:val="178"/>
            </w:pPr>
            <w:r>
              <w:rPr>
                <w:rFonts w:hint="eastAsia"/>
              </w:rPr>
              <w:t>时间性</w:t>
            </w:r>
          </w:p>
          <w:p>
            <w:pPr>
              <w:pStyle w:val="178"/>
            </w:pPr>
            <w:r>
              <w:rPr>
                <w:rFonts w:hint="eastAsia"/>
              </w:rPr>
              <w:t>文明性</w:t>
            </w:r>
          </w:p>
        </w:tc>
        <w:tc>
          <w:tcPr>
            <w:tcW w:w="5658" w:type="dxa"/>
            <w:tcBorders>
              <w:top w:val="single" w:color="auto" w:sz="8" w:space="0"/>
            </w:tcBorders>
            <w:shd w:val="clear" w:color="auto" w:fill="auto"/>
            <w:vAlign w:val="center"/>
          </w:tcPr>
          <w:p>
            <w:pPr>
              <w:pStyle w:val="178"/>
              <w:jc w:val="both"/>
              <w:rPr>
                <w:rFonts w:hint="eastAsia" w:ascii="宋体" w:eastAsia="宋体"/>
                <w:highlight w:val="none"/>
                <w:lang w:val="en-US" w:eastAsia="zh-CN"/>
              </w:rPr>
            </w:pPr>
            <w:r>
              <w:rPr>
                <w:rFonts w:hint="eastAsia" w:ascii="宋体" w:eastAsia="宋体"/>
                <w:highlight w:val="none"/>
                <w:lang w:val="en-US" w:eastAsia="zh-CN"/>
              </w:rPr>
              <w:t>1、鼓励开展空调、配电等智能化管理</w:t>
            </w:r>
            <w:r>
              <w:rPr>
                <w:rFonts w:hint="eastAsia"/>
                <w:highlight w:val="none"/>
                <w:lang w:val="en-US" w:eastAsia="zh-CN"/>
              </w:rPr>
              <w:t>；</w:t>
            </w:r>
          </w:p>
          <w:p>
            <w:pPr>
              <w:pStyle w:val="178"/>
              <w:jc w:val="both"/>
              <w:rPr>
                <w:rFonts w:hint="default"/>
                <w:highlight w:val="none"/>
                <w:lang w:val="en-US" w:eastAsia="zh-CN"/>
              </w:rPr>
            </w:pPr>
            <w:r>
              <w:rPr>
                <w:rFonts w:hint="eastAsia"/>
                <w:highlight w:val="none"/>
                <w:lang w:val="en-US" w:eastAsia="zh-CN"/>
              </w:rPr>
              <w:t>2、</w:t>
            </w:r>
            <w:r>
              <w:rPr>
                <w:rFonts w:hint="eastAsia" w:ascii="宋体" w:eastAsia="宋体"/>
                <w:highlight w:val="none"/>
                <w:lang w:val="en-US" w:eastAsia="zh-CN"/>
              </w:rPr>
              <w:t>控制室、值班室等有人长时间值守的区域应开展</w:t>
            </w:r>
            <m:oMath>
              <m:sSub>
                <m:sSubPr>
                  <m:ctrlPr>
                    <w:rPr>
                      <w:rFonts w:hint="eastAsia" w:ascii="DejaVu Math TeX Gyre" w:hAnsi="DejaVu Math TeX Gyre" w:eastAsia="宋体"/>
                      <w:highlight w:val="none"/>
                      <w:lang w:val="en-US" w:eastAsia="zh-CN"/>
                    </w:rPr>
                  </m:ctrlPr>
                </m:sSubPr>
                <m:e>
                  <m:r>
                    <m:rPr>
                      <m:sty m:val="p"/>
                    </m:rPr>
                    <w:rPr>
                      <w:rFonts w:hint="eastAsia" w:ascii="DejaVu Math TeX Gyre" w:hAnsi="DejaVu Math TeX Gyre" w:eastAsia="宋体"/>
                      <w:highlight w:val="none"/>
                      <w:lang w:val="en-US" w:eastAsia="zh-CN"/>
                    </w:rPr>
                    <m:t>CO</m:t>
                  </m:r>
                  <m:ctrlPr>
                    <w:rPr>
                      <w:rFonts w:hint="eastAsia" w:ascii="DejaVu Math TeX Gyre" w:hAnsi="DejaVu Math TeX Gyre" w:eastAsia="宋体"/>
                      <w:highlight w:val="none"/>
                      <w:lang w:val="en-US" w:eastAsia="zh-CN"/>
                    </w:rPr>
                  </m:ctrlPr>
                </m:e>
                <m:sub>
                  <m:r>
                    <m:rPr>
                      <m:sty m:val="p"/>
                    </m:rPr>
                    <w:rPr>
                      <w:rFonts w:hint="default" w:ascii="DejaVu Math TeX Gyre" w:hAnsi="DejaVu Math TeX Gyre" w:eastAsia="宋体"/>
                      <w:highlight w:val="none"/>
                      <w:lang w:val="en-US" w:eastAsia="zh-CN"/>
                    </w:rPr>
                    <m:t>2</m:t>
                  </m:r>
                  <m:ctrlPr>
                    <w:rPr>
                      <w:rFonts w:hint="eastAsia" w:ascii="DejaVu Math TeX Gyre" w:hAnsi="DejaVu Math TeX Gyre" w:eastAsia="宋体"/>
                      <w:highlight w:val="none"/>
                      <w:lang w:val="en-US" w:eastAsia="zh-CN"/>
                    </w:rPr>
                  </m:ctrlPr>
                </m:sub>
              </m:sSub>
            </m:oMath>
            <w:r>
              <w:rPr>
                <w:rFonts w:hint="eastAsia" w:ascii="宋体" w:eastAsia="宋体"/>
                <w:highlight w:val="none"/>
                <w:lang w:val="en-US" w:eastAsia="zh-CN"/>
              </w:rPr>
              <w:t>浓度监测</w:t>
            </w:r>
            <w:r>
              <w:rPr>
                <w:rFonts w:hint="eastAsia"/>
                <w:highlight w:val="none"/>
                <w:lang w:val="en-US" w:eastAsia="zh-CN"/>
              </w:rPr>
              <w:t>；</w:t>
            </w:r>
          </w:p>
          <w:p>
            <w:pPr>
              <w:pStyle w:val="178"/>
              <w:jc w:val="both"/>
              <w:rPr>
                <w:rFonts w:hint="eastAsia"/>
                <w:highlight w:val="none"/>
                <w:lang w:val="en-US" w:eastAsia="zh-CN"/>
              </w:rPr>
            </w:pPr>
            <w:r>
              <w:rPr>
                <w:rFonts w:hint="eastAsia" w:ascii="宋体" w:eastAsia="宋体"/>
                <w:highlight w:val="none"/>
                <w:lang w:val="en-US" w:eastAsia="zh-CN"/>
              </w:rPr>
              <w:t>3、应设置满足运维要求的工作岗位，明确人员职责分工</w:t>
            </w:r>
            <w:r>
              <w:rPr>
                <w:rFonts w:hint="eastAsia"/>
                <w:highlight w:val="none"/>
                <w:lang w:val="en-US" w:eastAsia="zh-CN"/>
              </w:rPr>
              <w:t>；</w:t>
            </w:r>
          </w:p>
          <w:p>
            <w:pPr>
              <w:pStyle w:val="178"/>
              <w:jc w:val="both"/>
              <w:rPr>
                <w:rFonts w:hint="default"/>
                <w:highlight w:val="none"/>
                <w:lang w:val="en-US" w:eastAsia="zh-CN"/>
              </w:rPr>
            </w:pPr>
            <w:r>
              <w:rPr>
                <w:rFonts w:hint="eastAsia"/>
                <w:highlight w:val="none"/>
                <w:lang w:val="en-US" w:eastAsia="zh-CN"/>
              </w:rPr>
              <w:t>4、空调系统、照明系统等能耗系统设备应处于经济运行状态。</w:t>
            </w:r>
          </w:p>
          <w:p>
            <w:pPr>
              <w:pStyle w:val="178"/>
              <w:jc w:val="both"/>
              <w:rPr>
                <w:rFonts w:hint="eastAsia"/>
                <w:highlight w:val="none"/>
                <w:lang w:val="en-US" w:eastAsia="zh-CN"/>
              </w:rPr>
            </w:pPr>
            <w:r>
              <w:rPr>
                <w:rFonts w:hint="eastAsia"/>
                <w:highlight w:val="none"/>
                <w:lang w:val="en-US" w:eastAsia="zh-CN"/>
              </w:rPr>
              <w:t>5</w:t>
            </w:r>
            <w:r>
              <w:rPr>
                <w:rFonts w:hint="eastAsia" w:ascii="宋体" w:eastAsia="宋体"/>
                <w:highlight w:val="none"/>
                <w:lang w:val="en-US" w:eastAsia="zh-CN"/>
              </w:rPr>
              <w:t>、制定安全防范措施及应急预案要求</w:t>
            </w:r>
            <w:r>
              <w:rPr>
                <w:rFonts w:hint="eastAsia"/>
                <w:highlight w:val="none"/>
                <w:lang w:val="en-US" w:eastAsia="zh-CN"/>
              </w:rPr>
              <w:t>；</w:t>
            </w:r>
          </w:p>
          <w:p>
            <w:pPr>
              <w:pStyle w:val="178"/>
              <w:jc w:val="both"/>
              <w:rPr>
                <w:rFonts w:hint="default"/>
                <w:highlight w:val="none"/>
                <w:lang w:val="en-US" w:eastAsia="zh-CN"/>
              </w:rPr>
            </w:pPr>
            <w:r>
              <w:rPr>
                <w:rFonts w:hint="eastAsia"/>
                <w:highlight w:val="none"/>
                <w:lang w:val="en-US" w:eastAsia="zh-CN"/>
              </w:rPr>
              <w:t>6、定期开展安全与应急管理培训活动，有效落实各项安全管理规章制度与应急管理措施。</w:t>
            </w:r>
          </w:p>
          <w:p>
            <w:pPr>
              <w:pStyle w:val="178"/>
              <w:jc w:val="both"/>
              <w:rPr>
                <w:rFonts w:hint="eastAsia"/>
                <w:highlight w:val="none"/>
                <w:lang w:val="en-US" w:eastAsia="zh-CN"/>
              </w:rPr>
            </w:pPr>
            <w:r>
              <w:rPr>
                <w:rFonts w:hint="eastAsia"/>
                <w:highlight w:val="none"/>
                <w:lang w:val="en-US" w:eastAsia="zh-CN"/>
              </w:rPr>
              <w:t>7</w:t>
            </w:r>
            <w:r>
              <w:rPr>
                <w:rFonts w:hint="eastAsia" w:ascii="宋体" w:eastAsia="宋体"/>
                <w:highlight w:val="none"/>
                <w:lang w:val="en-US" w:eastAsia="zh-CN"/>
              </w:rPr>
              <w:t>、鼓励</w:t>
            </w:r>
            <w:r>
              <w:rPr>
                <w:rFonts w:hint="eastAsia"/>
                <w:highlight w:val="none"/>
                <w:lang w:val="en-US" w:eastAsia="zh-CN"/>
              </w:rPr>
              <w:t>使用</w:t>
            </w:r>
            <w:r>
              <w:rPr>
                <w:rFonts w:hint="eastAsia" w:ascii="宋体" w:eastAsia="宋体"/>
                <w:highlight w:val="none"/>
                <w:lang w:val="en-US" w:eastAsia="zh-CN"/>
              </w:rPr>
              <w:t>可再生能源</w:t>
            </w:r>
            <w:r>
              <w:rPr>
                <w:rFonts w:hint="eastAsia"/>
                <w:highlight w:val="none"/>
                <w:lang w:val="en-US" w:eastAsia="zh-CN"/>
              </w:rPr>
              <w:t>；</w:t>
            </w:r>
          </w:p>
          <w:p>
            <w:pPr>
              <w:pStyle w:val="178"/>
              <w:jc w:val="both"/>
              <w:rPr>
                <w:rFonts w:hint="default"/>
                <w:highlight w:val="none"/>
                <w:lang w:val="en-US" w:eastAsia="zh-CN"/>
              </w:rPr>
            </w:pPr>
            <w:r>
              <w:rPr>
                <w:rFonts w:hint="eastAsia"/>
                <w:highlight w:val="none"/>
                <w:lang w:val="en-US" w:eastAsia="zh-CN"/>
              </w:rPr>
              <w:t>8、避免无人区域照明灯具一直处于工作状态；</w:t>
            </w:r>
          </w:p>
          <w:p>
            <w:pPr>
              <w:pStyle w:val="178"/>
              <w:jc w:val="both"/>
              <w:rPr>
                <w:rFonts w:hint="default"/>
                <w:highlight w:val="none"/>
                <w:lang w:val="en-US" w:eastAsia="zh-CN"/>
              </w:rPr>
            </w:pPr>
            <w:r>
              <w:rPr>
                <w:rFonts w:hint="eastAsia"/>
                <w:highlight w:val="none"/>
                <w:lang w:val="en-US" w:eastAsia="zh-CN"/>
              </w:rPr>
              <w:t>9、定期开展节能、节水、节材和环境环保新技术的应用。</w:t>
            </w:r>
          </w:p>
        </w:tc>
      </w:tr>
    </w:tbl>
    <w:p>
      <w:pPr>
        <w:pStyle w:val="56"/>
        <w:ind w:firstLine="0" w:firstLineChars="0"/>
        <w:rPr>
          <w:lang w:val="fr-FR"/>
        </w:rPr>
        <w:sectPr>
          <w:pgSz w:w="11906" w:h="16838"/>
          <w:pgMar w:top="1928" w:right="1134" w:bottom="1134" w:left="1134" w:header="1418" w:footer="1134" w:gutter="284"/>
          <w:cols w:space="425" w:num="1"/>
          <w:formProt w:val="0"/>
          <w:docGrid w:type="lines" w:linePitch="312" w:charSpace="0"/>
        </w:sectPr>
      </w:pPr>
    </w:p>
    <w:p>
      <w:pPr>
        <w:pStyle w:val="63"/>
        <w:spacing w:after="156"/>
      </w:pPr>
      <w:bookmarkStart w:id="143" w:name="_Toc147591782"/>
      <w:bookmarkStart w:id="144" w:name="_Toc147591793"/>
      <w:bookmarkStart w:id="145" w:name="_Toc147592124"/>
      <w:bookmarkStart w:id="146" w:name="_Toc146114065"/>
      <w:r>
        <w:rPr>
          <w:rFonts w:hint="eastAsia"/>
          <w:spacing w:val="105"/>
        </w:rPr>
        <w:t>参考文</w:t>
      </w:r>
      <w:r>
        <w:rPr>
          <w:rFonts w:hint="eastAsia"/>
        </w:rPr>
        <w:t>献</w:t>
      </w:r>
      <w:bookmarkEnd w:id="143"/>
      <w:bookmarkEnd w:id="144"/>
      <w:bookmarkEnd w:id="145"/>
      <w:bookmarkEnd w:id="146"/>
    </w:p>
    <w:p>
      <w:pPr>
        <w:pStyle w:val="56"/>
        <w:ind w:firstLine="0" w:firstLineChars="0"/>
      </w:pPr>
    </w:p>
    <w:bookmarkEnd w:id="142"/>
    <w:p>
      <w:pPr>
        <w:pStyle w:val="56"/>
        <w:ind w:firstLine="420"/>
        <w:jc w:val="left"/>
        <w:rPr>
          <w:rFonts w:hint="eastAsia"/>
        </w:rPr>
      </w:pPr>
      <w:bookmarkStart w:id="147" w:name="BookMark8"/>
      <w:r>
        <w:rPr>
          <w:rFonts w:hint="eastAsia"/>
        </w:rPr>
        <w:t>[1] 中华人民共和国产品质量法</w:t>
      </w:r>
    </w:p>
    <w:p>
      <w:pPr>
        <w:pStyle w:val="56"/>
        <w:ind w:firstLine="420"/>
        <w:jc w:val="left"/>
        <w:rPr>
          <w:rFonts w:hint="eastAsia"/>
        </w:rPr>
      </w:pPr>
      <w:r>
        <w:rPr>
          <w:rFonts w:hint="eastAsia"/>
        </w:rPr>
        <w:t>[2] 中华人民共和国计量法</w:t>
      </w:r>
    </w:p>
    <w:p>
      <w:pPr>
        <w:pStyle w:val="56"/>
        <w:ind w:firstLine="420"/>
        <w:jc w:val="left"/>
        <w:rPr>
          <w:rFonts w:hint="eastAsia"/>
        </w:rPr>
      </w:pPr>
      <w:r>
        <w:rPr>
          <w:rFonts w:hint="eastAsia"/>
        </w:rPr>
        <w:t>[3] 中华人民共和国大气污染防治法</w:t>
      </w:r>
    </w:p>
    <w:p>
      <w:pPr>
        <w:pStyle w:val="56"/>
        <w:ind w:firstLine="420"/>
        <w:jc w:val="left"/>
        <w:rPr>
          <w:rFonts w:hint="eastAsia"/>
        </w:rPr>
      </w:pPr>
      <w:r>
        <w:rPr>
          <w:rFonts w:hint="eastAsia"/>
        </w:rPr>
        <w:t>[4] 中华人民共和国标准化法</w:t>
      </w:r>
    </w:p>
    <w:p>
      <w:pPr>
        <w:pStyle w:val="56"/>
        <w:ind w:firstLine="420"/>
        <w:jc w:val="left"/>
        <w:rPr>
          <w:rFonts w:hint="eastAsia"/>
        </w:rPr>
      </w:pPr>
      <w:r>
        <w:rPr>
          <w:rFonts w:hint="eastAsia"/>
        </w:rPr>
        <w:t>[5] 中华人民共和国可再生能源法</w:t>
      </w:r>
    </w:p>
    <w:p>
      <w:pPr>
        <w:pStyle w:val="56"/>
        <w:ind w:firstLine="420"/>
        <w:jc w:val="left"/>
        <w:rPr>
          <w:rFonts w:hint="eastAsia"/>
        </w:rPr>
      </w:pPr>
      <w:r>
        <w:rPr>
          <w:rFonts w:hint="eastAsia"/>
        </w:rPr>
        <w:t>[6] 中华人民共和国认证认可条例</w:t>
      </w:r>
    </w:p>
    <w:p>
      <w:pPr>
        <w:pStyle w:val="56"/>
        <w:ind w:firstLine="420"/>
        <w:jc w:val="left"/>
        <w:rPr>
          <w:rFonts w:hint="eastAsia"/>
        </w:rPr>
      </w:pPr>
      <w:r>
        <w:rPr>
          <w:rFonts w:hint="eastAsia"/>
        </w:rPr>
        <w:t>[7] 认证机构管理办法（2017年11月14日国家质量监督检验检疫总局令第193号公布，根据2020年10月23日国家市场监督管理总局令第31号修订）</w:t>
      </w:r>
    </w:p>
    <w:p>
      <w:pPr>
        <w:pStyle w:val="56"/>
        <w:ind w:firstLine="420"/>
        <w:jc w:val="left"/>
        <w:rPr>
          <w:rFonts w:hint="eastAsia"/>
        </w:rPr>
      </w:pPr>
      <w:r>
        <w:rPr>
          <w:rFonts w:hint="eastAsia"/>
        </w:rPr>
        <w:t>[8] 认证证书和认证标志管理办法（2004年6月23日国家质量监督检验检疫总局令第63号公布 根据2015年3月31日国家质量监督检验检疫总局令第162号第一次修订 根据2022年9月29日国家市场监督管理总局令第61号第二次修订）</w:t>
      </w:r>
    </w:p>
    <w:p>
      <w:pPr>
        <w:pStyle w:val="56"/>
        <w:ind w:firstLine="420"/>
        <w:jc w:val="left"/>
        <w:rPr>
          <w:rFonts w:hint="eastAsia"/>
        </w:rPr>
      </w:pPr>
      <w:r>
        <w:rPr>
          <w:rFonts w:hint="eastAsia"/>
        </w:rPr>
        <w:t>[9] 节能低碳产品认证管理办法（质检总局 国家发改委令第168号）</w:t>
      </w:r>
    </w:p>
    <w:p>
      <w:pPr>
        <w:pStyle w:val="56"/>
        <w:ind w:firstLine="420"/>
        <w:jc w:val="left"/>
        <w:rPr>
          <w:rFonts w:hint="eastAsia"/>
        </w:rPr>
      </w:pPr>
      <w:r>
        <w:rPr>
          <w:rFonts w:hint="eastAsia"/>
        </w:rPr>
        <w:t>[10] 绿色产品标识使用管理办法（国家市场监督管理总局2019年第20号）</w:t>
      </w:r>
    </w:p>
    <w:p>
      <w:pPr>
        <w:pStyle w:val="56"/>
        <w:ind w:firstLine="420"/>
        <w:jc w:val="left"/>
        <w:rPr>
          <w:rFonts w:hint="eastAsia"/>
        </w:rPr>
      </w:pPr>
      <w:r>
        <w:rPr>
          <w:rFonts w:hint="eastAsia"/>
        </w:rPr>
        <w:t>[11] 市场监管总局关于在全国范围内推进认证机构资质审批“证照分离”改革的公告（国家市场监督管理总局2022年第28号）</w:t>
      </w:r>
    </w:p>
    <w:p>
      <w:pPr>
        <w:pStyle w:val="56"/>
        <w:ind w:firstLine="420"/>
        <w:jc w:val="left"/>
        <w:rPr>
          <w:rFonts w:hint="eastAsia"/>
        </w:rPr>
      </w:pPr>
      <w:r>
        <w:rPr>
          <w:rFonts w:hint="eastAsia"/>
        </w:rPr>
        <w:t>[12] GB/T 24421 服务业组织标准化工作指南　第1部分：基本要求</w:t>
      </w:r>
    </w:p>
    <w:p>
      <w:pPr>
        <w:pStyle w:val="56"/>
        <w:ind w:firstLine="420"/>
        <w:jc w:val="left"/>
        <w:rPr>
          <w:rFonts w:hint="eastAsia"/>
        </w:rPr>
      </w:pPr>
      <w:r>
        <w:rPr>
          <w:rFonts w:hint="eastAsia"/>
        </w:rPr>
        <w:t>[13] GB/T 27400 合格评定 服务认证技术通则</w:t>
      </w:r>
    </w:p>
    <w:p>
      <w:pPr>
        <w:pStyle w:val="56"/>
        <w:ind w:firstLine="420"/>
        <w:jc w:val="left"/>
        <w:rPr>
          <w:rFonts w:hint="eastAsia"/>
        </w:rPr>
      </w:pPr>
      <w:r>
        <w:rPr>
          <w:rFonts w:hint="eastAsia"/>
        </w:rPr>
        <w:t>[14] GB/T 32161 生态设计产品评价通则</w:t>
      </w:r>
    </w:p>
    <w:p>
      <w:pPr>
        <w:pStyle w:val="56"/>
        <w:ind w:firstLine="420"/>
        <w:jc w:val="left"/>
        <w:rPr>
          <w:rFonts w:hint="default" w:eastAsia="宋体"/>
          <w:lang w:val="en-US" w:eastAsia="zh-CN"/>
        </w:rPr>
      </w:pPr>
      <w:r>
        <w:rPr>
          <w:rFonts w:hint="eastAsia"/>
        </w:rPr>
        <w:t>[15]</w:t>
      </w:r>
      <w:r>
        <w:rPr>
          <w:rFonts w:hint="eastAsia"/>
          <w:lang w:val="en-US" w:eastAsia="zh-CN"/>
        </w:rPr>
        <w:t xml:space="preserve"> GB/T 35602—2017 </w:t>
      </w:r>
      <w:r>
        <w:rPr>
          <w:rFonts w:hint="eastAsia"/>
        </w:rPr>
        <w:fldChar w:fldCharType="begin"/>
      </w:r>
      <w:r>
        <w:rPr>
          <w:rFonts w:hint="eastAsia"/>
        </w:rPr>
        <w:instrText xml:space="preserve"> HYPERLINK "javascript:void(0)" </w:instrText>
      </w:r>
      <w:r>
        <w:rPr>
          <w:rFonts w:hint="eastAsia"/>
        </w:rPr>
        <w:fldChar w:fldCharType="separate"/>
      </w:r>
      <w:r>
        <w:rPr>
          <w:rFonts w:hint="default"/>
        </w:rPr>
        <w:t>绿色产品评价 涂料</w:t>
      </w:r>
      <w:r>
        <w:rPr>
          <w:rFonts w:hint="default"/>
        </w:rPr>
        <w:fldChar w:fldCharType="end"/>
      </w:r>
    </w:p>
    <w:p>
      <w:pPr>
        <w:pStyle w:val="56"/>
        <w:ind w:firstLine="420"/>
        <w:jc w:val="left"/>
        <w:rPr>
          <w:rFonts w:hint="eastAsia"/>
        </w:rPr>
      </w:pPr>
      <w:r>
        <w:rPr>
          <w:rFonts w:hint="eastAsia"/>
        </w:rPr>
        <w:t>[1</w:t>
      </w:r>
      <w:r>
        <w:rPr>
          <w:rFonts w:hint="eastAsia"/>
          <w:lang w:val="en-US" w:eastAsia="zh-CN"/>
        </w:rPr>
        <w:t>6</w:t>
      </w:r>
      <w:r>
        <w:rPr>
          <w:rFonts w:hint="eastAsia"/>
        </w:rPr>
        <w:t>] RB/T 241</w:t>
      </w:r>
      <w:r>
        <w:rPr>
          <w:rFonts w:hint="eastAsia"/>
          <w:lang w:eastAsia="zh-CN"/>
        </w:rPr>
        <w:t>—</w:t>
      </w:r>
      <w:r>
        <w:rPr>
          <w:rFonts w:hint="eastAsia"/>
        </w:rPr>
        <w:t>2018 绿色产品检测机构要求</w:t>
      </w:r>
    </w:p>
    <w:p>
      <w:pPr>
        <w:pStyle w:val="56"/>
        <w:ind w:firstLine="420"/>
        <w:jc w:val="left"/>
        <w:rPr>
          <w:rFonts w:hint="eastAsia"/>
        </w:rPr>
      </w:pPr>
      <w:r>
        <w:rPr>
          <w:rFonts w:hint="eastAsia"/>
        </w:rPr>
        <w:t>[1</w:t>
      </w:r>
      <w:r>
        <w:rPr>
          <w:rFonts w:hint="eastAsia"/>
          <w:lang w:val="en-US" w:eastAsia="zh-CN"/>
        </w:rPr>
        <w:t>7</w:t>
      </w:r>
      <w:r>
        <w:rPr>
          <w:rFonts w:hint="eastAsia"/>
        </w:rPr>
        <w:t>] RB/T 242.1</w:t>
      </w:r>
      <w:r>
        <w:rPr>
          <w:rFonts w:hint="eastAsia"/>
          <w:lang w:eastAsia="zh-CN"/>
        </w:rPr>
        <w:t>—</w:t>
      </w:r>
      <w:r>
        <w:rPr>
          <w:rFonts w:hint="eastAsia"/>
        </w:rPr>
        <w:t>2018 绿色产品认证机构要求 第1部分：通则</w:t>
      </w:r>
    </w:p>
    <w:p>
      <w:pPr>
        <w:pStyle w:val="56"/>
        <w:ind w:firstLine="420"/>
        <w:jc w:val="left"/>
      </w:pPr>
      <w:r>
        <w:t>[1</w:t>
      </w:r>
      <w:r>
        <w:rPr>
          <w:rFonts w:hint="eastAsia"/>
          <w:lang w:val="en-US" w:eastAsia="zh-CN"/>
        </w:rPr>
        <w:t>8</w:t>
      </w:r>
      <w:r>
        <w:t>] ISO 14064-1 Greenhouse gases- Part1:Specification with guidance at the organization level for quantification and reporting of greenhouse gas emission and removal</w:t>
      </w:r>
    </w:p>
    <w:p>
      <w:pPr>
        <w:pStyle w:val="56"/>
        <w:ind w:firstLine="420"/>
        <w:jc w:val="left"/>
      </w:pPr>
      <w:r>
        <w:t>[1</w:t>
      </w:r>
      <w:r>
        <w:rPr>
          <w:rFonts w:hint="eastAsia"/>
          <w:lang w:val="en-US" w:eastAsia="zh-CN"/>
        </w:rPr>
        <w:t>9</w:t>
      </w:r>
      <w:r>
        <w:t>] ISO 14064-2 Greenhouse gases-Part2:Specification with guidance at the project level for quantification, monitoring and reporting of greenhouse gas emission reductions or removal enhancements</w:t>
      </w:r>
    </w:p>
    <w:p>
      <w:pPr>
        <w:pStyle w:val="56"/>
        <w:ind w:firstLine="420"/>
        <w:jc w:val="left"/>
      </w:pPr>
      <w:r>
        <w:t>[</w:t>
      </w:r>
      <w:r>
        <w:rPr>
          <w:rFonts w:hint="eastAsia"/>
          <w:lang w:val="en-US" w:eastAsia="zh-CN"/>
        </w:rPr>
        <w:t>20</w:t>
      </w:r>
      <w:r>
        <w:t>] ISO 14064-3 Greenhouse gases —Part 3: Specification with guidance for the verification and validation of greenhouse gas statements</w:t>
      </w:r>
    </w:p>
    <w:p>
      <w:pPr>
        <w:pStyle w:val="56"/>
        <w:ind w:firstLine="420" w:firstLineChars="200"/>
        <w:jc w:val="left"/>
      </w:pPr>
      <w:r>
        <w:t>[2</w:t>
      </w:r>
      <w:r>
        <w:rPr>
          <w:rFonts w:hint="eastAsia"/>
          <w:lang w:val="en-US" w:eastAsia="zh-CN"/>
        </w:rPr>
        <w:t>1</w:t>
      </w:r>
      <w:r>
        <w:t>] ISO 14067 Greenhouse gases-Carbon footprint of products-Requirements and guidelines for quantification and communication</w:t>
      </w:r>
    </w:p>
    <w:p>
      <w:pPr>
        <w:pStyle w:val="56"/>
        <w:ind w:firstLine="0" w:firstLineChars="0"/>
        <w:jc w:val="center"/>
      </w:pPr>
      <w:r>
        <w:rPr>
          <w:rFonts w:hint="eastAsia"/>
        </w:rPr>
        <w:drawing>
          <wp:inline distT="0" distB="0" distL="0" distR="0">
            <wp:extent cx="1485900" cy="317500"/>
            <wp:effectExtent l="0" t="0" r="0" b="6350"/>
            <wp:docPr id="1700619084" name="图片 1"/>
            <wp:cNvGraphicFramePr/>
            <a:graphic xmlns:a="http://schemas.openxmlformats.org/drawingml/2006/main">
              <a:graphicData uri="http://schemas.openxmlformats.org/drawingml/2006/picture">
                <pic:pic xmlns:pic="http://schemas.openxmlformats.org/drawingml/2006/picture">
                  <pic:nvPicPr>
                    <pic:cNvPr id="1700619084" name="图片 1"/>
                    <pic:cNvPicPr/>
                  </pic:nvPicPr>
                  <pic:blipFill>
                    <a:blip r:embed="rId15">
                      <a:extLst>
                        <a:ext uri="{28A0092B-C50C-407E-A947-70E740481C1C}">
                          <a14:useLocalDpi xmlns:a14="http://schemas.microsoft.com/office/drawing/2010/main" val="false"/>
                        </a:ext>
                      </a:extLst>
                    </a:blip>
                    <a:stretch>
                      <a:fillRect/>
                    </a:stretch>
                  </pic:blipFill>
                  <pic:spPr>
                    <a:xfrm>
                      <a:off x="0" y="0"/>
                      <a:ext cx="1485900" cy="317500"/>
                    </a:xfrm>
                    <a:prstGeom prst="rect">
                      <a:avLst/>
                    </a:prstGeom>
                  </pic:spPr>
                </pic:pic>
              </a:graphicData>
            </a:graphic>
          </wp:inline>
        </w:drawing>
      </w:r>
      <w:bookmarkEnd w:id="147"/>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Light">
    <w:altName w:val="华文仿宋"/>
    <w:panose1 w:val="02010600030101010101"/>
    <w:charset w:val="86"/>
    <w:family w:val="auto"/>
    <w:pitch w:val="default"/>
    <w:sig w:usb0="00000000" w:usb1="00000000" w:usb2="00000016" w:usb3="00000000" w:csb0="0004000F" w:csb1="00000000"/>
  </w:font>
  <w:font w:name="DejaVu Math TeX Gyre">
    <w:panose1 w:val="02000503000000000000"/>
    <w:charset w:val="00"/>
    <w:family w:val="auto"/>
    <w:pitch w:val="default"/>
    <w:sig w:usb0="A10000EF" w:usb1="4201F9EE" w:usb2="02000000" w:usb3="00000000" w:csb0="60000193" w:csb1="0DD4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䡡湄楮札䍓ⵆ潮瑳">
    <w:panose1 w:val="02010609010101010101"/>
    <w:charset w:val="00"/>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XX/T XXXX—XXXX</w:t>
    </w:r>
    <w:r>
      <w:fldChar w:fldCharType="end"/>
    </w:r>
    <w:r>
      <w:rPr>
        <w:rFonts w:hint="eastAsia"/>
        <w:lang w:val="en-US" w:eastAsia="zh-CN"/>
      </w:rPr>
      <w:t xml:space="preserve"> </w:t>
    </w:r>
    <w:r>
      <w:fldChar w:fldCharType="begin"/>
    </w:r>
    <w:r>
      <w:instrText xml:space="preserve"> STYLEREF  标准文件_文件编号  \* MERGEFORMAT </w:instrText>
    </w:r>
    <w:r>
      <w:fldChar w:fldCharType="separate"/>
    </w:r>
    <w:r>
      <w:t>DB XX/T XXXX—XXXX</w:t>
    </w:r>
    <w:r>
      <w:fldChar w:fldCharType="end"/>
    </w:r>
    <w:r>
      <w:rPr>
        <w:rFonts w:hint="eastAsia"/>
        <w:lang w:val="en-US" w:eastAsia="zh-CN"/>
      </w:rPr>
      <w:t xml:space="preserve"> </w:t>
    </w:r>
    <w:r>
      <w:fldChar w:fldCharType="begin"/>
    </w:r>
    <w:r>
      <w:instrText xml:space="preserve"> STYLEREF  标准文件_文件编号  \* MERGEFORMAT </w:instrText>
    </w:r>
    <w:r>
      <w:fldChar w:fldCharType="separate"/>
    </w:r>
    <w:r>
      <w:t>DB XX/T XXXX—XXXX</w:t>
    </w:r>
    <w:r>
      <w:fldChar w:fldCharType="end"/>
    </w:r>
    <w:r>
      <w:rPr>
        <w:rFonts w:hint="eastAsia"/>
        <w:lang w:val="en-US" w:eastAsia="zh-CN"/>
      </w:rPr>
      <w:t xml:space="preserve"> </w:t>
    </w: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false"/>
  <w:bordersDoNotSurroundFooter w:val="false"/>
  <w:attachedTemplate r:id="rId1"/>
  <w:documentProtection w:edit="forms" w:enforcement="0"/>
  <w:defaultTabStop w:val="420"/>
  <w:displayHorizontalDrawingGridEvery w:val="1"/>
  <w:displayVerticalDrawingGridEvery w:val="1"/>
  <w:noPunctuationKerning w:val="true"/>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RiNDViMjRkN2E2YzM5Y2RkNDRjYWNkZGM2MTgyNTQifQ=="/>
  </w:docVars>
  <w:rsids>
    <w:rsidRoot w:val="00F91CC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377"/>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5CF7"/>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098E"/>
    <w:rsid w:val="001913C4"/>
    <w:rsid w:val="0019348F"/>
    <w:rsid w:val="00193A07"/>
    <w:rsid w:val="00194C95"/>
    <w:rsid w:val="00195C34"/>
    <w:rsid w:val="00196EF5"/>
    <w:rsid w:val="001A1A53"/>
    <w:rsid w:val="001A234A"/>
    <w:rsid w:val="001A4CF3"/>
    <w:rsid w:val="001A54EF"/>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15746"/>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4CC5"/>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F97"/>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46DA"/>
    <w:rsid w:val="003615D2"/>
    <w:rsid w:val="0036429C"/>
    <w:rsid w:val="00364A53"/>
    <w:rsid w:val="003654CB"/>
    <w:rsid w:val="00365AA9"/>
    <w:rsid w:val="00365F86"/>
    <w:rsid w:val="00365F87"/>
    <w:rsid w:val="00366E89"/>
    <w:rsid w:val="003705F4"/>
    <w:rsid w:val="00370D58"/>
    <w:rsid w:val="00371316"/>
    <w:rsid w:val="00376713"/>
    <w:rsid w:val="003803A7"/>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239A"/>
    <w:rsid w:val="003C5A43"/>
    <w:rsid w:val="003D0376"/>
    <w:rsid w:val="003D0519"/>
    <w:rsid w:val="003D0FF6"/>
    <w:rsid w:val="003D262C"/>
    <w:rsid w:val="003D6D61"/>
    <w:rsid w:val="003D79C6"/>
    <w:rsid w:val="003E091D"/>
    <w:rsid w:val="003E1C53"/>
    <w:rsid w:val="003E2A69"/>
    <w:rsid w:val="003E2D49"/>
    <w:rsid w:val="003E2EB7"/>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63C"/>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5E50"/>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6170"/>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4F7970"/>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11C"/>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1CA2"/>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06D9"/>
    <w:rsid w:val="005E2335"/>
    <w:rsid w:val="005E34CA"/>
    <w:rsid w:val="005E3C18"/>
    <w:rsid w:val="005E6812"/>
    <w:rsid w:val="005E7881"/>
    <w:rsid w:val="005E78E0"/>
    <w:rsid w:val="005F0D9C"/>
    <w:rsid w:val="005F284E"/>
    <w:rsid w:val="005F46E8"/>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57ADD"/>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6F76D0"/>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A3F"/>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577F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4E0F"/>
    <w:rsid w:val="00895172"/>
    <w:rsid w:val="00895680"/>
    <w:rsid w:val="00896DFF"/>
    <w:rsid w:val="0089762C"/>
    <w:rsid w:val="008A1893"/>
    <w:rsid w:val="008A3215"/>
    <w:rsid w:val="008A4922"/>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6353"/>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1511"/>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3D2"/>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24EC"/>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5DC4"/>
    <w:rsid w:val="00BF74A6"/>
    <w:rsid w:val="00BF7E34"/>
    <w:rsid w:val="00C013AD"/>
    <w:rsid w:val="00C04904"/>
    <w:rsid w:val="00C056B3"/>
    <w:rsid w:val="00C103E5"/>
    <w:rsid w:val="00C13319"/>
    <w:rsid w:val="00C13EE9"/>
    <w:rsid w:val="00C21540"/>
    <w:rsid w:val="00C21906"/>
    <w:rsid w:val="00C21BFA"/>
    <w:rsid w:val="00C22148"/>
    <w:rsid w:val="00C24C8D"/>
    <w:rsid w:val="00C25FE2"/>
    <w:rsid w:val="00C26B53"/>
    <w:rsid w:val="00C278CC"/>
    <w:rsid w:val="00C279B2"/>
    <w:rsid w:val="00C3178F"/>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5F13"/>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0FD2"/>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4FB6"/>
    <w:rsid w:val="00E95D13"/>
    <w:rsid w:val="00E95DD3"/>
    <w:rsid w:val="00E969D5"/>
    <w:rsid w:val="00EA20BA"/>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33AF"/>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1CC0"/>
    <w:rsid w:val="00F93A8A"/>
    <w:rsid w:val="00F95248"/>
    <w:rsid w:val="00F956A9"/>
    <w:rsid w:val="00F963ED"/>
    <w:rsid w:val="00F966CF"/>
    <w:rsid w:val="00F96CAE"/>
    <w:rsid w:val="00F97C99"/>
    <w:rsid w:val="00FA3628"/>
    <w:rsid w:val="00FA4DAC"/>
    <w:rsid w:val="00FA662D"/>
    <w:rsid w:val="00FA73B1"/>
    <w:rsid w:val="00FB0CB9"/>
    <w:rsid w:val="00FB231D"/>
    <w:rsid w:val="00FB45F1"/>
    <w:rsid w:val="00FB4A72"/>
    <w:rsid w:val="00FB54E8"/>
    <w:rsid w:val="00FB7054"/>
    <w:rsid w:val="00FC17B7"/>
    <w:rsid w:val="00FC2CB7"/>
    <w:rsid w:val="00FC4090"/>
    <w:rsid w:val="00FC55B4"/>
    <w:rsid w:val="00FC6D2C"/>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6BF14ED"/>
    <w:rsid w:val="18A40BC9"/>
    <w:rsid w:val="247A179A"/>
    <w:rsid w:val="262A5CAA"/>
    <w:rsid w:val="4D6D3115"/>
    <w:rsid w:val="5AEC28CA"/>
    <w:rsid w:val="5B92730A"/>
    <w:rsid w:val="7DFE37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jpeg"/><Relationship Id="rId14" Type="http://schemas.openxmlformats.org/officeDocument/2006/relationships/image" Target="media/image1.tiff"/><Relationship Id="rId13" Type="http://schemas.openxmlformats.org/officeDocument/2006/relationships/theme" Target="theme/theme1.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scjuser/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5CC8411539C14DC69885D8A47B25AC41"/>
        <w:style w:val=""/>
        <w:category>
          <w:name w:val="常规"/>
          <w:gallery w:val="placeholder"/>
        </w:category>
        <w:types>
          <w:type w:val="bbPlcHdr"/>
        </w:types>
        <w:behaviors>
          <w:behavior w:val="content"/>
        </w:behaviors>
        <w:description w:val=""/>
        <w:guid w:val="{5E6C2794-4035-4D03-B14E-ED513EEF1662}"/>
      </w:docPartPr>
      <w:docPartBody>
        <w:p>
          <w:pPr>
            <w:pStyle w:val="5"/>
          </w:pPr>
          <w:r>
            <w:rPr>
              <w:rStyle w:val="4"/>
              <w:rFonts w:hint="eastAsia"/>
            </w:rPr>
            <w:t>单击或点击此处输入文字。</w:t>
          </w:r>
        </w:p>
      </w:docPartBody>
    </w:docPart>
    <w:docPart>
      <w:docPartPr>
        <w:name w:val="62C23E1527B04133A1AD507BE7349EFE"/>
        <w:style w:val=""/>
        <w:category>
          <w:name w:val="常规"/>
          <w:gallery w:val="placeholder"/>
        </w:category>
        <w:types>
          <w:type w:val="bbPlcHdr"/>
        </w:types>
        <w:behaviors>
          <w:behavior w:val="content"/>
        </w:behaviors>
        <w:description w:val=""/>
        <w:guid w:val="{54395E1D-6466-42AB-9B36-E3AAFC94F61D}"/>
      </w:docPartPr>
      <w:docPartBody>
        <w:p>
          <w:pPr>
            <w:pStyle w:val="6"/>
          </w:pPr>
          <w:r>
            <w:rPr>
              <w:rStyle w:val="4"/>
              <w:rFonts w:hint="eastAsia"/>
            </w:rPr>
            <w:t>选择一项。</w:t>
          </w:r>
        </w:p>
      </w:docPartBody>
    </w:docPart>
    <w:docPart>
      <w:docPartPr>
        <w:name w:val="8EFC69505E434DE6BF3A4C6172F4D45D"/>
        <w:style w:val=""/>
        <w:category>
          <w:name w:val="常规"/>
          <w:gallery w:val="placeholder"/>
        </w:category>
        <w:types>
          <w:type w:val="bbPlcHdr"/>
        </w:types>
        <w:behaviors>
          <w:behavior w:val="content"/>
        </w:behaviors>
        <w:description w:val=""/>
        <w:guid w:val="{C0388F8C-6884-492D-8E79-6E9FA2DBDB03}"/>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F40"/>
    <w:rsid w:val="009F1F40"/>
    <w:rsid w:val="00C50865"/>
    <w:rsid w:val="00D96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5CC8411539C14DC69885D8A47B25AC41"/>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62C23E1527B04133A1AD507BE7349EF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8EFC69505E434DE6BF3A4C6172F4D45D"/>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11</Pages>
  <Words>5536</Words>
  <Characters>6965</Characters>
  <Lines>802</Lines>
  <Paragraphs>722</Paragraphs>
  <TotalTime>5</TotalTime>
  <ScaleCrop>false</ScaleCrop>
  <LinksUpToDate>false</LinksUpToDate>
  <CharactersWithSpaces>7229</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2023-10-07T17:30:00Z</dcterms:created>
  <dc:creator>冯曾恺</dc:creator>
  <cp:lastModifiedBy>scjuser</cp:lastModifiedBy>
  <cp:lastPrinted>2020-08-30T18:00:00Z</cp:lastPrinted>
  <dcterms:modified xsi:type="dcterms:W3CDTF">2023-12-15T10:18:26Z</dcterms:modified>
  <dc:title>地方标准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2052-11.8.2.10251</vt:lpwstr>
  </property>
  <property fmtid="{D5CDD505-2E9C-101B-9397-08002B2CF9AE}" pid="15" name="ICV">
    <vt:lpwstr>9415E81087DC4CAE85134D67D65548F3_13</vt:lpwstr>
  </property>
</Properties>
</file>