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仿宋_GBK" w:cs="Times New Roman"/>
          <w:color w:val="000000" w:themeColor="text1"/>
          <w:sz w:val="32"/>
          <w:szCs w:val="32"/>
        </w:rPr>
      </w:pPr>
      <w:bookmarkStart w:id="0" w:name="_GoBack"/>
      <w:bookmarkEnd w:id="0"/>
      <w:r>
        <w:rPr>
          <w:rFonts w:ascii="Times New Roman" w:hAnsi="Times New Roman" w:eastAsia="方正仿宋_GBK" w:cs="Times New Roman"/>
          <w:color w:val="000000" w:themeColor="text1"/>
          <w:sz w:val="32"/>
          <w:szCs w:val="32"/>
        </w:rPr>
        <w:t>附件</w:t>
      </w:r>
      <w:r>
        <w:rPr>
          <w:rFonts w:hint="eastAsia" w:ascii="Times New Roman" w:hAnsi="Times New Roman" w:eastAsia="方正仿宋_GBK" w:cs="Times New Roman"/>
          <w:color w:val="000000" w:themeColor="text1"/>
          <w:sz w:val="32"/>
          <w:szCs w:val="32"/>
        </w:rPr>
        <w:t>1</w:t>
      </w:r>
    </w:p>
    <w:p>
      <w:pPr>
        <w:spacing w:before="156" w:beforeLines="50" w:line="590" w:lineRule="exact"/>
        <w:jc w:val="left"/>
        <w:rPr>
          <w:rFonts w:ascii="Times New Roman" w:hAnsi="Times New Roman" w:eastAsia="方正仿宋_GBK" w:cs="Times New Roman"/>
          <w:color w:val="000000" w:themeColor="text1"/>
          <w:sz w:val="32"/>
          <w:szCs w:val="32"/>
        </w:rPr>
      </w:pPr>
    </w:p>
    <w:p>
      <w:pPr>
        <w:spacing w:before="156" w:beforeLines="50" w:line="590" w:lineRule="exact"/>
        <w:jc w:val="center"/>
        <w:rPr>
          <w:rFonts w:ascii="方正小标宋_GBK" w:hAnsi="Times New Roman" w:eastAsia="方正小标宋_GBK" w:cs="Times New Roman"/>
          <w:color w:val="000000" w:themeColor="text1"/>
          <w:sz w:val="44"/>
          <w:szCs w:val="44"/>
        </w:rPr>
      </w:pPr>
      <w:r>
        <w:rPr>
          <w:rFonts w:hint="eastAsia" w:ascii="方正小标宋_GBK" w:hAnsi="Times New Roman" w:eastAsia="方正小标宋_GBK" w:cs="Times New Roman"/>
          <w:color w:val="000000" w:themeColor="text1"/>
          <w:sz w:val="44"/>
          <w:szCs w:val="44"/>
        </w:rPr>
        <w:t>镇江市级专精特新中小企业评价标准</w:t>
      </w:r>
    </w:p>
    <w:p>
      <w:pPr>
        <w:spacing w:before="156" w:beforeLines="50" w:line="590" w:lineRule="exact"/>
        <w:ind w:firstLine="640" w:firstLineChars="200"/>
        <w:jc w:val="left"/>
        <w:rPr>
          <w:rFonts w:ascii="方正黑体_GBK" w:hAnsi="Times New Roman" w:eastAsia="方正黑体_GBK" w:cs="Times New Roman"/>
          <w:color w:val="000000" w:themeColor="text1"/>
          <w:sz w:val="32"/>
          <w:szCs w:val="32"/>
        </w:rPr>
      </w:pPr>
    </w:p>
    <w:p>
      <w:pPr>
        <w:spacing w:line="590" w:lineRule="exact"/>
        <w:ind w:firstLine="640" w:firstLineChars="200"/>
        <w:jc w:val="left"/>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一、</w:t>
      </w:r>
      <w:r>
        <w:rPr>
          <w:rFonts w:ascii="黑体" w:hAnsi="黑体" w:eastAsia="黑体" w:cs="Times New Roman"/>
          <w:color w:val="000000" w:themeColor="text1"/>
          <w:sz w:val="32"/>
          <w:szCs w:val="32"/>
        </w:rPr>
        <w:t>专业化指标（满分25分）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1.上年度主营业务收入总额占营业收入总额比重（满分5分）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A.80%以上（5分）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B.70%-80%（3分）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C.60%-70%（1分）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D.60%以下（0分）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2.近2年主营业务收入平均增长率（满分10分）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A.10%以上（10分）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B.8%-10%（8分）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C.6%-8%（6分）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D.4%-6%（4分）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E.0%-4%（2分）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F.0%以下（0分）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3.从事特定细分市场年限（满分5分）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每满2年得1分，最高不超过5分。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4.主导产品所属领域情况（满分5分）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A.在产业链供应链关键环节及关键领域“补短板”“锻长板”“填空白”取得实际成效（5分）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B.属于工业“六基”领域、中华老字号名录或企业主导产品服务关键产业链重点龙头企业（3分）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C.不属于以上情况（0分）</w:t>
      </w:r>
    </w:p>
    <w:p>
      <w:pPr>
        <w:spacing w:line="590" w:lineRule="exact"/>
        <w:ind w:firstLine="640" w:firstLineChars="200"/>
        <w:jc w:val="left"/>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二、</w:t>
      </w:r>
      <w:r>
        <w:rPr>
          <w:rFonts w:ascii="黑体" w:hAnsi="黑体" w:eastAsia="黑体" w:cs="Times New Roman"/>
          <w:color w:val="000000" w:themeColor="text1"/>
          <w:sz w:val="32"/>
          <w:szCs w:val="32"/>
        </w:rPr>
        <w:t>精细化指标（满分25分）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5.</w:t>
      </w:r>
      <w:r>
        <w:rPr>
          <w:rFonts w:hint="eastAsia" w:ascii="仿宋" w:hAnsi="仿宋" w:eastAsia="仿宋" w:cs="仿宋"/>
          <w:color w:val="000000" w:themeColor="text1"/>
          <w:spacing w:val="-1"/>
          <w:sz w:val="31"/>
          <w:szCs w:val="31"/>
        </w:rPr>
        <w:t xml:space="preserve"> 企业数字化转型水平</w:t>
      </w:r>
      <w:r>
        <w:rPr>
          <w:rFonts w:ascii="Times New Roman" w:hAnsi="Times New Roman" w:eastAsia="方正仿宋_GBK" w:cs="Times New Roman"/>
          <w:color w:val="000000" w:themeColor="text1"/>
          <w:sz w:val="32"/>
          <w:szCs w:val="32"/>
        </w:rPr>
        <w:t>（满分5分）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A.三级以上（5分）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B.二级（3分）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C.一级（0分）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6.质量管理水平（每满足一项加3分，最高不超过5分）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A.获得省级以上质量奖荣誉</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B.建立质量管理体系，获得ISO9001等质量管理体系认证证书</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C.拥有自主品牌</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D.参与制修订标准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7.上年度净利润率（满分10分）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A.10%以上（10分）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B.8%-10%（8分）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C.6%-8%（6分）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D.4%-6%（4分）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E.2%-4%（2分）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F.2%以下（0分）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8.上年度资产负债率（满分5分）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A.50%以下（5分）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B.50%-60%（3分）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C.60%-70%（1分）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D.70%以上（0分）</w:t>
      </w:r>
    </w:p>
    <w:p>
      <w:pPr>
        <w:spacing w:line="590" w:lineRule="exact"/>
        <w:ind w:firstLine="640" w:firstLineChars="200"/>
        <w:jc w:val="left"/>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rPr>
        <w:t>三</w:t>
      </w:r>
      <w:r>
        <w:rPr>
          <w:rFonts w:hint="eastAsia" w:ascii="黑体" w:hAnsi="黑体" w:eastAsia="黑体" w:cs="Times New Roman"/>
          <w:color w:val="000000" w:themeColor="text1"/>
          <w:sz w:val="32"/>
          <w:szCs w:val="32"/>
        </w:rPr>
        <w:t>、</w:t>
      </w:r>
      <w:r>
        <w:rPr>
          <w:rFonts w:ascii="黑体" w:hAnsi="黑体" w:eastAsia="黑体" w:cs="Times New Roman"/>
          <w:color w:val="000000" w:themeColor="text1"/>
          <w:sz w:val="32"/>
          <w:szCs w:val="32"/>
        </w:rPr>
        <w:t>特色化指标（满分15分）</w:t>
      </w:r>
    </w:p>
    <w:p>
      <w:pPr>
        <w:overflowPunct w:val="0"/>
        <w:spacing w:line="590" w:lineRule="exact"/>
        <w:ind w:firstLine="643"/>
        <w:rPr>
          <w:rFonts w:ascii="Times New Roman" w:hAnsi="Times New Roman" w:eastAsia="方正仿宋_GBK"/>
          <w:b/>
          <w:color w:val="000000" w:themeColor="text1"/>
          <w:sz w:val="32"/>
          <w:szCs w:val="32"/>
        </w:rPr>
      </w:pPr>
      <w:r>
        <w:rPr>
          <w:rFonts w:ascii="Times New Roman" w:hAnsi="Times New Roman" w:eastAsia="方正仿宋_GBK"/>
          <w:b/>
          <w:color w:val="000000" w:themeColor="text1"/>
          <w:sz w:val="32"/>
          <w:szCs w:val="32"/>
        </w:rPr>
        <w:t>9.技术和产品有自身独特优势，主导产品在细分市场占有率和排名（满分6分）</w:t>
      </w:r>
    </w:p>
    <w:p>
      <w:pPr>
        <w:overflowPunct w:val="0"/>
        <w:spacing w:line="590" w:lineRule="exact"/>
        <w:ind w:firstLine="64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A.全国细分市场占有率10%以上（6分）</w:t>
      </w:r>
    </w:p>
    <w:p>
      <w:pPr>
        <w:overflowPunct w:val="0"/>
        <w:spacing w:line="590" w:lineRule="exact"/>
        <w:ind w:firstLine="64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B</w:t>
      </w:r>
      <w:r>
        <w:rPr>
          <w:rFonts w:ascii="Times New Roman" w:hAnsi="Times New Roman" w:eastAsia="方正仿宋_GBK"/>
          <w:color w:val="000000" w:themeColor="text1"/>
          <w:sz w:val="32"/>
          <w:szCs w:val="32"/>
        </w:rPr>
        <w:t>.全国细分市场占有率5%－10%或排名前十名或进入龙头企业供应链体系（4分）</w:t>
      </w:r>
    </w:p>
    <w:p>
      <w:pPr>
        <w:overflowPunct w:val="0"/>
        <w:spacing w:line="590" w:lineRule="exact"/>
        <w:ind w:firstLine="64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C</w:t>
      </w:r>
      <w:r>
        <w:rPr>
          <w:rFonts w:ascii="Times New Roman" w:hAnsi="Times New Roman" w:eastAsia="方正仿宋_GBK"/>
          <w:color w:val="000000" w:themeColor="text1"/>
          <w:sz w:val="32"/>
          <w:szCs w:val="32"/>
        </w:rPr>
        <w:t>.全省细分市场占有率排名前三名（2分）</w:t>
      </w:r>
    </w:p>
    <w:p>
      <w:pPr>
        <w:overflowPunct w:val="0"/>
        <w:spacing w:line="590" w:lineRule="exact"/>
        <w:ind w:firstLine="64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D</w:t>
      </w:r>
      <w:r>
        <w:rPr>
          <w:rFonts w:ascii="Times New Roman" w:hAnsi="Times New Roman" w:eastAsia="方正仿宋_GBK"/>
          <w:color w:val="000000" w:themeColor="text1"/>
          <w:sz w:val="32"/>
          <w:szCs w:val="32"/>
        </w:rPr>
        <w:t>.不属于上述情况（0分）</w:t>
      </w:r>
    </w:p>
    <w:p>
      <w:pPr>
        <w:overflowPunct w:val="0"/>
        <w:spacing w:line="590" w:lineRule="exact"/>
        <w:ind w:firstLine="643"/>
        <w:rPr>
          <w:rFonts w:ascii="Times New Roman" w:hAnsi="Times New Roman" w:eastAsia="方正仿宋_GBK"/>
          <w:b/>
          <w:color w:val="000000" w:themeColor="text1"/>
          <w:sz w:val="32"/>
          <w:szCs w:val="32"/>
        </w:rPr>
      </w:pPr>
      <w:r>
        <w:rPr>
          <w:rFonts w:ascii="Times New Roman" w:hAnsi="Times New Roman" w:eastAsia="方正仿宋_GBK"/>
          <w:b/>
          <w:color w:val="000000" w:themeColor="text1"/>
          <w:sz w:val="32"/>
          <w:szCs w:val="32"/>
        </w:rPr>
        <w:t>10.企业和产品所属</w:t>
      </w:r>
      <w:r>
        <w:rPr>
          <w:rFonts w:hint="eastAsia" w:ascii="Times New Roman" w:hAnsi="Times New Roman" w:eastAsia="方正仿宋_GBK"/>
          <w:b/>
          <w:color w:val="000000" w:themeColor="text1"/>
          <w:sz w:val="32"/>
          <w:szCs w:val="32"/>
        </w:rPr>
        <w:t>产业领域竞争优势</w:t>
      </w:r>
      <w:r>
        <w:rPr>
          <w:rFonts w:ascii="Times New Roman" w:hAnsi="Times New Roman" w:eastAsia="方正仿宋_GBK"/>
          <w:b/>
          <w:color w:val="000000" w:themeColor="text1"/>
          <w:sz w:val="32"/>
          <w:szCs w:val="32"/>
        </w:rPr>
        <w:t>（每满足一项按级别加分，满分9分）</w:t>
      </w:r>
    </w:p>
    <w:p>
      <w:pPr>
        <w:overflowPunct w:val="0"/>
        <w:spacing w:line="590" w:lineRule="exact"/>
        <w:ind w:firstLine="64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A.</w:t>
      </w:r>
      <w:r>
        <w:rPr>
          <w:rFonts w:hint="eastAsia" w:ascii="Times New Roman" w:hAnsi="Times New Roman" w:eastAsia="方正仿宋_GBK"/>
          <w:color w:val="000000" w:themeColor="text1"/>
          <w:sz w:val="32"/>
          <w:szCs w:val="32"/>
        </w:rPr>
        <w:t>符合制造强国战略十大重点产业领域或网络强国建设的信息基础设施、关键核心技术、网络安全、数据安全领域（3分）</w:t>
      </w:r>
    </w:p>
    <w:p>
      <w:pPr>
        <w:overflowPunct w:val="0"/>
        <w:spacing w:line="590" w:lineRule="exact"/>
        <w:ind w:firstLine="64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B.分布在</w:t>
      </w:r>
      <w:r>
        <w:rPr>
          <w:rFonts w:ascii="Times New Roman" w:hAnsi="Times New Roman" w:eastAsia="方正仿宋_GBK"/>
          <w:vanish/>
          <w:color w:val="000000" w:themeColor="text1"/>
          <w:sz w:val="32"/>
          <w:szCs w:val="32"/>
        </w:rPr>
        <w:t>颁布分布分布</w:t>
      </w:r>
      <w:r>
        <w:rPr>
          <w:rFonts w:ascii="Times New Roman" w:hAnsi="Times New Roman" w:eastAsia="方正仿宋_GBK"/>
          <w:color w:val="000000" w:themeColor="text1"/>
          <w:sz w:val="32"/>
          <w:szCs w:val="32"/>
        </w:rPr>
        <w:t>省16个先进制造业集群。（3分）</w:t>
      </w:r>
    </w:p>
    <w:p>
      <w:pPr>
        <w:overflowPunct w:val="0"/>
        <w:spacing w:line="590" w:lineRule="exact"/>
        <w:ind w:firstLine="64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C</w:t>
      </w:r>
      <w:r>
        <w:rPr>
          <w:rFonts w:hint="eastAsia" w:ascii="Times New Roman" w:hAnsi="Times New Roman" w:eastAsia="方正仿宋_GBK"/>
          <w:color w:val="000000" w:themeColor="text1"/>
          <w:sz w:val="32"/>
          <w:szCs w:val="32"/>
        </w:rPr>
        <w:t>.分布在江苏省“</w:t>
      </w:r>
      <w:r>
        <w:rPr>
          <w:rFonts w:ascii="Times New Roman" w:hAnsi="Times New Roman" w:eastAsia="方正仿宋_GBK"/>
          <w:color w:val="000000" w:themeColor="text1"/>
          <w:sz w:val="32"/>
          <w:szCs w:val="32"/>
        </w:rPr>
        <w:t>1650</w:t>
      </w:r>
      <w:r>
        <w:rPr>
          <w:rFonts w:hint="eastAsia" w:ascii="Times New Roman" w:hAnsi="Times New Roman" w:eastAsia="方正仿宋_GBK"/>
          <w:color w:val="000000" w:themeColor="text1"/>
          <w:sz w:val="32"/>
          <w:szCs w:val="32"/>
        </w:rPr>
        <w:t>”产业体系5</w:t>
      </w:r>
      <w:r>
        <w:rPr>
          <w:rFonts w:ascii="Times New Roman" w:hAnsi="Times New Roman" w:eastAsia="方正仿宋_GBK"/>
          <w:color w:val="000000" w:themeColor="text1"/>
          <w:sz w:val="32"/>
          <w:szCs w:val="32"/>
        </w:rPr>
        <w:t>0</w:t>
      </w:r>
      <w:r>
        <w:rPr>
          <w:rFonts w:hint="eastAsia" w:ascii="Times New Roman" w:hAnsi="Times New Roman" w:eastAsia="方正仿宋_GBK"/>
          <w:color w:val="000000" w:themeColor="text1"/>
          <w:sz w:val="32"/>
          <w:szCs w:val="32"/>
        </w:rPr>
        <w:t>条重点产业链；其中卓越提升产业链3分、未来产业链和优势产业链2分。（按最高级别加分，最高得3分）</w:t>
      </w:r>
    </w:p>
    <w:p>
      <w:pPr>
        <w:spacing w:line="590" w:lineRule="exact"/>
        <w:ind w:firstLine="640" w:firstLineChars="200"/>
        <w:jc w:val="left"/>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rPr>
        <w:t>四</w:t>
      </w:r>
      <w:r>
        <w:rPr>
          <w:rFonts w:hint="eastAsia" w:ascii="黑体" w:hAnsi="黑体" w:eastAsia="黑体" w:cs="Times New Roman"/>
          <w:color w:val="000000" w:themeColor="text1"/>
          <w:sz w:val="32"/>
          <w:szCs w:val="32"/>
        </w:rPr>
        <w:t>、</w:t>
      </w:r>
      <w:r>
        <w:rPr>
          <w:rFonts w:ascii="黑体" w:hAnsi="黑体" w:eastAsia="黑体" w:cs="Times New Roman"/>
          <w:color w:val="000000" w:themeColor="text1"/>
          <w:sz w:val="32"/>
          <w:szCs w:val="32"/>
        </w:rPr>
        <w:t>创新能力指标（满分35分）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11.与企业主导产品相关的有效知识产权数量（满分10分）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w:t>
      </w:r>
      <w:r>
        <w:rPr>
          <w:rFonts w:hint="eastAsia" w:ascii="宋体" w:hAnsi="宋体" w:eastAsia="宋体" w:cs="宋体"/>
          <w:color w:val="000000" w:themeColor="text1"/>
          <w:sz w:val="32"/>
          <w:szCs w:val="32"/>
        </w:rPr>
        <w:t>Ⅰ</w:t>
      </w:r>
      <w:r>
        <w:rPr>
          <w:rFonts w:ascii="Times New Roman" w:hAnsi="Times New Roman" w:eastAsia="方正仿宋_GBK" w:cs="Times New Roman"/>
          <w:color w:val="000000" w:themeColor="text1"/>
          <w:sz w:val="32"/>
          <w:szCs w:val="32"/>
        </w:rPr>
        <w:t>类高价值知识产权1项以上（10分）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B.自主研发</w:t>
      </w:r>
      <w:r>
        <w:rPr>
          <w:rFonts w:hint="eastAsia" w:ascii="宋体" w:hAnsi="宋体" w:eastAsia="宋体" w:cs="宋体"/>
          <w:color w:val="000000" w:themeColor="text1"/>
          <w:sz w:val="32"/>
          <w:szCs w:val="32"/>
        </w:rPr>
        <w:t>Ⅰ</w:t>
      </w:r>
      <w:r>
        <w:rPr>
          <w:rFonts w:ascii="Times New Roman" w:hAnsi="Times New Roman" w:eastAsia="方正仿宋_GBK" w:cs="Times New Roman"/>
          <w:color w:val="000000" w:themeColor="text1"/>
          <w:sz w:val="32"/>
          <w:szCs w:val="32"/>
        </w:rPr>
        <w:t>类知识产权1项以上（8分）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w:t>
      </w:r>
      <w:r>
        <w:rPr>
          <w:rFonts w:hint="eastAsia" w:ascii="宋体" w:hAnsi="宋体" w:eastAsia="宋体" w:cs="宋体"/>
          <w:color w:val="000000" w:themeColor="text1"/>
          <w:sz w:val="32"/>
          <w:szCs w:val="32"/>
        </w:rPr>
        <w:t>Ⅰ</w:t>
      </w:r>
      <w:r>
        <w:rPr>
          <w:rFonts w:ascii="Times New Roman" w:hAnsi="Times New Roman" w:eastAsia="方正仿宋_GBK" w:cs="Times New Roman"/>
          <w:color w:val="000000" w:themeColor="text1"/>
          <w:sz w:val="32"/>
          <w:szCs w:val="32"/>
        </w:rPr>
        <w:t>类知识产权1项以上（6分）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w:t>
      </w:r>
      <w:r>
        <w:rPr>
          <w:rFonts w:hint="eastAsia" w:ascii="宋体" w:hAnsi="宋体" w:eastAsia="宋体" w:cs="宋体"/>
          <w:color w:val="000000" w:themeColor="text1"/>
          <w:sz w:val="32"/>
          <w:szCs w:val="32"/>
        </w:rPr>
        <w:t>Ⅱ</w:t>
      </w:r>
      <w:r>
        <w:rPr>
          <w:rFonts w:ascii="Times New Roman" w:hAnsi="Times New Roman" w:eastAsia="方正仿宋_GBK" w:cs="Times New Roman"/>
          <w:color w:val="000000" w:themeColor="text1"/>
          <w:sz w:val="32"/>
          <w:szCs w:val="32"/>
        </w:rPr>
        <w:t>类知识产权1项以上（2分）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E.无（0分）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12.上年度研发费用投入（满分10分）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A.研发费用总额500万元以上或研发费用总额占营业收入总额比重在10%以上（10分）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B.研发费用总额400-500万元或研发费用总额占营业收入总额比重在8%-10%（8分）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C.研发费用总额300-400万元或研发费用总额占营业收入总额比重在6%-8%（6分）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D.研发费用总额200-300万元或研发费用总额占营业收入总额比重在4%-6%（4分）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E.研发费用总额100-200万元或研发费用总额占营业收入总额比重在3%-4%（2分）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F.不属于以上情况（0分）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13.上年度研发人员占比（满分5分）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A.20%以上（5分）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B.10%-20%（3分）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C.5%-10%（1分）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D.5%以下（0分）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14.建立研发机构级别（满分10分）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A.国家级（10分）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B.省级（8分）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C.市级（4分）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D.市级以下（2分）</w:t>
      </w:r>
    </w:p>
    <w:p>
      <w:pPr>
        <w:spacing w:line="590" w:lineRule="exact"/>
        <w:ind w:firstLine="640" w:firstLineChars="200"/>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E.未建立研发机构（0分）</w:t>
      </w:r>
    </w:p>
    <w:p>
      <w:pPr>
        <w:widowControl/>
        <w:jc w:val="left"/>
        <w:rPr>
          <w:rFonts w:ascii="Times New Roman" w:hAnsi="Times New Roman" w:eastAsia="方正仿宋_GBK" w:cs="Times New Roman"/>
          <w:color w:val="000000" w:themeColor="text1"/>
          <w:sz w:val="32"/>
        </w:rPr>
      </w:pPr>
      <w:r>
        <w:rPr>
          <w:rFonts w:ascii="Times New Roman" w:hAnsi="Times New Roman" w:eastAsia="方正仿宋_GBK" w:cs="Times New Roman"/>
          <w:color w:val="000000" w:themeColor="text1"/>
          <w:sz w:val="32"/>
        </w:rPr>
        <w:br w:type="page"/>
      </w:r>
    </w:p>
    <w:p>
      <w:pP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附件</w:t>
      </w:r>
      <w:r>
        <w:rPr>
          <w:rFonts w:hint="eastAsia" w:ascii="Times New Roman" w:hAnsi="Times New Roman" w:eastAsia="方正仿宋_GBK" w:cs="Times New Roman"/>
          <w:color w:val="000000" w:themeColor="text1"/>
          <w:sz w:val="32"/>
          <w:szCs w:val="32"/>
        </w:rPr>
        <w:t>2</w:t>
      </w:r>
    </w:p>
    <w:p>
      <w:pPr>
        <w:pStyle w:val="6"/>
        <w:widowControl w:val="0"/>
        <w:shd w:val="clear" w:color="auto" w:fill="FFFFFF"/>
        <w:topLinePunct/>
        <w:adjustRightInd w:val="0"/>
        <w:snapToGrid w:val="0"/>
        <w:spacing w:before="0" w:beforeAutospacing="0" w:after="0" w:afterAutospacing="0" w:line="590" w:lineRule="exact"/>
        <w:rPr>
          <w:rStyle w:val="10"/>
          <w:rFonts w:ascii="方正小标宋_GBK" w:hAnsi="Times New Roman" w:eastAsia="方正小标宋_GBK" w:cs="Times New Roman"/>
          <w:b w:val="0"/>
          <w:color w:val="000000" w:themeColor="text1"/>
          <w:sz w:val="44"/>
          <w:szCs w:val="44"/>
        </w:rPr>
      </w:pPr>
    </w:p>
    <w:p>
      <w:pPr>
        <w:pStyle w:val="6"/>
        <w:widowControl w:val="0"/>
        <w:shd w:val="clear" w:color="auto" w:fill="FFFFFF"/>
        <w:topLinePunct/>
        <w:adjustRightInd w:val="0"/>
        <w:snapToGrid w:val="0"/>
        <w:spacing w:before="0" w:beforeAutospacing="0" w:after="0" w:afterAutospacing="0" w:line="590" w:lineRule="exact"/>
        <w:jc w:val="center"/>
        <w:rPr>
          <w:rFonts w:ascii="方正小标宋_GBK" w:hAnsi="Times New Roman" w:eastAsia="方正小标宋_GBK" w:cs="Times New Roman"/>
          <w:b/>
          <w:color w:val="000000" w:themeColor="text1"/>
          <w:sz w:val="44"/>
          <w:szCs w:val="44"/>
        </w:rPr>
      </w:pPr>
      <w:r>
        <w:rPr>
          <w:rStyle w:val="10"/>
          <w:rFonts w:hint="eastAsia" w:ascii="方正小标宋_GBK" w:hAnsi="Times New Roman" w:eastAsia="方正小标宋_GBK" w:cs="Times New Roman"/>
          <w:color w:val="000000" w:themeColor="text1"/>
          <w:sz w:val="44"/>
          <w:szCs w:val="44"/>
        </w:rPr>
        <w:t>部分指标和要求说明</w:t>
      </w:r>
    </w:p>
    <w:p>
      <w:pPr>
        <w:pStyle w:val="6"/>
        <w:widowControl w:val="0"/>
        <w:shd w:val="clear" w:color="auto" w:fill="FFFFFF"/>
        <w:overflowPunct w:val="0"/>
        <w:adjustRightInd w:val="0"/>
        <w:snapToGrid w:val="0"/>
        <w:spacing w:before="0" w:beforeAutospacing="0" w:after="0" w:afterAutospacing="0" w:line="590" w:lineRule="exact"/>
        <w:ind w:firstLine="640" w:firstLineChars="200"/>
        <w:rPr>
          <w:rFonts w:ascii="Times New Roman" w:hAnsi="Times New Roman" w:eastAsia="方正仿宋_GBK" w:cs="Times New Roman"/>
          <w:color w:val="000000" w:themeColor="text1"/>
          <w:sz w:val="32"/>
          <w:szCs w:val="32"/>
        </w:rPr>
      </w:pP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一、</w:t>
      </w:r>
      <w:r>
        <w:rPr>
          <w:rFonts w:ascii="Times New Roman" w:hAnsi="Times New Roman" w:eastAsia="方正仿宋_GBK" w:cs="Times New Roman"/>
          <w:color w:val="000000" w:themeColor="text1"/>
          <w:sz w:val="32"/>
          <w:szCs w:val="32"/>
        </w:rPr>
        <w:t>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二、</w:t>
      </w:r>
      <w:r>
        <w:rPr>
          <w:rFonts w:ascii="Times New Roman" w:hAnsi="Times New Roman" w:eastAsia="方正仿宋_GBK" w:cs="Times New Roman"/>
          <w:color w:val="000000" w:themeColor="text1"/>
          <w:sz w:val="32"/>
          <w:szCs w:val="32"/>
        </w:rPr>
        <w:t>所称拥有自主品牌是指主营业务产品或服务具有自主知识产权，且符合下列条件之一：</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1.产品或服务品牌已经国家知识产权局商标局正式注册。</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2.产品或服务已经实现收入。</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所称“</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类知识产权”包括发明专利（含国防专利）、植物新品种、国家级农作物品种、国家新药、国家一级中药保护品种、集成电路布图设计专有权（均不包含转让未满1年的知识产权）。</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所称“</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类高价值知识产权”须符合以下条件之一：</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1.在海外有同族专利权的发明专利或在海外取得收入的其他</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类知识产权，其中专利限G20成员、新加坡以及欧洲专利局经实质审查后获得授权的发明专利。</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2.维持年限超过10年的</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类知识产权。</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3.实现较高质押融资金额的</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类知识产权。</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4.获得国家科学技术奖或中国专利奖的</w:t>
      </w:r>
      <w:r>
        <w:rPr>
          <w:rFonts w:ascii="Times New Roman" w:hAnsi="Times New Roman" w:cs="Times New Roman"/>
          <w:color w:val="000000" w:themeColor="text1"/>
          <w:sz w:val="32"/>
          <w:szCs w:val="32"/>
        </w:rPr>
        <w:t>Ⅰ</w:t>
      </w:r>
      <w:r>
        <w:rPr>
          <w:rFonts w:ascii="Times New Roman" w:hAnsi="Times New Roman" w:eastAsia="方正仿宋_GBK" w:cs="Times New Roman"/>
          <w:color w:val="000000" w:themeColor="text1"/>
          <w:sz w:val="32"/>
          <w:szCs w:val="32"/>
        </w:rPr>
        <w:t>类知识产权。</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五、</w:t>
      </w:r>
      <w:r>
        <w:rPr>
          <w:rFonts w:ascii="Times New Roman" w:hAnsi="Times New Roman" w:eastAsia="方正仿宋_GBK" w:cs="Times New Roman"/>
          <w:color w:val="000000" w:themeColor="text1"/>
          <w:sz w:val="32"/>
          <w:szCs w:val="32"/>
        </w:rPr>
        <w:t>所称“</w:t>
      </w:r>
      <w:r>
        <w:rPr>
          <w:rFonts w:ascii="Times New Roman" w:hAnsi="Times New Roman" w:cs="Times New Roman"/>
          <w:color w:val="000000" w:themeColor="text1"/>
          <w:sz w:val="32"/>
          <w:szCs w:val="32"/>
        </w:rPr>
        <w:t>Ⅱ</w:t>
      </w:r>
      <w:r>
        <w:rPr>
          <w:rFonts w:ascii="Times New Roman" w:hAnsi="Times New Roman" w:eastAsia="方正仿宋_GBK" w:cs="Times New Roman"/>
          <w:color w:val="000000" w:themeColor="text1"/>
          <w:sz w:val="32"/>
          <w:szCs w:val="32"/>
        </w:rPr>
        <w:t>类知识产权”包括与主导产品相关的软件著作权（不含商标）、授权后维持超过2年的实用新型专利或外观设计专利（均不包含转让未满1年的知识产权）。</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六、</w:t>
      </w:r>
      <w:r>
        <w:rPr>
          <w:rFonts w:ascii="Times New Roman" w:hAnsi="Times New Roman" w:eastAsia="方正仿宋_GBK" w:cs="Times New Roman"/>
          <w:color w:val="000000" w:themeColor="text1"/>
          <w:sz w:val="32"/>
          <w:szCs w:val="32"/>
        </w:rPr>
        <w:t>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七、</w:t>
      </w:r>
      <w:r>
        <w:rPr>
          <w:rFonts w:ascii="Times New Roman" w:hAnsi="Times New Roman" w:eastAsia="方正仿宋_GBK" w:cs="Times New Roman"/>
          <w:color w:val="000000" w:themeColor="text1"/>
          <w:sz w:val="32"/>
          <w:szCs w:val="32"/>
        </w:rPr>
        <w:t>所称“股权融资”是指公司股东稀释部分公司股权给投资人，以增资扩股（出让股权不超过30%）的方式引进新的股东，从而取得公司融资的方式。</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八、</w:t>
      </w:r>
      <w:r>
        <w:rPr>
          <w:rFonts w:ascii="Times New Roman" w:hAnsi="Times New Roman" w:eastAsia="方正仿宋_GBK" w:cs="Times New Roman"/>
          <w:color w:val="000000" w:themeColor="text1"/>
          <w:sz w:val="32"/>
          <w:szCs w:val="32"/>
        </w:rPr>
        <w:t>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九、</w:t>
      </w:r>
      <w:r>
        <w:rPr>
          <w:rFonts w:ascii="Times New Roman" w:hAnsi="Times New Roman" w:eastAsia="方正仿宋_GBK" w:cs="Times New Roman"/>
          <w:color w:val="000000" w:themeColor="text1"/>
          <w:sz w:val="32"/>
          <w:szCs w:val="32"/>
        </w:rPr>
        <w:t>所称“主导产品”是指企业核心技术在产品中发挥重要作用，且产品收入之和占企业同期营业收入比重超过50%。</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所称“主导产品在全国细分市场占有率达10%以上，且享有较高知名度和影响力”可通过企业自证或其他方式佐证。</w:t>
      </w:r>
    </w:p>
    <w:p>
      <w:pPr>
        <w:spacing w:before="232" w:line="357" w:lineRule="auto"/>
        <w:ind w:right="33" w:firstLine="759"/>
        <w:rPr>
          <w:rFonts w:ascii="仿宋" w:hAnsi="仿宋" w:eastAsia="仿宋" w:cs="仿宋"/>
          <w:color w:val="000000" w:themeColor="text1"/>
          <w:sz w:val="31"/>
          <w:szCs w:val="31"/>
        </w:rPr>
      </w:pP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一、</w:t>
      </w:r>
      <w:r>
        <w:rPr>
          <w:rFonts w:hint="eastAsia" w:ascii="仿宋" w:hAnsi="仿宋" w:eastAsia="仿宋" w:cs="仿宋"/>
          <w:color w:val="000000" w:themeColor="text1"/>
          <w:spacing w:val="-1"/>
          <w:sz w:val="31"/>
          <w:szCs w:val="31"/>
        </w:rPr>
        <w:t>所称“企业数字化转型水平”是指在工信部优质</w:t>
      </w:r>
      <w:r>
        <w:rPr>
          <w:rFonts w:hint="eastAsia" w:ascii="仿宋" w:hAnsi="仿宋" w:eastAsia="仿宋" w:cs="仿宋"/>
          <w:color w:val="000000" w:themeColor="text1"/>
          <w:spacing w:val="-2"/>
          <w:sz w:val="31"/>
          <w:szCs w:val="31"/>
        </w:rPr>
        <w:t>中小企</w:t>
      </w:r>
      <w:r>
        <w:rPr>
          <w:rFonts w:hint="eastAsia" w:ascii="仿宋" w:hAnsi="仿宋" w:eastAsia="仿宋" w:cs="仿宋"/>
          <w:color w:val="000000" w:themeColor="text1"/>
          <w:sz w:val="31"/>
          <w:szCs w:val="31"/>
        </w:rPr>
        <w:t xml:space="preserve"> </w:t>
      </w:r>
      <w:r>
        <w:rPr>
          <w:rFonts w:hint="eastAsia" w:ascii="仿宋" w:hAnsi="仿宋" w:eastAsia="仿宋" w:cs="仿宋"/>
          <w:color w:val="000000" w:themeColor="text1"/>
          <w:spacing w:val="-27"/>
          <w:sz w:val="31"/>
          <w:szCs w:val="31"/>
        </w:rPr>
        <w:t>业 梯</w:t>
      </w:r>
      <w:r>
        <w:rPr>
          <w:rFonts w:hint="eastAsia" w:ascii="仿宋" w:hAnsi="仿宋" w:eastAsia="仿宋" w:cs="仿宋"/>
          <w:color w:val="000000" w:themeColor="text1"/>
          <w:spacing w:val="-17"/>
          <w:sz w:val="31"/>
          <w:szCs w:val="31"/>
        </w:rPr>
        <w:t xml:space="preserve"> </w:t>
      </w:r>
      <w:r>
        <w:rPr>
          <w:rFonts w:hint="eastAsia" w:ascii="仿宋" w:hAnsi="仿宋" w:eastAsia="仿宋" w:cs="仿宋"/>
          <w:color w:val="000000" w:themeColor="text1"/>
          <w:spacing w:val="-27"/>
          <w:sz w:val="31"/>
          <w:szCs w:val="31"/>
        </w:rPr>
        <w:t>度</w:t>
      </w:r>
      <w:r>
        <w:rPr>
          <w:rFonts w:hint="eastAsia" w:ascii="仿宋" w:hAnsi="仿宋" w:eastAsia="仿宋" w:cs="仿宋"/>
          <w:color w:val="000000" w:themeColor="text1"/>
          <w:spacing w:val="-33"/>
          <w:sz w:val="31"/>
          <w:szCs w:val="31"/>
        </w:rPr>
        <w:t xml:space="preserve"> </w:t>
      </w:r>
      <w:r>
        <w:rPr>
          <w:rFonts w:hint="eastAsia" w:ascii="仿宋" w:hAnsi="仿宋" w:eastAsia="仿宋" w:cs="仿宋"/>
          <w:color w:val="000000" w:themeColor="text1"/>
          <w:spacing w:val="-27"/>
          <w:sz w:val="31"/>
          <w:szCs w:val="31"/>
        </w:rPr>
        <w:t>培</w:t>
      </w:r>
      <w:r>
        <w:rPr>
          <w:rFonts w:hint="eastAsia" w:ascii="仿宋" w:hAnsi="仿宋" w:eastAsia="仿宋" w:cs="仿宋"/>
          <w:color w:val="000000" w:themeColor="text1"/>
          <w:spacing w:val="-26"/>
          <w:sz w:val="31"/>
          <w:szCs w:val="31"/>
        </w:rPr>
        <w:t xml:space="preserve"> </w:t>
      </w:r>
      <w:r>
        <w:rPr>
          <w:rFonts w:hint="eastAsia" w:ascii="仿宋" w:hAnsi="仿宋" w:eastAsia="仿宋" w:cs="仿宋"/>
          <w:color w:val="000000" w:themeColor="text1"/>
          <w:spacing w:val="-27"/>
          <w:sz w:val="31"/>
          <w:szCs w:val="31"/>
        </w:rPr>
        <w:t>育</w:t>
      </w:r>
      <w:r>
        <w:rPr>
          <w:rFonts w:hint="eastAsia" w:ascii="仿宋" w:hAnsi="仿宋" w:eastAsia="仿宋" w:cs="仿宋"/>
          <w:color w:val="000000" w:themeColor="text1"/>
          <w:spacing w:val="-35"/>
          <w:sz w:val="31"/>
          <w:szCs w:val="31"/>
        </w:rPr>
        <w:t xml:space="preserve"> </w:t>
      </w:r>
      <w:r>
        <w:rPr>
          <w:rFonts w:hint="eastAsia" w:ascii="仿宋" w:hAnsi="仿宋" w:eastAsia="仿宋" w:cs="仿宋"/>
          <w:color w:val="000000" w:themeColor="text1"/>
          <w:spacing w:val="-27"/>
          <w:sz w:val="31"/>
          <w:szCs w:val="31"/>
        </w:rPr>
        <w:t>平 台</w:t>
      </w:r>
      <w:r>
        <w:rPr>
          <w:rFonts w:hint="eastAsia" w:ascii="仿宋" w:hAnsi="仿宋" w:eastAsia="仿宋" w:cs="仿宋"/>
          <w:color w:val="000000" w:themeColor="text1"/>
          <w:spacing w:val="-28"/>
          <w:sz w:val="31"/>
          <w:szCs w:val="31"/>
        </w:rPr>
        <w:t xml:space="preserve"> </w:t>
      </w:r>
      <w:r>
        <w:rPr>
          <w:rFonts w:hint="eastAsia" w:ascii="仿宋" w:hAnsi="仿宋" w:eastAsia="仿宋" w:cs="仿宋"/>
          <w:color w:val="000000" w:themeColor="text1"/>
          <w:spacing w:val="-27"/>
          <w:sz w:val="31"/>
          <w:szCs w:val="31"/>
        </w:rPr>
        <w:t>完</w:t>
      </w:r>
      <w:r>
        <w:rPr>
          <w:rFonts w:hint="eastAsia" w:ascii="仿宋" w:hAnsi="仿宋" w:eastAsia="仿宋" w:cs="仿宋"/>
          <w:color w:val="000000" w:themeColor="text1"/>
          <w:spacing w:val="-30"/>
          <w:sz w:val="31"/>
          <w:szCs w:val="31"/>
        </w:rPr>
        <w:t xml:space="preserve"> </w:t>
      </w:r>
      <w:r>
        <w:rPr>
          <w:rFonts w:hint="eastAsia" w:ascii="仿宋" w:hAnsi="仿宋" w:eastAsia="仿宋" w:cs="仿宋"/>
          <w:color w:val="000000" w:themeColor="text1"/>
          <w:spacing w:val="-27"/>
          <w:sz w:val="31"/>
          <w:szCs w:val="31"/>
        </w:rPr>
        <w:t>成</w:t>
      </w:r>
      <w:r>
        <w:rPr>
          <w:rFonts w:hint="eastAsia" w:ascii="仿宋" w:hAnsi="仿宋" w:eastAsia="仿宋" w:cs="仿宋"/>
          <w:color w:val="000000" w:themeColor="text1"/>
          <w:spacing w:val="-35"/>
          <w:sz w:val="31"/>
          <w:szCs w:val="31"/>
        </w:rPr>
        <w:t xml:space="preserve"> </w:t>
      </w:r>
      <w:r>
        <w:rPr>
          <w:rFonts w:hint="eastAsia" w:ascii="仿宋" w:hAnsi="仿宋" w:eastAsia="仿宋" w:cs="仿宋"/>
          <w:color w:val="000000" w:themeColor="text1"/>
          <w:spacing w:val="-27"/>
          <w:sz w:val="31"/>
          <w:szCs w:val="31"/>
        </w:rPr>
        <w:t>数 字</w:t>
      </w:r>
      <w:r>
        <w:rPr>
          <w:rFonts w:hint="eastAsia" w:ascii="仿宋" w:hAnsi="仿宋" w:eastAsia="仿宋" w:cs="仿宋"/>
          <w:color w:val="000000" w:themeColor="text1"/>
          <w:spacing w:val="-33"/>
          <w:sz w:val="31"/>
          <w:szCs w:val="31"/>
        </w:rPr>
        <w:t xml:space="preserve"> </w:t>
      </w:r>
      <w:r>
        <w:rPr>
          <w:rFonts w:hint="eastAsia" w:ascii="仿宋" w:hAnsi="仿宋" w:eastAsia="仿宋" w:cs="仿宋"/>
          <w:color w:val="000000" w:themeColor="text1"/>
          <w:spacing w:val="-27"/>
          <w:sz w:val="31"/>
          <w:szCs w:val="31"/>
        </w:rPr>
        <w:t>化</w:t>
      </w:r>
      <w:r>
        <w:rPr>
          <w:rFonts w:hint="eastAsia" w:ascii="仿宋" w:hAnsi="仿宋" w:eastAsia="仿宋" w:cs="仿宋"/>
          <w:color w:val="000000" w:themeColor="text1"/>
          <w:spacing w:val="-36"/>
          <w:sz w:val="31"/>
          <w:szCs w:val="31"/>
        </w:rPr>
        <w:t xml:space="preserve"> </w:t>
      </w:r>
      <w:r>
        <w:rPr>
          <w:rFonts w:hint="eastAsia" w:ascii="仿宋" w:hAnsi="仿宋" w:eastAsia="仿宋" w:cs="仿宋"/>
          <w:color w:val="000000" w:themeColor="text1"/>
          <w:spacing w:val="-27"/>
          <w:sz w:val="31"/>
          <w:szCs w:val="31"/>
        </w:rPr>
        <w:t>水</w:t>
      </w:r>
      <w:r>
        <w:rPr>
          <w:rFonts w:hint="eastAsia" w:ascii="仿宋" w:hAnsi="仿宋" w:eastAsia="仿宋" w:cs="仿宋"/>
          <w:color w:val="000000" w:themeColor="text1"/>
          <w:spacing w:val="-34"/>
          <w:sz w:val="31"/>
          <w:szCs w:val="31"/>
        </w:rPr>
        <w:t xml:space="preserve"> </w:t>
      </w:r>
      <w:r>
        <w:rPr>
          <w:rFonts w:hint="eastAsia" w:ascii="仿宋" w:hAnsi="仿宋" w:eastAsia="仿宋" w:cs="仿宋"/>
          <w:color w:val="000000" w:themeColor="text1"/>
          <w:spacing w:val="-27"/>
          <w:sz w:val="31"/>
          <w:szCs w:val="31"/>
        </w:rPr>
        <w:t>平</w:t>
      </w:r>
      <w:r>
        <w:rPr>
          <w:rFonts w:hint="eastAsia" w:ascii="仿宋" w:hAnsi="仿宋" w:eastAsia="仿宋" w:cs="仿宋"/>
          <w:color w:val="000000" w:themeColor="text1"/>
          <w:spacing w:val="-24"/>
          <w:sz w:val="31"/>
          <w:szCs w:val="31"/>
        </w:rPr>
        <w:t xml:space="preserve"> </w:t>
      </w:r>
      <w:r>
        <w:rPr>
          <w:rFonts w:hint="eastAsia" w:ascii="仿宋" w:hAnsi="仿宋" w:eastAsia="仿宋" w:cs="仿宋"/>
          <w:color w:val="000000" w:themeColor="text1"/>
          <w:spacing w:val="-27"/>
          <w:sz w:val="31"/>
          <w:szCs w:val="31"/>
        </w:rPr>
        <w:t>免</w:t>
      </w:r>
      <w:r>
        <w:rPr>
          <w:rFonts w:hint="eastAsia" w:ascii="仿宋" w:hAnsi="仿宋" w:eastAsia="仿宋" w:cs="仿宋"/>
          <w:color w:val="000000" w:themeColor="text1"/>
          <w:spacing w:val="-25"/>
          <w:sz w:val="31"/>
          <w:szCs w:val="31"/>
        </w:rPr>
        <w:t xml:space="preserve"> </w:t>
      </w:r>
      <w:r>
        <w:rPr>
          <w:rFonts w:hint="eastAsia" w:ascii="仿宋" w:hAnsi="仿宋" w:eastAsia="仿宋" w:cs="仿宋"/>
          <w:color w:val="000000" w:themeColor="text1"/>
          <w:spacing w:val="-27"/>
          <w:sz w:val="31"/>
          <w:szCs w:val="31"/>
        </w:rPr>
        <w:t>费</w:t>
      </w:r>
      <w:r>
        <w:rPr>
          <w:rFonts w:hint="eastAsia" w:ascii="仿宋" w:hAnsi="仿宋" w:eastAsia="仿宋" w:cs="仿宋"/>
          <w:color w:val="000000" w:themeColor="text1"/>
          <w:spacing w:val="24"/>
          <w:sz w:val="31"/>
          <w:szCs w:val="31"/>
        </w:rPr>
        <w:t xml:space="preserve"> </w:t>
      </w:r>
      <w:r>
        <w:rPr>
          <w:rFonts w:hint="eastAsia" w:ascii="仿宋" w:hAnsi="仿宋" w:eastAsia="仿宋" w:cs="仿宋"/>
          <w:color w:val="000000" w:themeColor="text1"/>
          <w:spacing w:val="-27"/>
          <w:sz w:val="31"/>
          <w:szCs w:val="31"/>
        </w:rPr>
        <w:t>自</w:t>
      </w:r>
      <w:r>
        <w:rPr>
          <w:rFonts w:hint="eastAsia" w:ascii="仿宋" w:hAnsi="仿宋" w:eastAsia="仿宋" w:cs="仿宋"/>
          <w:color w:val="000000" w:themeColor="text1"/>
          <w:spacing w:val="-34"/>
          <w:sz w:val="31"/>
          <w:szCs w:val="31"/>
        </w:rPr>
        <w:t xml:space="preserve"> </w:t>
      </w:r>
      <w:r>
        <w:rPr>
          <w:rFonts w:hint="eastAsia" w:ascii="仿宋" w:hAnsi="仿宋" w:eastAsia="仿宋" w:cs="仿宋"/>
          <w:color w:val="000000" w:themeColor="text1"/>
          <w:spacing w:val="-27"/>
          <w:sz w:val="31"/>
          <w:szCs w:val="31"/>
        </w:rPr>
        <w:t>测 ( 网 址</w:t>
      </w:r>
      <w:r>
        <w:rPr>
          <w:rFonts w:hint="eastAsia" w:ascii="仿宋" w:hAnsi="仿宋" w:eastAsia="仿宋" w:cs="仿宋"/>
          <w:color w:val="000000" w:themeColor="text1"/>
          <w:spacing w:val="-55"/>
          <w:sz w:val="31"/>
          <w:szCs w:val="31"/>
        </w:rPr>
        <w:t xml:space="preserve"> </w:t>
      </w:r>
      <w:r>
        <w:rPr>
          <w:rFonts w:hint="eastAsia" w:ascii="仿宋" w:hAnsi="仿宋" w:eastAsia="仿宋" w:cs="仿宋"/>
          <w:color w:val="000000" w:themeColor="text1"/>
          <w:spacing w:val="-27"/>
          <w:sz w:val="31"/>
          <w:szCs w:val="31"/>
        </w:rPr>
        <w:t>：</w:t>
      </w:r>
      <w:r>
        <w:fldChar w:fldCharType="begin"/>
      </w:r>
      <w:r>
        <w:instrText xml:space="preserve"> HYPERLINK "http://caii-sme.indusforce.com/" \l "/Selftest" </w:instrText>
      </w:r>
      <w:r>
        <w:fldChar w:fldCharType="separate"/>
      </w:r>
      <w:r>
        <w:rPr>
          <w:rStyle w:val="11"/>
          <w:rFonts w:ascii="Times New Roman" w:hAnsi="Times New Roman" w:eastAsia="Times New Roman" w:cs="Times New Roman"/>
          <w:color w:val="000000" w:themeColor="text1"/>
          <w:sz w:val="31"/>
          <w:szCs w:val="31"/>
        </w:rPr>
        <w:t>http://caii-sme.indusforce.com/#/</w:t>
      </w:r>
      <w:r>
        <w:rPr>
          <w:rStyle w:val="11"/>
          <w:rFonts w:ascii="Times New Roman" w:hAnsi="Times New Roman" w:eastAsia="Times New Roman" w:cs="Times New Roman"/>
          <w:color w:val="000000" w:themeColor="text1"/>
          <w:spacing w:val="-1"/>
          <w:sz w:val="31"/>
          <w:szCs w:val="31"/>
        </w:rPr>
        <w:t>Selftest</w:t>
      </w:r>
      <w:r>
        <w:rPr>
          <w:rStyle w:val="11"/>
          <w:rFonts w:ascii="Times New Roman" w:hAnsi="Times New Roman" w:eastAsia="Times New Roman" w:cs="Times New Roman"/>
          <w:color w:val="000000" w:themeColor="text1"/>
          <w:spacing w:val="-1"/>
          <w:sz w:val="31"/>
          <w:szCs w:val="31"/>
        </w:rPr>
        <w:fldChar w:fldCharType="end"/>
      </w:r>
      <w:r>
        <w:rPr>
          <w:rFonts w:ascii="Times New Roman" w:hAnsi="Times New Roman" w:eastAsia="Times New Roman" w:cs="Times New Roman"/>
          <w:color w:val="000000" w:themeColor="text1"/>
          <w:spacing w:val="-1"/>
          <w:sz w:val="31"/>
          <w:szCs w:val="31"/>
        </w:rPr>
        <w:t>)</w:t>
      </w:r>
      <w:r>
        <w:rPr>
          <w:rFonts w:hint="eastAsia" w:ascii="宋体" w:hAnsi="宋体" w:eastAsia="宋体" w:cs="宋体"/>
          <w:color w:val="000000" w:themeColor="text1"/>
          <w:spacing w:val="-1"/>
          <w:sz w:val="31"/>
          <w:szCs w:val="31"/>
        </w:rPr>
        <w:t>。</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十二、</w:t>
      </w:r>
      <w:r>
        <w:rPr>
          <w:rFonts w:ascii="Times New Roman" w:hAnsi="Times New Roman" w:eastAsia="方正仿宋_GBK" w:cs="Times New Roman"/>
          <w:color w:val="000000" w:themeColor="text1"/>
          <w:sz w:val="32"/>
          <w:szCs w:val="32"/>
        </w:rPr>
        <w:t>如无特殊说明，所称“以上”、“以下”，包括本数;所称的“超过”，不包括本数。在计算评价指标得分时，如指标值位于两个评分区间边界上，按高分计算得分。</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本办法部分指标计算公式</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近2年主营业务收入平均增长率=（企业上一年度主营业务收入增长率+企业上上年度主营业务收入增长率）/2。</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企业上一年度主营业务收入增长率=（企业上一年度主营业务收入总额-企业上上年度主营业务收入总额）/企业上上年度主营业务收入总额*100%。其他年度主营业务收入增长率计算方法以此类推。</w:t>
      </w:r>
    </w:p>
    <w:p>
      <w:pPr>
        <w:pStyle w:val="6"/>
        <w:widowControl w:val="0"/>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所称“被列入经营异常名录”以国家企业信用信息公示系统（http：//www.gsxt.gov.cn）查询结果为准;所称“严重失信主体名单”以信用中国（http：//www.creditchina.gov.cn）查询结果为准。</w:t>
      </w:r>
    </w:p>
    <w:p>
      <w:pPr>
        <w:overflowPunct w:val="0"/>
        <w:adjustRightInd w:val="0"/>
        <w:snapToGrid w:val="0"/>
        <w:spacing w:line="590" w:lineRule="exact"/>
        <w:ind w:firstLine="64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十</w:t>
      </w:r>
      <w:r>
        <w:rPr>
          <w:rFonts w:hint="eastAsia" w:ascii="Times New Roman" w:hAnsi="Times New Roman" w:eastAsia="方正仿宋_GBK"/>
          <w:color w:val="000000" w:themeColor="text1"/>
          <w:sz w:val="32"/>
          <w:szCs w:val="32"/>
        </w:rPr>
        <w:t>五、</w:t>
      </w:r>
      <w:r>
        <w:rPr>
          <w:rFonts w:ascii="Times New Roman" w:hAnsi="Times New Roman" w:eastAsia="方正仿宋_GBK"/>
          <w:color w:val="000000" w:themeColor="text1"/>
          <w:sz w:val="32"/>
          <w:szCs w:val="32"/>
        </w:rPr>
        <w:t>制造强国战略十大重点产业领域包括：</w:t>
      </w:r>
      <w:r>
        <w:rPr>
          <w:rFonts w:hint="eastAsia" w:ascii="Times New Roman" w:hAnsi="Times New Roman" w:eastAsia="方正仿宋_GBK"/>
          <w:color w:val="000000" w:themeColor="text1"/>
          <w:sz w:val="32"/>
          <w:szCs w:val="32"/>
        </w:rPr>
        <w:t>新一代信息技术、高档数控机床和机器人、航空航天装备、海洋工程装备及高技术船舶、先进轨道交通装备、节能与新能源汽车、电力装备、新材料、生物医药及高性能医疗器械、农业机械装备十大领域。</w:t>
      </w:r>
    </w:p>
    <w:p>
      <w:pPr>
        <w:widowControl/>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十</w:t>
      </w:r>
      <w:r>
        <w:rPr>
          <w:rFonts w:hint="eastAsia" w:ascii="Times New Roman" w:hAnsi="Times New Roman" w:eastAsia="方正仿宋_GBK"/>
          <w:color w:val="000000" w:themeColor="text1"/>
          <w:sz w:val="32"/>
          <w:szCs w:val="32"/>
        </w:rPr>
        <w:t>六、</w:t>
      </w:r>
      <w:r>
        <w:rPr>
          <w:rFonts w:ascii="Times New Roman" w:hAnsi="Times New Roman" w:eastAsia="方正仿宋_GBK"/>
          <w:color w:val="000000" w:themeColor="text1"/>
          <w:sz w:val="32"/>
          <w:szCs w:val="32"/>
        </w:rPr>
        <w:t>江苏省</w:t>
      </w:r>
      <w:r>
        <w:rPr>
          <w:rFonts w:hint="eastAsia" w:ascii="Times New Roman" w:hAnsi="Times New Roman" w:eastAsia="方正仿宋_GBK"/>
          <w:color w:val="000000" w:themeColor="text1"/>
          <w:sz w:val="32"/>
          <w:szCs w:val="32"/>
        </w:rPr>
        <w:t>“1650”产业体系中</w:t>
      </w:r>
      <w:r>
        <w:rPr>
          <w:rFonts w:ascii="Times New Roman" w:hAnsi="Times New Roman" w:eastAsia="方正仿宋_GBK"/>
          <w:color w:val="000000" w:themeColor="text1"/>
          <w:sz w:val="32"/>
          <w:szCs w:val="32"/>
        </w:rPr>
        <w:t>16个先进制造业集群包括：</w:t>
      </w:r>
      <w:r>
        <w:rPr>
          <w:rFonts w:hint="eastAsia" w:ascii="Times New Roman" w:hAnsi="Times New Roman" w:eastAsia="方正仿宋_GBK"/>
          <w:color w:val="000000" w:themeColor="text1"/>
          <w:sz w:val="32"/>
          <w:szCs w:val="32"/>
        </w:rPr>
        <w:t>新型电力和新能源装备、工程机械和农业机械、物联网、高端新材料、高端纺织、生物医药、新型医疗器械、集成电路与新型显示、信息通信、新能源（智能网联）汽车、高端装备、高技术船舶和海洋工程装备、节能环保、绿色食品、核心软件、新兴数字产业；5</w:t>
      </w:r>
      <w:r>
        <w:rPr>
          <w:rFonts w:ascii="Times New Roman" w:hAnsi="Times New Roman" w:eastAsia="方正仿宋_GBK"/>
          <w:color w:val="000000" w:themeColor="text1"/>
          <w:sz w:val="32"/>
          <w:szCs w:val="32"/>
        </w:rPr>
        <w:t>0</w:t>
      </w:r>
      <w:r>
        <w:rPr>
          <w:rFonts w:hint="eastAsia" w:ascii="Times New Roman" w:hAnsi="Times New Roman" w:eastAsia="方正仿宋_GBK"/>
          <w:color w:val="000000" w:themeColor="text1"/>
          <w:sz w:val="32"/>
          <w:szCs w:val="32"/>
        </w:rPr>
        <w:t>条重点产业链包括：智能电网</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、晶硅光伏</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、风电装备、氢能</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、储能</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、工业互联网、车联网</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、传感器、智能家居、生物药</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、化学药、中药、医疗器械、品牌服装家纺</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、化学纤维、先进碳材料、纳米新材料</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、先进金属材料、化工新材料、绿色建筑材料、集成电路</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、新型显示、第三代半导体</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、工程机械</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、农机装备、工业母机、机器人、轨道交通装备、“两机”、大飞机配套、卫星</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、高技术船舶</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、海洋工程装备、电动汽车、动力电池</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、汽车零部件、氢燃料电池汽车</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、5</w:t>
      </w:r>
      <w:r>
        <w:rPr>
          <w:rFonts w:ascii="Times New Roman" w:hAnsi="Times New Roman" w:eastAsia="方正仿宋_GBK"/>
          <w:color w:val="000000" w:themeColor="text1"/>
          <w:sz w:val="32"/>
          <w:szCs w:val="32"/>
        </w:rPr>
        <w:t>G</w:t>
      </w:r>
      <w:r>
        <w:rPr>
          <w:rFonts w:hint="eastAsia" w:ascii="Times New Roman" w:hAnsi="Times New Roman" w:eastAsia="方正仿宋_GBK"/>
          <w:color w:val="000000" w:themeColor="text1"/>
          <w:sz w:val="32"/>
          <w:szCs w:val="32"/>
        </w:rPr>
        <w:t>、光通信、先进通信</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、先进节能环保装备、预制菜、酿造、功能性食品、工业软件、信息技术应用创新、大数据与云计算</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、区块链</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、元宇宙</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、人工智能</w:t>
      </w:r>
      <w:r>
        <w:rPr>
          <w:rFonts w:hint="eastAsia" w:ascii="MS Gothic" w:hAnsi="MS Gothic" w:eastAsia="MS Gothic" w:cs="MS Gothic"/>
          <w:color w:val="000000" w:themeColor="text1"/>
          <w:sz w:val="32"/>
          <w:szCs w:val="32"/>
        </w:rPr>
        <w:t>ⓑ</w:t>
      </w:r>
      <w:r>
        <w:rPr>
          <w:rFonts w:hint="eastAsia" w:ascii="Times New Roman" w:hAnsi="Times New Roman" w:eastAsia="方正仿宋_GBK"/>
          <w:color w:val="000000" w:themeColor="text1"/>
          <w:sz w:val="32"/>
          <w:szCs w:val="32"/>
        </w:rPr>
        <w:t>。（注：标</w:t>
      </w:r>
      <w:r>
        <w:rPr>
          <w:rFonts w:hint="eastAsia" w:ascii="MS Gothic" w:hAnsi="MS Gothic" w:eastAsia="MS Gothic" w:cs="MS Gothic"/>
          <w:color w:val="000000" w:themeColor="text1"/>
          <w:sz w:val="32"/>
          <w:szCs w:val="32"/>
        </w:rPr>
        <w:t>ⓐ</w:t>
      </w:r>
      <w:r>
        <w:rPr>
          <w:rFonts w:hint="eastAsia" w:ascii="方正仿宋_GBK" w:hAnsi="方正仿宋_GBK" w:eastAsia="方正仿宋_GBK" w:cs="方正仿宋_GBK"/>
          <w:color w:val="000000" w:themeColor="text1"/>
          <w:sz w:val="32"/>
          <w:szCs w:val="32"/>
        </w:rPr>
        <w:t>为卓越产业链，标</w:t>
      </w:r>
      <w:r>
        <w:rPr>
          <w:rFonts w:hint="eastAsia" w:ascii="MS Gothic" w:hAnsi="MS Gothic" w:eastAsia="MS Gothic" w:cs="MS Gothic"/>
          <w:color w:val="000000" w:themeColor="text1"/>
          <w:sz w:val="32"/>
          <w:szCs w:val="32"/>
        </w:rPr>
        <w:t>ⓑ</w:t>
      </w:r>
      <w:r>
        <w:rPr>
          <w:rFonts w:hint="eastAsia" w:ascii="方正仿宋_GBK" w:hAnsi="方正仿宋_GBK" w:eastAsia="方正仿宋_GBK" w:cs="方正仿宋_GBK"/>
          <w:color w:val="000000" w:themeColor="text1"/>
          <w:sz w:val="32"/>
          <w:szCs w:val="32"/>
        </w:rPr>
        <w:t>为未来产业链，其他为优势产业链</w:t>
      </w:r>
      <w:r>
        <w:rPr>
          <w:rFonts w:hint="eastAsia" w:ascii="Times New Roman" w:hAnsi="Times New Roman" w:eastAsia="方正仿宋_GBK"/>
          <w:color w:val="000000" w:themeColor="text1"/>
          <w:sz w:val="32"/>
          <w:szCs w:val="32"/>
        </w:rPr>
        <w:t>）</w:t>
      </w:r>
    </w:p>
    <w:p>
      <w:pPr>
        <w:spacing w:before="156" w:beforeLines="50" w:line="590" w:lineRule="exact"/>
        <w:rPr>
          <w:rFonts w:ascii="Times New Roman" w:hAnsi="Times New Roman" w:eastAsia="方正仿宋_GBK" w:cs="Times New Roman"/>
          <w:color w:val="000000" w:themeColor="text1"/>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BF7046-D37B-4216-9994-975C828BAA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1C0BEB2A-D16A-4E06-9E0C-D1451FD138EE}"/>
  </w:font>
  <w:font w:name="方正小标宋_GBK">
    <w:panose1 w:val="02000000000000000000"/>
    <w:charset w:val="86"/>
    <w:family w:val="script"/>
    <w:pitch w:val="default"/>
    <w:sig w:usb0="A00002BF" w:usb1="38CF7CFA" w:usb2="00082016" w:usb3="00000000" w:csb0="00040001" w:csb1="00000000"/>
    <w:embedRegular r:id="rId3" w:fontKey="{115ECE67-4CB7-4FAB-87A7-8873C70806C4}"/>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embedRegular r:id="rId4" w:fontKey="{98A53899-DC1D-4022-8AFA-0B10618780CD}"/>
  </w:font>
  <w:font w:name="方正仿宋_GBK">
    <w:altName w:val="微软雅黑"/>
    <w:panose1 w:val="03000509000000000000"/>
    <w:charset w:val="86"/>
    <w:family w:val="script"/>
    <w:pitch w:val="default"/>
    <w:sig w:usb0="00000000" w:usb1="00000000" w:usb2="00000010" w:usb3="00000000" w:csb0="00040000" w:csb1="00000000"/>
    <w:embedRegular r:id="rId5" w:fontKey="{A6DB3D56-F81C-459E-96BA-BE8EE1EEBC65}"/>
  </w:font>
  <w:font w:name="仿宋_GB2312">
    <w:altName w:val="仿宋"/>
    <w:panose1 w:val="00000000000000000000"/>
    <w:charset w:val="86"/>
    <w:family w:val="modern"/>
    <w:pitch w:val="default"/>
    <w:sig w:usb0="00000000" w:usb1="00000000" w:usb2="00000010" w:usb3="00000000" w:csb0="00040000" w:csb1="00000000"/>
  </w:font>
  <w:font w:name="Raleway">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6" w:fontKey="{796CDD0A-1DC0-4B37-B8CC-C0BA3C0AB8F2}"/>
  </w:font>
  <w:font w:name="MS Gothic">
    <w:panose1 w:val="020B0609070205080204"/>
    <w:charset w:val="80"/>
    <w:family w:val="modern"/>
    <w:pitch w:val="default"/>
    <w:sig w:usb0="E00002FF" w:usb1="6AC7FDFB" w:usb2="00000012" w:usb3="00000000" w:csb0="4002009F" w:csb1="DFD70000"/>
    <w:embedRegular r:id="rId7" w:fontKey="{D125B56A-CD9E-4A5A-A964-EA30349F141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521408"/>
      <w:docPartObj>
        <w:docPartGallery w:val="AutoText"/>
      </w:docPartObj>
    </w:sdtPr>
    <w:sdtEndPr>
      <w:rPr>
        <w:rFonts w:hint="eastAsia" w:ascii="方正仿宋_GBK" w:eastAsia="方正仿宋_GBK"/>
        <w:sz w:val="28"/>
        <w:szCs w:val="28"/>
      </w:rPr>
    </w:sdtEndPr>
    <w:sdtContent>
      <w:p>
        <w:pPr>
          <w:pStyle w:val="4"/>
          <w:jc w:val="center"/>
          <w:rPr>
            <w:rFonts w:ascii="方正仿宋_GBK" w:eastAsia="方正仿宋_GBK"/>
            <w:sz w:val="28"/>
            <w:szCs w:val="28"/>
          </w:rPr>
        </w:pPr>
        <w:r>
          <w:rPr>
            <w:rFonts w:hint="eastAsia" w:ascii="方正仿宋_GBK" w:eastAsia="方正仿宋_GBK"/>
            <w:sz w:val="28"/>
            <w:szCs w:val="28"/>
          </w:rPr>
          <w:t>-</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4</w:t>
        </w:r>
        <w:r>
          <w:rPr>
            <w:rFonts w:hint="eastAsia" w:ascii="方正仿宋_GBK" w:eastAsia="方正仿宋_GBK"/>
            <w:sz w:val="28"/>
            <w:szCs w:val="28"/>
          </w:rPr>
          <w:fldChar w:fldCharType="end"/>
        </w:r>
        <w:r>
          <w:rPr>
            <w:rFonts w:hint="eastAsia" w:ascii="方正仿宋_GBK" w:eastAsia="方正仿宋_GBK"/>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iNmRmMGY0OGU1NDkxNmYzNGEwZDlhMGUwMzdmYjgifQ=="/>
  </w:docVars>
  <w:rsids>
    <w:rsidRoot w:val="008D156F"/>
    <w:rsid w:val="00001AE8"/>
    <w:rsid w:val="00004B05"/>
    <w:rsid w:val="00005780"/>
    <w:rsid w:val="00005986"/>
    <w:rsid w:val="000158B8"/>
    <w:rsid w:val="00016587"/>
    <w:rsid w:val="00017486"/>
    <w:rsid w:val="00027548"/>
    <w:rsid w:val="00035196"/>
    <w:rsid w:val="000608A0"/>
    <w:rsid w:val="00060BD1"/>
    <w:rsid w:val="00062499"/>
    <w:rsid w:val="00072E25"/>
    <w:rsid w:val="0008670C"/>
    <w:rsid w:val="000932E0"/>
    <w:rsid w:val="000C5BA8"/>
    <w:rsid w:val="000E732B"/>
    <w:rsid w:val="00106E6B"/>
    <w:rsid w:val="00107A14"/>
    <w:rsid w:val="00110848"/>
    <w:rsid w:val="0011211F"/>
    <w:rsid w:val="00122D68"/>
    <w:rsid w:val="0013554D"/>
    <w:rsid w:val="00142725"/>
    <w:rsid w:val="0017149F"/>
    <w:rsid w:val="00182FD7"/>
    <w:rsid w:val="00194DBD"/>
    <w:rsid w:val="001A4B78"/>
    <w:rsid w:val="001D02A2"/>
    <w:rsid w:val="001D7963"/>
    <w:rsid w:val="001F2A41"/>
    <w:rsid w:val="001F2F37"/>
    <w:rsid w:val="001F48D0"/>
    <w:rsid w:val="001F58C9"/>
    <w:rsid w:val="002319E3"/>
    <w:rsid w:val="00243755"/>
    <w:rsid w:val="00247F42"/>
    <w:rsid w:val="00252170"/>
    <w:rsid w:val="002C05F9"/>
    <w:rsid w:val="002D4287"/>
    <w:rsid w:val="003016F0"/>
    <w:rsid w:val="00303498"/>
    <w:rsid w:val="00310CEE"/>
    <w:rsid w:val="0031166F"/>
    <w:rsid w:val="00331607"/>
    <w:rsid w:val="00341EA4"/>
    <w:rsid w:val="00350394"/>
    <w:rsid w:val="00361B77"/>
    <w:rsid w:val="00372BB4"/>
    <w:rsid w:val="00380CE1"/>
    <w:rsid w:val="003A0057"/>
    <w:rsid w:val="003B658D"/>
    <w:rsid w:val="003D1D54"/>
    <w:rsid w:val="003E1D1A"/>
    <w:rsid w:val="003F3DBC"/>
    <w:rsid w:val="004173F9"/>
    <w:rsid w:val="00434B23"/>
    <w:rsid w:val="0044728F"/>
    <w:rsid w:val="00456ED5"/>
    <w:rsid w:val="00473543"/>
    <w:rsid w:val="004A73B2"/>
    <w:rsid w:val="004A7878"/>
    <w:rsid w:val="004C3076"/>
    <w:rsid w:val="004E19C6"/>
    <w:rsid w:val="0053096F"/>
    <w:rsid w:val="00532C87"/>
    <w:rsid w:val="00543CD5"/>
    <w:rsid w:val="005440B9"/>
    <w:rsid w:val="005605F3"/>
    <w:rsid w:val="00566627"/>
    <w:rsid w:val="0057028C"/>
    <w:rsid w:val="005764A8"/>
    <w:rsid w:val="005B51EF"/>
    <w:rsid w:val="005B6990"/>
    <w:rsid w:val="005D623A"/>
    <w:rsid w:val="005E7B1B"/>
    <w:rsid w:val="0061445F"/>
    <w:rsid w:val="0061452B"/>
    <w:rsid w:val="006151F6"/>
    <w:rsid w:val="0063189E"/>
    <w:rsid w:val="00653413"/>
    <w:rsid w:val="00663E8A"/>
    <w:rsid w:val="00695706"/>
    <w:rsid w:val="00695FD9"/>
    <w:rsid w:val="00696767"/>
    <w:rsid w:val="006C7064"/>
    <w:rsid w:val="006E3832"/>
    <w:rsid w:val="006E3ED8"/>
    <w:rsid w:val="006E58EE"/>
    <w:rsid w:val="006E6945"/>
    <w:rsid w:val="006E7072"/>
    <w:rsid w:val="00703B01"/>
    <w:rsid w:val="007267B9"/>
    <w:rsid w:val="00727B9E"/>
    <w:rsid w:val="00744B6A"/>
    <w:rsid w:val="00752C19"/>
    <w:rsid w:val="00754079"/>
    <w:rsid w:val="007540CD"/>
    <w:rsid w:val="00757812"/>
    <w:rsid w:val="007621CA"/>
    <w:rsid w:val="00792447"/>
    <w:rsid w:val="0079546C"/>
    <w:rsid w:val="00795D13"/>
    <w:rsid w:val="007C783E"/>
    <w:rsid w:val="007D32D2"/>
    <w:rsid w:val="007D7B99"/>
    <w:rsid w:val="00804A1D"/>
    <w:rsid w:val="00817428"/>
    <w:rsid w:val="00817505"/>
    <w:rsid w:val="00853020"/>
    <w:rsid w:val="00857A61"/>
    <w:rsid w:val="00871CE2"/>
    <w:rsid w:val="00872985"/>
    <w:rsid w:val="00896475"/>
    <w:rsid w:val="008B6A37"/>
    <w:rsid w:val="008D156F"/>
    <w:rsid w:val="00907CC1"/>
    <w:rsid w:val="009114F7"/>
    <w:rsid w:val="0092146D"/>
    <w:rsid w:val="00934E38"/>
    <w:rsid w:val="00951831"/>
    <w:rsid w:val="009536DB"/>
    <w:rsid w:val="009560F7"/>
    <w:rsid w:val="00961919"/>
    <w:rsid w:val="009656EB"/>
    <w:rsid w:val="00970861"/>
    <w:rsid w:val="009809E0"/>
    <w:rsid w:val="00984A3B"/>
    <w:rsid w:val="00985553"/>
    <w:rsid w:val="009940E0"/>
    <w:rsid w:val="009A49F0"/>
    <w:rsid w:val="009B189F"/>
    <w:rsid w:val="009C2331"/>
    <w:rsid w:val="009D3CF8"/>
    <w:rsid w:val="009D7C49"/>
    <w:rsid w:val="009F091E"/>
    <w:rsid w:val="00A12268"/>
    <w:rsid w:val="00A317B4"/>
    <w:rsid w:val="00A47FFD"/>
    <w:rsid w:val="00A633FB"/>
    <w:rsid w:val="00A64F74"/>
    <w:rsid w:val="00A74417"/>
    <w:rsid w:val="00A770B2"/>
    <w:rsid w:val="00A84B4F"/>
    <w:rsid w:val="00AA3BAA"/>
    <w:rsid w:val="00AB3C88"/>
    <w:rsid w:val="00AB44A1"/>
    <w:rsid w:val="00AB5ED6"/>
    <w:rsid w:val="00AC3B45"/>
    <w:rsid w:val="00AD0977"/>
    <w:rsid w:val="00AD3F0D"/>
    <w:rsid w:val="00AF61F2"/>
    <w:rsid w:val="00B119FB"/>
    <w:rsid w:val="00B15A34"/>
    <w:rsid w:val="00B220D5"/>
    <w:rsid w:val="00B30931"/>
    <w:rsid w:val="00B41BDC"/>
    <w:rsid w:val="00B535CA"/>
    <w:rsid w:val="00B576EA"/>
    <w:rsid w:val="00B70EEB"/>
    <w:rsid w:val="00B77805"/>
    <w:rsid w:val="00B84C1C"/>
    <w:rsid w:val="00B921D6"/>
    <w:rsid w:val="00B9583A"/>
    <w:rsid w:val="00C20415"/>
    <w:rsid w:val="00C2406D"/>
    <w:rsid w:val="00C35EDE"/>
    <w:rsid w:val="00C404BD"/>
    <w:rsid w:val="00C63019"/>
    <w:rsid w:val="00CB6AA4"/>
    <w:rsid w:val="00CB6D81"/>
    <w:rsid w:val="00CF17B3"/>
    <w:rsid w:val="00CF7A76"/>
    <w:rsid w:val="00D13C9C"/>
    <w:rsid w:val="00D14201"/>
    <w:rsid w:val="00D341A4"/>
    <w:rsid w:val="00D34B64"/>
    <w:rsid w:val="00D34BE3"/>
    <w:rsid w:val="00D505E0"/>
    <w:rsid w:val="00D629D1"/>
    <w:rsid w:val="00D707F3"/>
    <w:rsid w:val="00D73131"/>
    <w:rsid w:val="00D87CD8"/>
    <w:rsid w:val="00DB2E29"/>
    <w:rsid w:val="00DB30E8"/>
    <w:rsid w:val="00DD10D8"/>
    <w:rsid w:val="00DE10C3"/>
    <w:rsid w:val="00E42F00"/>
    <w:rsid w:val="00E4786B"/>
    <w:rsid w:val="00E601C5"/>
    <w:rsid w:val="00E8242A"/>
    <w:rsid w:val="00E8790C"/>
    <w:rsid w:val="00E92E5A"/>
    <w:rsid w:val="00EA2221"/>
    <w:rsid w:val="00EA53E3"/>
    <w:rsid w:val="00EB2B29"/>
    <w:rsid w:val="00EB40C9"/>
    <w:rsid w:val="00EC0C68"/>
    <w:rsid w:val="00EE0868"/>
    <w:rsid w:val="00EE77D2"/>
    <w:rsid w:val="00EF1052"/>
    <w:rsid w:val="00EF1844"/>
    <w:rsid w:val="00EF7612"/>
    <w:rsid w:val="00F0375B"/>
    <w:rsid w:val="00F04E91"/>
    <w:rsid w:val="00F114D9"/>
    <w:rsid w:val="00F127B0"/>
    <w:rsid w:val="00F14EBC"/>
    <w:rsid w:val="00F25D5C"/>
    <w:rsid w:val="00F45E11"/>
    <w:rsid w:val="00F512F3"/>
    <w:rsid w:val="00F60B2B"/>
    <w:rsid w:val="00F77A92"/>
    <w:rsid w:val="00F803AC"/>
    <w:rsid w:val="00F94657"/>
    <w:rsid w:val="00FA04B1"/>
    <w:rsid w:val="00FB05F4"/>
    <w:rsid w:val="00FB4AD4"/>
    <w:rsid w:val="00FD24D7"/>
    <w:rsid w:val="00FE45FC"/>
    <w:rsid w:val="00FF5105"/>
    <w:rsid w:val="00FF7720"/>
    <w:rsid w:val="3713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uiPriority w:val="99"/>
    <w:rPr>
      <w:b/>
      <w:bCs/>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styleId="12">
    <w:name w:val="annotation reference"/>
    <w:basedOn w:val="9"/>
    <w:semiHidden/>
    <w:unhideWhenUsed/>
    <w:uiPriority w:val="99"/>
    <w:rPr>
      <w:sz w:val="21"/>
      <w:szCs w:val="21"/>
    </w:rPr>
  </w:style>
  <w:style w:type="character" w:customStyle="1" w:styleId="13">
    <w:name w:val="页眉 字符"/>
    <w:basedOn w:val="9"/>
    <w:link w:val="5"/>
    <w:autoRedefine/>
    <w:qFormat/>
    <w:uiPriority w:val="99"/>
    <w:rPr>
      <w:sz w:val="18"/>
      <w:szCs w:val="18"/>
    </w:rPr>
  </w:style>
  <w:style w:type="character" w:customStyle="1" w:styleId="14">
    <w:name w:val="页脚 字符"/>
    <w:basedOn w:val="9"/>
    <w:link w:val="4"/>
    <w:autoRedefine/>
    <w:qFormat/>
    <w:uiPriority w:val="99"/>
    <w:rPr>
      <w:sz w:val="18"/>
      <w:szCs w:val="18"/>
    </w:rPr>
  </w:style>
  <w:style w:type="character" w:customStyle="1" w:styleId="15">
    <w:name w:val="批注框文本 字符"/>
    <w:basedOn w:val="9"/>
    <w:link w:val="3"/>
    <w:semiHidden/>
    <w:uiPriority w:val="99"/>
    <w:rPr>
      <w:sz w:val="18"/>
      <w:szCs w:val="18"/>
    </w:rPr>
  </w:style>
  <w:style w:type="character" w:customStyle="1" w:styleId="16">
    <w:name w:val="批注文字 字符"/>
    <w:basedOn w:val="9"/>
    <w:link w:val="2"/>
    <w:semiHidden/>
    <w:qFormat/>
    <w:uiPriority w:val="99"/>
  </w:style>
  <w:style w:type="character" w:customStyle="1" w:styleId="17">
    <w:name w:val="批注主题 字符"/>
    <w:basedOn w:val="16"/>
    <w:link w:val="7"/>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CBB8-D497-4E6B-93C2-F0AD4B958C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805</Words>
  <Characters>4589</Characters>
  <Lines>38</Lines>
  <Paragraphs>10</Paragraphs>
  <TotalTime>1418</TotalTime>
  <ScaleCrop>false</ScaleCrop>
  <LinksUpToDate>false</LinksUpToDate>
  <CharactersWithSpaces>5384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2024-01-03T08:45:00Z</dcterms:created>
  <dc:creator>lenovo</dc:creator>
  <cp:lastModifiedBy>穆世强</cp:lastModifiedBy>
  <cp:lastPrinted>2022-11-24T02:28:00Z</cp:lastPrinted>
  <dcterms:modified xsi:type="dcterms:W3CDTF">2024-01-17T09:31:37Z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919E720658B24FFF966A4AC12AE07B6F_12</vt:lpwstr>
  </property>
</Properties>
</file>