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val="0"/>
        <w:spacing w:line="580" w:lineRule="exact"/>
        <w:jc w:val="center"/>
        <w:rPr>
          <w:rFonts w:ascii="方正小标宋_GBK" w:hAnsi="华文仿宋" w:eastAsia="方正小标宋_GBK" w:cs="华文仿宋"/>
          <w:bCs/>
          <w:color w:val="000000"/>
          <w:kern w:val="2"/>
          <w:sz w:val="44"/>
          <w:szCs w:val="44"/>
          <w:lang w:val="en-US" w:bidi="ar-SA"/>
        </w:rPr>
      </w:pPr>
      <w:r>
        <w:rPr>
          <w:rFonts w:hint="eastAsia" w:ascii="方正小标宋_GBK" w:hAnsi="华文仿宋" w:eastAsia="方正小标宋_GBK" w:cs="华文仿宋"/>
          <w:bCs/>
          <w:color w:val="000000"/>
          <w:kern w:val="2"/>
          <w:sz w:val="44"/>
          <w:szCs w:val="44"/>
          <w:lang w:val="en-US" w:bidi="ar-SA"/>
        </w:rPr>
        <w:t>202</w:t>
      </w:r>
      <w:r>
        <w:rPr>
          <w:rFonts w:hint="eastAsia" w:ascii="方正小标宋_GBK" w:hAnsi="华文仿宋" w:eastAsia="方正小标宋_GBK" w:cs="华文仿宋"/>
          <w:bCs/>
          <w:color w:val="000000"/>
          <w:kern w:val="2"/>
          <w:sz w:val="44"/>
          <w:szCs w:val="44"/>
          <w:lang w:val="en-US" w:eastAsia="zh-CN" w:bidi="ar-SA"/>
        </w:rPr>
        <w:t>4</w:t>
      </w:r>
      <w:r>
        <w:rPr>
          <w:rFonts w:hint="eastAsia" w:ascii="方正小标宋_GBK" w:hAnsi="华文仿宋" w:eastAsia="方正小标宋_GBK" w:cs="华文仿宋"/>
          <w:bCs/>
          <w:color w:val="000000"/>
          <w:kern w:val="2"/>
          <w:sz w:val="44"/>
          <w:szCs w:val="44"/>
          <w:lang w:val="en-US" w:bidi="ar-SA"/>
        </w:rPr>
        <w:t>年泰州市电动自行车蓄电池产品质量</w:t>
      </w:r>
    </w:p>
    <w:p>
      <w:pPr>
        <w:autoSpaceDE/>
        <w:autoSpaceDN/>
        <w:snapToGrid w:val="0"/>
        <w:spacing w:line="580" w:lineRule="exact"/>
        <w:jc w:val="center"/>
        <w:rPr>
          <w:rFonts w:ascii="方正小标宋_GBK" w:hAnsi="华文仿宋" w:eastAsia="方正小标宋_GBK" w:cs="华文仿宋"/>
          <w:bCs/>
          <w:color w:val="000000"/>
          <w:kern w:val="2"/>
          <w:sz w:val="44"/>
          <w:szCs w:val="44"/>
          <w:lang w:val="en-US" w:bidi="ar-SA"/>
        </w:rPr>
      </w:pPr>
      <w:r>
        <w:rPr>
          <w:rFonts w:hint="eastAsia" w:ascii="方正小标宋_GBK" w:hAnsi="华文仿宋" w:eastAsia="方正小标宋_GBK" w:cs="华文仿宋"/>
          <w:bCs/>
          <w:color w:val="000000"/>
          <w:kern w:val="2"/>
          <w:sz w:val="44"/>
          <w:szCs w:val="44"/>
          <w:lang w:val="en-US" w:bidi="ar-SA"/>
        </w:rPr>
        <w:t>监督抽查实施细则</w:t>
      </w:r>
    </w:p>
    <w:p>
      <w:pPr>
        <w:autoSpaceDE/>
        <w:autoSpaceDN/>
        <w:snapToGrid w:val="0"/>
        <w:spacing w:line="580" w:lineRule="exact"/>
        <w:jc w:val="center"/>
        <w:rPr>
          <w:rFonts w:hint="eastAsia" w:ascii="方正小标宋_GBK" w:hAnsi="华文仿宋" w:eastAsia="方正小标宋_GBK" w:cs="华文仿宋"/>
          <w:bCs/>
          <w:color w:val="000000"/>
          <w:kern w:val="2"/>
          <w:sz w:val="44"/>
          <w:szCs w:val="44"/>
          <w:lang w:val="en-US" w:bidi="ar-SA"/>
        </w:rPr>
      </w:pP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1. 范围</w:t>
      </w:r>
    </w:p>
    <w:p>
      <w:pPr>
        <w:autoSpaceDE/>
        <w:autoSpaceDN/>
        <w:spacing w:line="580" w:lineRule="exact"/>
        <w:ind w:firstLine="640"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kern w:val="2"/>
          <w:sz w:val="32"/>
          <w:szCs w:val="32"/>
          <w:lang w:val="en-US" w:bidi="ar-SA"/>
        </w:rPr>
        <w:t>本细则适用于泰州市市场监督管理局组织的电动自行车蓄电池产品质量监督抽查。本细则规定了此产品的抽样方法、检验依据、检验</w:t>
      </w:r>
      <w:bookmarkStart w:id="0" w:name="_GoBack"/>
      <w:bookmarkEnd w:id="0"/>
      <w:r>
        <w:rPr>
          <w:rFonts w:hint="eastAsia" w:ascii="华文仿宋" w:hAnsi="华文仿宋" w:eastAsia="华文仿宋" w:cs="华文仿宋"/>
          <w:kern w:val="2"/>
          <w:sz w:val="32"/>
          <w:szCs w:val="32"/>
          <w:lang w:val="en-US" w:bidi="ar-SA"/>
        </w:rPr>
        <w:t>项目、检验方法、判定原则、异议处理及复检。</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2 .抽样方法</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2.1抽样型号或规格</w:t>
      </w:r>
    </w:p>
    <w:p>
      <w:pPr>
        <w:autoSpaceDE/>
        <w:autoSpaceDN/>
        <w:spacing w:line="580" w:lineRule="exact"/>
        <w:ind w:firstLine="640" w:firstLineChars="200"/>
        <w:jc w:val="both"/>
        <w:rPr>
          <w:rFonts w:hint="eastAsia"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抽取样品应为同一型号规格、同一批次的产品。</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2.2抽样方法及数量</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在受检企业的成品仓库或者其确认场所，随机抽取有产品质量检验合格证明或者其他形式表明合格的待销产品。</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应抽取生产日期距该批次抽样完成日期算起</w:t>
      </w:r>
      <w:r>
        <w:rPr>
          <w:rFonts w:ascii="华文仿宋" w:hAnsi="华文仿宋" w:eastAsia="华文仿宋" w:cs="华文仿宋"/>
          <w:kern w:val="2"/>
          <w:sz w:val="32"/>
          <w:szCs w:val="32"/>
          <w:lang w:val="en-US" w:bidi="ar-SA"/>
        </w:rPr>
        <w:t>3个月以内的样品。</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单批次抽样数量为2盒，其中检验样品1盒，备用样品1盒。抽查样品基数满足抽样数量即可。</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随机数一般可使用随机数表、骰子或扑克牌等方法产生。</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2.3样品处置</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2.3.1封样要求</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应当对检验样品和备用样品分别签封，并在封条上施加防拆封措施,使得不破坏封条签封便无法完整取下封条。</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2.3.2.备样封存地点</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本次抽查的备样应封存在被抽检单位处，未经许可不得擅自拆开。</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2.4 抽样单</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应按有关规定填写抽样单，并记录被抽查产品及企业相关信息。</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3. 检验依据</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检验项目及检验依据见表1。</w:t>
      </w:r>
    </w:p>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表1-1</w:t>
      </w:r>
      <w:r>
        <w:rPr>
          <w:rFonts w:hint="eastAsia" w:ascii="华文仿宋" w:hAnsi="华文仿宋" w:eastAsia="华文仿宋" w:cs="华文仿宋"/>
          <w:kern w:val="2"/>
          <w:sz w:val="28"/>
          <w:szCs w:val="28"/>
          <w:lang w:val="en-US" w:bidi="ar-SA"/>
        </w:rPr>
        <w:tab/>
      </w:r>
      <w:r>
        <w:rPr>
          <w:rFonts w:hint="eastAsia" w:ascii="华文仿宋" w:hAnsi="华文仿宋" w:eastAsia="华文仿宋" w:cs="华文仿宋"/>
          <w:kern w:val="2"/>
          <w:sz w:val="28"/>
          <w:szCs w:val="28"/>
          <w:lang w:val="en-US" w:bidi="ar-SA"/>
        </w:rPr>
        <w:t>样品明示</w:t>
      </w:r>
      <w:r>
        <w:rPr>
          <w:rFonts w:ascii="华文仿宋" w:hAnsi="华文仿宋" w:eastAsia="华文仿宋" w:cs="华文仿宋"/>
          <w:kern w:val="2"/>
          <w:sz w:val="28"/>
          <w:szCs w:val="28"/>
          <w:lang w:val="en-US" w:bidi="ar-SA"/>
        </w:rPr>
        <w:t>GB/T 22199.1-2017标准检验项目</w:t>
      </w:r>
    </w:p>
    <w:tbl>
      <w:tblPr>
        <w:tblStyle w:val="13"/>
        <w:tblW w:w="100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4794"/>
        <w:gridCol w:w="2179"/>
        <w:gridCol w:w="2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9"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序号</w:t>
            </w:r>
          </w:p>
        </w:tc>
        <w:tc>
          <w:tcPr>
            <w:tcW w:w="4794"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检验项目</w:t>
            </w:r>
          </w:p>
        </w:tc>
        <w:tc>
          <w:tcPr>
            <w:tcW w:w="2179"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判定依据</w:t>
            </w:r>
          </w:p>
        </w:tc>
        <w:tc>
          <w:tcPr>
            <w:tcW w:w="2206"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9"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4794"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179"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1</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标志</w:t>
            </w:r>
          </w:p>
        </w:tc>
        <w:tc>
          <w:tcPr>
            <w:tcW w:w="2179" w:type="dxa"/>
            <w:vMerge w:val="restart"/>
            <w:vAlign w:val="center"/>
          </w:tcPr>
          <w:p>
            <w:pPr>
              <w:autoSpaceDE/>
              <w:autoSpaceDN/>
              <w:adjustRightInd w:val="0"/>
              <w:snapToGrid w:val="0"/>
              <w:spacing w:line="40" w:lineRule="atLeast"/>
              <w:ind w:firstLine="43" w:firstLineChars="18"/>
              <w:jc w:val="center"/>
              <w:rPr>
                <w:rFonts w:ascii="华文仿宋" w:hAnsi="华文仿宋" w:eastAsia="华文仿宋" w:cs="华文仿宋"/>
                <w:kern w:val="2"/>
                <w:sz w:val="28"/>
                <w:szCs w:val="28"/>
                <w:lang w:val="en-US" w:bidi="ar-SA"/>
              </w:rPr>
            </w:pPr>
            <w:r>
              <w:rPr>
                <w:rFonts w:hint="eastAsia" w:ascii="仿宋" w:hAnsi="仿宋" w:eastAsia="仿宋"/>
                <w:color w:val="000000"/>
                <w:sz w:val="24"/>
                <w:szCs w:val="24"/>
              </w:rPr>
              <w:t>GB 22199.1-2017</w:t>
            </w:r>
          </w:p>
        </w:tc>
        <w:tc>
          <w:tcPr>
            <w:tcW w:w="2206" w:type="dxa"/>
            <w:vMerge w:val="restart"/>
            <w:vAlign w:val="center"/>
          </w:tcPr>
          <w:p>
            <w:pPr>
              <w:widowControl/>
              <w:adjustRightInd w:val="0"/>
              <w:snapToGrid w:val="0"/>
              <w:spacing w:line="40" w:lineRule="atLeast"/>
              <w:jc w:val="center"/>
              <w:textAlignment w:val="bottom"/>
              <w:rPr>
                <w:rFonts w:ascii="仿宋" w:hAnsi="仿宋" w:eastAsia="仿宋"/>
                <w:color w:val="000000"/>
                <w:sz w:val="24"/>
                <w:szCs w:val="24"/>
              </w:rPr>
            </w:pPr>
            <w:r>
              <w:rPr>
                <w:rFonts w:hint="eastAsia" w:ascii="仿宋" w:hAnsi="仿宋" w:eastAsia="仿宋"/>
                <w:color w:val="000000"/>
                <w:sz w:val="24"/>
                <w:szCs w:val="24"/>
              </w:rPr>
              <w:t>GB 22199.1-2017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2</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外观</w:t>
            </w:r>
          </w:p>
        </w:tc>
        <w:tc>
          <w:tcPr>
            <w:tcW w:w="217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3</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2 hr容量</w:t>
            </w:r>
          </w:p>
        </w:tc>
        <w:tc>
          <w:tcPr>
            <w:tcW w:w="217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4</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大电流放电</w:t>
            </w:r>
          </w:p>
        </w:tc>
        <w:tc>
          <w:tcPr>
            <w:tcW w:w="217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5</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能量密度</w:t>
            </w:r>
          </w:p>
        </w:tc>
        <w:tc>
          <w:tcPr>
            <w:tcW w:w="217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6</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-18℃低温容量</w:t>
            </w:r>
          </w:p>
        </w:tc>
        <w:tc>
          <w:tcPr>
            <w:tcW w:w="217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7</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快速充电能力</w:t>
            </w:r>
          </w:p>
        </w:tc>
        <w:tc>
          <w:tcPr>
            <w:tcW w:w="217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8</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耐振动能力</w:t>
            </w:r>
          </w:p>
        </w:tc>
        <w:tc>
          <w:tcPr>
            <w:tcW w:w="217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vAlign w:val="bottom"/>
          </w:tcPr>
          <w:p>
            <w:pPr>
              <w:widowControl/>
              <w:spacing w:line="360" w:lineRule="auto"/>
              <w:jc w:val="center"/>
              <w:textAlignment w:val="bottom"/>
              <w:rPr>
                <w:rFonts w:ascii="仿宋" w:hAnsi="仿宋" w:eastAsia="仿宋"/>
                <w:color w:val="000000"/>
                <w:sz w:val="24"/>
                <w:szCs w:val="24"/>
              </w:rPr>
            </w:pPr>
          </w:p>
        </w:tc>
      </w:tr>
    </w:tbl>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p>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表1-2</w:t>
      </w:r>
      <w:r>
        <w:rPr>
          <w:rFonts w:hint="eastAsia" w:ascii="华文仿宋" w:hAnsi="华文仿宋" w:eastAsia="华文仿宋" w:cs="华文仿宋"/>
          <w:kern w:val="2"/>
          <w:sz w:val="28"/>
          <w:szCs w:val="28"/>
          <w:lang w:val="en-US" w:bidi="ar-SA"/>
        </w:rPr>
        <w:tab/>
      </w:r>
      <w:r>
        <w:rPr>
          <w:rFonts w:hint="eastAsia" w:ascii="华文仿宋" w:hAnsi="华文仿宋" w:eastAsia="华文仿宋" w:cs="华文仿宋"/>
          <w:kern w:val="2"/>
          <w:sz w:val="28"/>
          <w:szCs w:val="28"/>
          <w:lang w:val="en-US" w:bidi="ar-SA"/>
        </w:rPr>
        <w:t>样品明示T/ZJXDC 001-2021</w:t>
      </w:r>
      <w:r>
        <w:rPr>
          <w:rFonts w:ascii="华文仿宋" w:hAnsi="华文仿宋" w:eastAsia="华文仿宋" w:cs="华文仿宋"/>
          <w:kern w:val="2"/>
          <w:sz w:val="28"/>
          <w:szCs w:val="28"/>
          <w:lang w:val="en-US" w:bidi="ar-SA"/>
        </w:rPr>
        <w:t>标准检验项目</w:t>
      </w:r>
    </w:p>
    <w:tbl>
      <w:tblPr>
        <w:tblStyle w:val="13"/>
        <w:tblW w:w="100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4794"/>
        <w:gridCol w:w="2179"/>
        <w:gridCol w:w="2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9"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序号</w:t>
            </w:r>
          </w:p>
        </w:tc>
        <w:tc>
          <w:tcPr>
            <w:tcW w:w="4794"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检验项目</w:t>
            </w:r>
          </w:p>
        </w:tc>
        <w:tc>
          <w:tcPr>
            <w:tcW w:w="2179"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判定依据</w:t>
            </w:r>
          </w:p>
        </w:tc>
        <w:tc>
          <w:tcPr>
            <w:tcW w:w="2206"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9"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4794"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179"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1</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标志</w:t>
            </w:r>
          </w:p>
        </w:tc>
        <w:tc>
          <w:tcPr>
            <w:tcW w:w="2179" w:type="dxa"/>
            <w:vMerge w:val="restart"/>
            <w:vAlign w:val="center"/>
          </w:tcPr>
          <w:p>
            <w:pPr>
              <w:autoSpaceDE/>
              <w:autoSpaceDN/>
              <w:adjustRightInd w:val="0"/>
              <w:snapToGrid w:val="0"/>
              <w:spacing w:line="40" w:lineRule="atLeast"/>
              <w:ind w:firstLine="43" w:firstLineChars="18"/>
              <w:jc w:val="center"/>
              <w:rPr>
                <w:rFonts w:ascii="华文仿宋" w:hAnsi="华文仿宋" w:eastAsia="华文仿宋" w:cs="华文仿宋"/>
                <w:kern w:val="2"/>
                <w:sz w:val="28"/>
                <w:szCs w:val="28"/>
                <w:highlight w:val="none"/>
                <w:lang w:val="en-US" w:bidi="ar-SA"/>
              </w:rPr>
            </w:pPr>
            <w:r>
              <w:rPr>
                <w:rFonts w:hint="eastAsia" w:ascii="仿宋" w:hAnsi="仿宋" w:eastAsia="仿宋"/>
                <w:color w:val="000000"/>
                <w:sz w:val="24"/>
                <w:szCs w:val="24"/>
                <w:highlight w:val="none"/>
              </w:rPr>
              <w:t>T/ZJXDC 001-2021</w:t>
            </w:r>
          </w:p>
        </w:tc>
        <w:tc>
          <w:tcPr>
            <w:tcW w:w="2206" w:type="dxa"/>
            <w:vMerge w:val="restart"/>
            <w:vAlign w:val="center"/>
          </w:tcPr>
          <w:p>
            <w:pPr>
              <w:widowControl/>
              <w:adjustRightInd w:val="0"/>
              <w:snapToGrid w:val="0"/>
              <w:spacing w:line="40" w:lineRule="atLeast"/>
              <w:jc w:val="center"/>
              <w:textAlignment w:val="bottom"/>
              <w:rPr>
                <w:rFonts w:ascii="仿宋" w:hAnsi="仿宋" w:eastAsia="仿宋"/>
                <w:color w:val="000000"/>
                <w:sz w:val="24"/>
                <w:szCs w:val="24"/>
                <w:highlight w:val="none"/>
              </w:rPr>
            </w:pPr>
            <w:r>
              <w:rPr>
                <w:rFonts w:hint="eastAsia" w:ascii="仿宋" w:hAnsi="仿宋" w:eastAsia="仿宋"/>
                <w:color w:val="000000"/>
                <w:sz w:val="24"/>
                <w:szCs w:val="24"/>
                <w:highlight w:val="none"/>
              </w:rPr>
              <w:t>T/ZJXDC 001-2021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2</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外观</w:t>
            </w:r>
          </w:p>
        </w:tc>
        <w:tc>
          <w:tcPr>
            <w:tcW w:w="217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3</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2 hr容量</w:t>
            </w:r>
          </w:p>
        </w:tc>
        <w:tc>
          <w:tcPr>
            <w:tcW w:w="217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4</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大电流放电</w:t>
            </w:r>
          </w:p>
        </w:tc>
        <w:tc>
          <w:tcPr>
            <w:tcW w:w="217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5</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重量比能量</w:t>
            </w:r>
          </w:p>
        </w:tc>
        <w:tc>
          <w:tcPr>
            <w:tcW w:w="217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vAlign w:val="bottom"/>
          </w:tcPr>
          <w:p>
            <w:pPr>
              <w:spacing w:line="360" w:lineRule="auto"/>
              <w:jc w:val="center"/>
              <w:textAlignment w:val="bottom"/>
              <w:rPr>
                <w:rFonts w:ascii="仿宋" w:hAnsi="仿宋" w:eastAsia="仿宋"/>
                <w:color w:val="000000"/>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6</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-10℃低温容量</w:t>
            </w:r>
          </w:p>
        </w:tc>
        <w:tc>
          <w:tcPr>
            <w:tcW w:w="217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7</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快速充电能力</w:t>
            </w:r>
          </w:p>
        </w:tc>
        <w:tc>
          <w:tcPr>
            <w:tcW w:w="217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8</w:t>
            </w:r>
          </w:p>
        </w:tc>
        <w:tc>
          <w:tcPr>
            <w:tcW w:w="4794" w:type="dxa"/>
            <w:vAlign w:val="center"/>
          </w:tcPr>
          <w:p>
            <w:pPr>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耐振动能力</w:t>
            </w:r>
          </w:p>
        </w:tc>
        <w:tc>
          <w:tcPr>
            <w:tcW w:w="217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06" w:type="dxa"/>
            <w:vMerge w:val="continue"/>
            <w:vAlign w:val="bottom"/>
          </w:tcPr>
          <w:p>
            <w:pPr>
              <w:widowControl/>
              <w:spacing w:line="360" w:lineRule="auto"/>
              <w:jc w:val="center"/>
              <w:textAlignment w:val="bottom"/>
              <w:rPr>
                <w:rFonts w:ascii="仿宋" w:hAnsi="仿宋" w:eastAsia="仿宋"/>
                <w:color w:val="000000"/>
                <w:sz w:val="24"/>
                <w:szCs w:val="24"/>
              </w:rPr>
            </w:pPr>
          </w:p>
        </w:tc>
      </w:tr>
    </w:tbl>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p>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表1-3</w:t>
      </w:r>
      <w:r>
        <w:rPr>
          <w:rFonts w:hint="eastAsia" w:ascii="华文仿宋" w:hAnsi="华文仿宋" w:eastAsia="华文仿宋" w:cs="华文仿宋"/>
          <w:kern w:val="2"/>
          <w:sz w:val="28"/>
          <w:szCs w:val="28"/>
          <w:lang w:val="en-US" w:bidi="ar-SA"/>
        </w:rPr>
        <w:tab/>
      </w:r>
      <w:r>
        <w:rPr>
          <w:rFonts w:hint="eastAsia" w:ascii="华文仿宋" w:hAnsi="华文仿宋" w:eastAsia="华文仿宋" w:cs="华文仿宋"/>
          <w:kern w:val="2"/>
          <w:sz w:val="28"/>
          <w:szCs w:val="28"/>
          <w:lang w:val="en-US" w:bidi="ar-SA"/>
        </w:rPr>
        <w:t>样品明示</w:t>
      </w:r>
      <w:r>
        <w:rPr>
          <w:rFonts w:ascii="华文仿宋" w:hAnsi="华文仿宋" w:eastAsia="华文仿宋" w:cs="华文仿宋"/>
          <w:kern w:val="2"/>
          <w:sz w:val="28"/>
          <w:szCs w:val="28"/>
          <w:lang w:val="en-US" w:bidi="ar-SA"/>
        </w:rPr>
        <w:t>GB/T 36972-2018标准检验项目</w:t>
      </w:r>
    </w:p>
    <w:tbl>
      <w:tblPr>
        <w:tblStyle w:val="13"/>
        <w:tblW w:w="100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3996"/>
        <w:gridCol w:w="2693"/>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9"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序号</w:t>
            </w:r>
          </w:p>
        </w:tc>
        <w:tc>
          <w:tcPr>
            <w:tcW w:w="3996"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检验项目</w:t>
            </w:r>
          </w:p>
        </w:tc>
        <w:tc>
          <w:tcPr>
            <w:tcW w:w="2693"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判定依据</w:t>
            </w:r>
          </w:p>
        </w:tc>
        <w:tc>
          <w:tcPr>
            <w:tcW w:w="2490"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9"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3996"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693"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90"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1</w:t>
            </w:r>
          </w:p>
        </w:tc>
        <w:tc>
          <w:tcPr>
            <w:tcW w:w="3996"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外观</w:t>
            </w:r>
          </w:p>
        </w:tc>
        <w:tc>
          <w:tcPr>
            <w:tcW w:w="2693" w:type="dxa"/>
            <w:vMerge w:val="restart"/>
            <w:vAlign w:val="center"/>
          </w:tcPr>
          <w:p>
            <w:pPr>
              <w:autoSpaceDE/>
              <w:autoSpaceDN/>
              <w:jc w:val="center"/>
              <w:rPr>
                <w:rFonts w:ascii="华文仿宋" w:hAnsi="华文仿宋" w:eastAsia="华文仿宋" w:cs="华文仿宋"/>
                <w:kern w:val="2"/>
                <w:sz w:val="28"/>
                <w:szCs w:val="28"/>
                <w:lang w:val="en-US" w:bidi="ar-SA"/>
              </w:rPr>
            </w:pPr>
            <w:r>
              <w:rPr>
                <w:rFonts w:ascii="华文仿宋" w:hAnsi="华文仿宋" w:eastAsia="华文仿宋" w:cs="华文仿宋"/>
                <w:kern w:val="2"/>
                <w:sz w:val="28"/>
                <w:szCs w:val="28"/>
                <w:lang w:val="en-US" w:bidi="ar-SA"/>
              </w:rPr>
              <w:t>GB/T 36972-2018</w:t>
            </w:r>
          </w:p>
        </w:tc>
        <w:tc>
          <w:tcPr>
            <w:tcW w:w="2490" w:type="dxa"/>
            <w:vMerge w:val="restart"/>
            <w:vAlign w:val="center"/>
          </w:tcPr>
          <w:p>
            <w:pPr>
              <w:widowControl/>
              <w:jc w:val="center"/>
              <w:textAlignment w:val="bottom"/>
              <w:rPr>
                <w:rFonts w:ascii="仿宋" w:hAnsi="仿宋" w:eastAsia="仿宋"/>
                <w:color w:val="000000"/>
                <w:sz w:val="24"/>
                <w:szCs w:val="24"/>
              </w:rPr>
            </w:pPr>
            <w:r>
              <w:rPr>
                <w:rFonts w:ascii="华文仿宋" w:hAnsi="华文仿宋" w:eastAsia="华文仿宋" w:cs="华文仿宋"/>
                <w:kern w:val="2"/>
                <w:sz w:val="28"/>
                <w:szCs w:val="28"/>
                <w:lang w:val="en-US" w:bidi="ar-SA"/>
              </w:rPr>
              <w:t>GB/T 36972-2018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2</w:t>
            </w:r>
          </w:p>
        </w:tc>
        <w:tc>
          <w:tcPr>
            <w:tcW w:w="3996"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极性标志</w:t>
            </w:r>
          </w:p>
        </w:tc>
        <w:tc>
          <w:tcPr>
            <w:tcW w:w="2693"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90"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3</w:t>
            </w:r>
          </w:p>
        </w:tc>
        <w:tc>
          <w:tcPr>
            <w:tcW w:w="3996"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I</w:t>
            </w:r>
            <w:r>
              <w:rPr>
                <w:rFonts w:hint="eastAsia" w:ascii="华文仿宋" w:hAnsi="华文仿宋" w:eastAsia="华文仿宋" w:cs="华文仿宋"/>
                <w:kern w:val="2"/>
                <w:sz w:val="28"/>
                <w:szCs w:val="28"/>
                <w:vertAlign w:val="subscript"/>
                <w:lang w:val="en-US" w:bidi="ar-SA"/>
              </w:rPr>
              <w:t>2</w:t>
            </w:r>
            <w:r>
              <w:rPr>
                <w:rFonts w:hint="eastAsia" w:ascii="华文仿宋" w:hAnsi="华文仿宋" w:eastAsia="华文仿宋" w:cs="华文仿宋"/>
                <w:kern w:val="2"/>
                <w:sz w:val="28"/>
                <w:szCs w:val="28"/>
                <w:lang w:val="en-US" w:bidi="ar-SA"/>
              </w:rPr>
              <w:t>(A)放电</w:t>
            </w:r>
          </w:p>
        </w:tc>
        <w:tc>
          <w:tcPr>
            <w:tcW w:w="2693"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90"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4</w:t>
            </w:r>
          </w:p>
        </w:tc>
        <w:tc>
          <w:tcPr>
            <w:tcW w:w="3996" w:type="dxa"/>
            <w:vAlign w:val="center"/>
          </w:tcPr>
          <w:p>
            <w:pPr>
              <w:autoSpaceDE/>
              <w:autoSpaceDN/>
              <w:spacing w:line="580" w:lineRule="exact"/>
              <w:jc w:val="center"/>
              <w:rPr>
                <w:rFonts w:hint="eastAsia" w:ascii="华文仿宋" w:hAnsi="华文仿宋" w:eastAsia="华文仿宋" w:cs="华文仿宋"/>
                <w:kern w:val="2"/>
                <w:sz w:val="28"/>
                <w:szCs w:val="28"/>
                <w:highlight w:val="none"/>
                <w:lang w:val="en-US" w:eastAsia="zh-CN" w:bidi="ar-SA"/>
              </w:rPr>
            </w:pPr>
            <w:r>
              <w:rPr>
                <w:rFonts w:hint="eastAsia" w:ascii="华文仿宋" w:hAnsi="华文仿宋" w:eastAsia="华文仿宋" w:cs="华文仿宋"/>
                <w:kern w:val="2"/>
                <w:sz w:val="28"/>
                <w:szCs w:val="28"/>
                <w:highlight w:val="none"/>
                <w:lang w:val="en-US" w:eastAsia="zh-CN" w:bidi="ar-SA"/>
              </w:rPr>
              <w:t>过放电保护</w:t>
            </w:r>
          </w:p>
        </w:tc>
        <w:tc>
          <w:tcPr>
            <w:tcW w:w="2693"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90"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5</w:t>
            </w:r>
          </w:p>
        </w:tc>
        <w:tc>
          <w:tcPr>
            <w:tcW w:w="3996" w:type="dxa"/>
            <w:vAlign w:val="center"/>
          </w:tcPr>
          <w:p>
            <w:pPr>
              <w:autoSpaceDE/>
              <w:autoSpaceDN/>
              <w:spacing w:line="580" w:lineRule="exact"/>
              <w:jc w:val="center"/>
              <w:rPr>
                <w:rFonts w:hint="eastAsia" w:ascii="华文仿宋" w:hAnsi="华文仿宋" w:eastAsia="华文仿宋" w:cs="华文仿宋"/>
                <w:kern w:val="2"/>
                <w:sz w:val="28"/>
                <w:szCs w:val="28"/>
                <w:highlight w:val="none"/>
                <w:lang w:val="en-US" w:eastAsia="zh-CN" w:bidi="ar-SA"/>
              </w:rPr>
            </w:pPr>
            <w:r>
              <w:rPr>
                <w:rFonts w:hint="eastAsia" w:ascii="华文仿宋" w:hAnsi="华文仿宋" w:eastAsia="华文仿宋" w:cs="华文仿宋"/>
                <w:kern w:val="2"/>
                <w:sz w:val="28"/>
                <w:szCs w:val="28"/>
                <w:highlight w:val="none"/>
                <w:lang w:val="en-US" w:eastAsia="zh-CN" w:bidi="ar-SA"/>
              </w:rPr>
              <w:t>短路保护</w:t>
            </w:r>
          </w:p>
        </w:tc>
        <w:tc>
          <w:tcPr>
            <w:tcW w:w="2693"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90"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6</w:t>
            </w:r>
          </w:p>
        </w:tc>
        <w:tc>
          <w:tcPr>
            <w:tcW w:w="3996" w:type="dxa"/>
            <w:vAlign w:val="center"/>
          </w:tcPr>
          <w:p>
            <w:pPr>
              <w:autoSpaceDE/>
              <w:autoSpaceDN/>
              <w:spacing w:line="580" w:lineRule="exact"/>
              <w:jc w:val="center"/>
              <w:rPr>
                <w:rFonts w:hint="eastAsia" w:ascii="华文仿宋" w:hAnsi="华文仿宋" w:eastAsia="华文仿宋" w:cs="华文仿宋"/>
                <w:kern w:val="2"/>
                <w:sz w:val="28"/>
                <w:szCs w:val="28"/>
                <w:highlight w:val="none"/>
                <w:lang w:val="en-US" w:eastAsia="zh-CN" w:bidi="ar-SA"/>
              </w:rPr>
            </w:pPr>
            <w:r>
              <w:rPr>
                <w:rFonts w:hint="eastAsia" w:ascii="华文仿宋" w:hAnsi="华文仿宋" w:eastAsia="华文仿宋" w:cs="华文仿宋"/>
                <w:kern w:val="2"/>
                <w:sz w:val="28"/>
                <w:szCs w:val="28"/>
                <w:highlight w:val="none"/>
                <w:lang w:val="en-US" w:eastAsia="zh-CN" w:bidi="ar-SA"/>
              </w:rPr>
              <w:t>放电过流保护</w:t>
            </w:r>
          </w:p>
        </w:tc>
        <w:tc>
          <w:tcPr>
            <w:tcW w:w="2693"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90" w:type="dxa"/>
            <w:vMerge w:val="continue"/>
            <w:vAlign w:val="bottom"/>
          </w:tcPr>
          <w:p>
            <w:pPr>
              <w:spacing w:line="360" w:lineRule="auto"/>
              <w:jc w:val="center"/>
              <w:textAlignment w:val="bottom"/>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7</w:t>
            </w:r>
          </w:p>
        </w:tc>
        <w:tc>
          <w:tcPr>
            <w:tcW w:w="3996" w:type="dxa"/>
            <w:vAlign w:val="center"/>
          </w:tcPr>
          <w:p>
            <w:pPr>
              <w:autoSpaceDE/>
              <w:autoSpaceDN/>
              <w:spacing w:line="580" w:lineRule="exact"/>
              <w:jc w:val="center"/>
              <w:rPr>
                <w:rFonts w:hint="eastAsia" w:ascii="华文仿宋" w:hAnsi="华文仿宋" w:eastAsia="华文仿宋" w:cs="华文仿宋"/>
                <w:kern w:val="2"/>
                <w:sz w:val="28"/>
                <w:szCs w:val="28"/>
                <w:highlight w:val="none"/>
                <w:lang w:val="en-US" w:eastAsia="zh-CN" w:bidi="ar-SA"/>
              </w:rPr>
            </w:pPr>
            <w:r>
              <w:rPr>
                <w:rFonts w:hint="eastAsia" w:ascii="华文仿宋" w:hAnsi="华文仿宋" w:eastAsia="华文仿宋" w:cs="华文仿宋"/>
                <w:kern w:val="2"/>
                <w:sz w:val="28"/>
                <w:szCs w:val="28"/>
                <w:highlight w:val="none"/>
                <w:lang w:val="en-US" w:eastAsia="zh-CN" w:bidi="ar-SA"/>
              </w:rPr>
              <w:t>标志</w:t>
            </w:r>
          </w:p>
        </w:tc>
        <w:tc>
          <w:tcPr>
            <w:tcW w:w="2693"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90" w:type="dxa"/>
            <w:vMerge w:val="continue"/>
            <w:vAlign w:val="bottom"/>
          </w:tcPr>
          <w:p>
            <w:pPr>
              <w:spacing w:line="360" w:lineRule="auto"/>
              <w:jc w:val="center"/>
              <w:textAlignment w:val="bottom"/>
              <w:rPr>
                <w:rFonts w:ascii="仿宋" w:hAnsi="仿宋" w:eastAsia="仿宋"/>
                <w:color w:val="000000"/>
                <w:sz w:val="24"/>
                <w:szCs w:val="24"/>
              </w:rPr>
            </w:pPr>
          </w:p>
        </w:tc>
      </w:tr>
    </w:tbl>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检验方法包括相关产品标准及试验方法标准。</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凡是注日期的文件，其随后所有的修改单（不包括勘误的内容）或修订版不适用于本细则。凡是不注日期的文件，其最新版本适用于本细则。</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4.判定规则</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4.1依据标准</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ascii="华文仿宋" w:hAnsi="华文仿宋" w:eastAsia="华文仿宋" w:cs="华文仿宋"/>
          <w:kern w:val="2"/>
          <w:sz w:val="32"/>
          <w:szCs w:val="32"/>
          <w:lang w:val="en-US" w:bidi="ar-SA"/>
        </w:rPr>
        <w:t>GB/T 22199.1-2017 《电动助力车用阀控式铅酸蓄电池 第1部分：技术条件》</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ascii="华文仿宋" w:hAnsi="华文仿宋" w:eastAsia="华文仿宋" w:cs="华文仿宋"/>
          <w:kern w:val="2"/>
          <w:sz w:val="32"/>
          <w:szCs w:val="32"/>
          <w:lang w:val="en-US" w:bidi="ar-SA"/>
        </w:rPr>
        <w:t>GB/T 22199.2-2017 《电动助力车用阀控式铅酸蓄电池 第2部分：产品品种和规格》</w:t>
      </w:r>
    </w:p>
    <w:p>
      <w:pPr>
        <w:snapToGrid w:val="0"/>
        <w:spacing w:line="480" w:lineRule="exact"/>
        <w:ind w:firstLine="614" w:firstLineChars="192"/>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T/ZJXDC 001-2021 《电动自行车用阀控式铅酸蓄电池》</w:t>
      </w:r>
    </w:p>
    <w:p>
      <w:pPr>
        <w:snapToGrid w:val="0"/>
        <w:spacing w:line="480" w:lineRule="exact"/>
        <w:ind w:firstLine="614" w:firstLineChars="192"/>
        <w:rPr>
          <w:rFonts w:ascii="华文仿宋" w:hAnsi="华文仿宋" w:eastAsia="华文仿宋" w:cs="华文仿宋"/>
          <w:kern w:val="2"/>
          <w:sz w:val="32"/>
          <w:szCs w:val="32"/>
          <w:lang w:val="en-US" w:bidi="ar-SA"/>
        </w:rPr>
      </w:pPr>
      <w:r>
        <w:rPr>
          <w:rFonts w:ascii="华文仿宋" w:hAnsi="华文仿宋" w:eastAsia="华文仿宋" w:cs="华文仿宋"/>
          <w:kern w:val="2"/>
          <w:sz w:val="32"/>
          <w:szCs w:val="32"/>
          <w:lang w:val="en-US" w:bidi="ar-SA"/>
        </w:rPr>
        <w:t>GB/T 36972-2018</w:t>
      </w:r>
      <w:r>
        <w:rPr>
          <w:rFonts w:hint="eastAsia" w:ascii="华文仿宋" w:hAnsi="华文仿宋" w:eastAsia="华文仿宋" w:cs="华文仿宋"/>
          <w:kern w:val="2"/>
          <w:sz w:val="32"/>
          <w:szCs w:val="32"/>
          <w:lang w:val="en-US" w:bidi="ar-SA"/>
        </w:rPr>
        <w:t>《电动自行车用锂离子蓄电池》</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现行有效的企业标准、团体标准、地方标准及产品明示质量要求</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4.2判定原则</w:t>
      </w:r>
    </w:p>
    <w:p>
      <w:pPr>
        <w:autoSpaceDE/>
        <w:autoSpaceDN/>
        <w:spacing w:line="580" w:lineRule="exact"/>
        <w:ind w:firstLine="640" w:firstLineChars="200"/>
        <w:jc w:val="both"/>
        <w:rPr>
          <w:rFonts w:hint="eastAsia"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经检验，检验项目全部合格，判定为被抽查产品未发现不合格; 检验项目中任一项或一项以上不合格，判定为被抽查产品不合格。</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若被检产品明示的质量要求高于本细则中检验项目依据的标准要求时，应按被检产品明示的质量要求判定。</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若被检产品明示的质量要求低于本细则中检验项目依据的强制性标准要求时，应按照强制性标准要求判定。</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若被检产品明示的质量要求低于或包含细则中检验项目依据的推荐性标准要求时，应以被检产品明示的质量要求判定，但应在检验报告备注中进行说明。</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若被检产品明示的质量要求缺少本细则中检验项目依据的强制性标准要求时，应按照强制性标准要求判定。</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若被检产品明示的质量要求缺少本细则中检验项目依据的推荐性标准要求时，该项目不参与判定，但应在检验报告备注中进行说明。</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5.异议处理</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5.1对监督抽查程序有异议的，由任务下达部门核查相关证据后维持或者撤销原检验结果。</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5.2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5.3对样品信息有异议的，任务下达部门核查样品确认情况和生产企业提交证明材料后，维持或者撤销原检验结果。</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5.4依据产品执行标准要求，复检日期距样品生产日期超过3个月，不予复检。</w:t>
      </w:r>
    </w:p>
    <w:p>
      <w:pPr>
        <w:pStyle w:val="5"/>
        <w:tabs>
          <w:tab w:val="left" w:pos="967"/>
          <w:tab w:val="left" w:pos="969"/>
        </w:tabs>
        <w:spacing w:before="120" w:line="360" w:lineRule="auto"/>
        <w:ind w:left="0" w:firstLine="420" w:firstLineChars="200"/>
        <w:rPr>
          <w:rFonts w:ascii="华文仿宋" w:hAnsi="华文仿宋" w:eastAsia="华文仿宋" w:cs="华文仿宋"/>
          <w:kern w:val="2"/>
        </w:rPr>
      </w:pPr>
    </w:p>
    <w:sectPr>
      <w:footerReference r:id="rId3" w:type="default"/>
      <w:pgSz w:w="11910" w:h="16840"/>
      <w:pgMar w:top="1440" w:right="1080" w:bottom="1440" w:left="10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3622675</wp:posOffset>
              </wp:positionH>
              <wp:positionV relativeFrom="page">
                <wp:posOffset>9937750</wp:posOffset>
              </wp:positionV>
              <wp:extent cx="315595" cy="17335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315595" cy="173355"/>
                      </a:xfrm>
                      <a:prstGeom prst="rect">
                        <a:avLst/>
                      </a:prstGeom>
                      <a:noFill/>
                      <a:ln>
                        <a:noFill/>
                      </a:ln>
                      <a:effectLst/>
                    </wps:spPr>
                    <wps:txbx>
                      <w:txbxContent>
                        <w:p>
                          <w:pPr>
                            <w:pStyle w:val="6"/>
                            <w:spacing w:before="11"/>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w:t>
                          </w:r>
                          <w:r>
                            <w:fldChar w:fldCharType="end"/>
                          </w:r>
                          <w:r>
                            <w:rPr>
                              <w:rFonts w:ascii="Times New Roman"/>
                            </w:rPr>
                            <w:t xml:space="preserve"> -</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5.25pt;margin-top:782.5pt;height:13.65pt;width:24.85pt;mso-position-horizontal-relative:page;mso-position-vertical-relative:page;z-index:-251657216;mso-width-relative:page;mso-height-relative:page;" filled="f" stroked="f" coordsize="21600,21600" o:gfxdata="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rdppNoAAAANAQAADwAAAAAAAAABACAAAAAiAAAAZHJz&#10;L2Rvd25yZXYueG1sUEsBAhQAFAAAAAgAh07iQNWJauoCAgAAEQQAAA4AAAAAAAAAAQAgAAAAKQEA&#10;AGRycy9lMm9Eb2MueG1sUEsFBgAAAAAGAAYAWQEAAJ0FAAAAAA==&#10;">
              <v:fill on="f" focussize="0,0"/>
              <v:stroke on="f"/>
              <v:imagedata o:title=""/>
              <o:lock v:ext="edit" aspectratio="f"/>
              <v:textbox inset="0mm,0mm,0mm,0mm">
                <w:txbxContent>
                  <w:p>
                    <w:pPr>
                      <w:pStyle w:val="6"/>
                      <w:spacing w:before="11"/>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w:t>
                    </w:r>
                    <w:r>
                      <w:fldChar w:fldCharType="end"/>
                    </w:r>
                    <w:r>
                      <w:rPr>
                        <w:rFonts w:ascii="Times New Roma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OTJjZjYwODEzYmJjMGNkOGZlMmI2M2JkMjc1MmMifQ=="/>
  </w:docVars>
  <w:rsids>
    <w:rsidRoot w:val="00D74BB0"/>
    <w:rsid w:val="00003CB9"/>
    <w:rsid w:val="0000650C"/>
    <w:rsid w:val="0003266E"/>
    <w:rsid w:val="00042E52"/>
    <w:rsid w:val="00075D2C"/>
    <w:rsid w:val="000831B2"/>
    <w:rsid w:val="000B49E3"/>
    <w:rsid w:val="000D5189"/>
    <w:rsid w:val="000E438C"/>
    <w:rsid w:val="000F1035"/>
    <w:rsid w:val="00114B79"/>
    <w:rsid w:val="0014539D"/>
    <w:rsid w:val="00164799"/>
    <w:rsid w:val="00164C00"/>
    <w:rsid w:val="001760BA"/>
    <w:rsid w:val="00182A27"/>
    <w:rsid w:val="00194036"/>
    <w:rsid w:val="001A6961"/>
    <w:rsid w:val="001C333A"/>
    <w:rsid w:val="001C67A8"/>
    <w:rsid w:val="001E5F71"/>
    <w:rsid w:val="0021001E"/>
    <w:rsid w:val="0022469F"/>
    <w:rsid w:val="002362B9"/>
    <w:rsid w:val="002659C9"/>
    <w:rsid w:val="002851E4"/>
    <w:rsid w:val="00297E9B"/>
    <w:rsid w:val="002B32DB"/>
    <w:rsid w:val="002B6731"/>
    <w:rsid w:val="002D7400"/>
    <w:rsid w:val="0030185E"/>
    <w:rsid w:val="003031BA"/>
    <w:rsid w:val="00307F15"/>
    <w:rsid w:val="003175BB"/>
    <w:rsid w:val="003203EF"/>
    <w:rsid w:val="00341E60"/>
    <w:rsid w:val="003458A7"/>
    <w:rsid w:val="00345B75"/>
    <w:rsid w:val="0036591F"/>
    <w:rsid w:val="003669AF"/>
    <w:rsid w:val="00395BCD"/>
    <w:rsid w:val="003D4C42"/>
    <w:rsid w:val="003E45D1"/>
    <w:rsid w:val="004058B1"/>
    <w:rsid w:val="00432A23"/>
    <w:rsid w:val="00432AC1"/>
    <w:rsid w:val="00435ACF"/>
    <w:rsid w:val="004626D2"/>
    <w:rsid w:val="0046781D"/>
    <w:rsid w:val="00477D1A"/>
    <w:rsid w:val="00491441"/>
    <w:rsid w:val="00493196"/>
    <w:rsid w:val="004B1147"/>
    <w:rsid w:val="004B1CE9"/>
    <w:rsid w:val="00533F57"/>
    <w:rsid w:val="00537E82"/>
    <w:rsid w:val="00557205"/>
    <w:rsid w:val="005833D3"/>
    <w:rsid w:val="005F2F00"/>
    <w:rsid w:val="00611AA6"/>
    <w:rsid w:val="00611E80"/>
    <w:rsid w:val="00614648"/>
    <w:rsid w:val="00621C5C"/>
    <w:rsid w:val="00653ABD"/>
    <w:rsid w:val="00684D22"/>
    <w:rsid w:val="00697DE0"/>
    <w:rsid w:val="006B3A82"/>
    <w:rsid w:val="007255B4"/>
    <w:rsid w:val="007312EA"/>
    <w:rsid w:val="0074736E"/>
    <w:rsid w:val="00775579"/>
    <w:rsid w:val="00792EA6"/>
    <w:rsid w:val="007B1034"/>
    <w:rsid w:val="007B6381"/>
    <w:rsid w:val="007E4818"/>
    <w:rsid w:val="007F454A"/>
    <w:rsid w:val="008225CF"/>
    <w:rsid w:val="008341A2"/>
    <w:rsid w:val="008A359A"/>
    <w:rsid w:val="008B2FEB"/>
    <w:rsid w:val="008E4224"/>
    <w:rsid w:val="008E5A43"/>
    <w:rsid w:val="008F390B"/>
    <w:rsid w:val="009034C0"/>
    <w:rsid w:val="00903E92"/>
    <w:rsid w:val="00923C62"/>
    <w:rsid w:val="009249DD"/>
    <w:rsid w:val="00951698"/>
    <w:rsid w:val="009555B3"/>
    <w:rsid w:val="0098052D"/>
    <w:rsid w:val="00981318"/>
    <w:rsid w:val="009817AD"/>
    <w:rsid w:val="009868AE"/>
    <w:rsid w:val="009A70C7"/>
    <w:rsid w:val="00A30987"/>
    <w:rsid w:val="00A317F4"/>
    <w:rsid w:val="00A60356"/>
    <w:rsid w:val="00A61ABB"/>
    <w:rsid w:val="00AA3B6D"/>
    <w:rsid w:val="00AC0C0B"/>
    <w:rsid w:val="00AC3FED"/>
    <w:rsid w:val="00AD654A"/>
    <w:rsid w:val="00AE2A65"/>
    <w:rsid w:val="00AF6DC8"/>
    <w:rsid w:val="00B52AAF"/>
    <w:rsid w:val="00B636B0"/>
    <w:rsid w:val="00B913AD"/>
    <w:rsid w:val="00B93F08"/>
    <w:rsid w:val="00B95581"/>
    <w:rsid w:val="00BC446E"/>
    <w:rsid w:val="00BD18CC"/>
    <w:rsid w:val="00C16AD7"/>
    <w:rsid w:val="00C201F5"/>
    <w:rsid w:val="00C53ED0"/>
    <w:rsid w:val="00C9766F"/>
    <w:rsid w:val="00CC1D12"/>
    <w:rsid w:val="00CC270B"/>
    <w:rsid w:val="00CD7B32"/>
    <w:rsid w:val="00CF62EF"/>
    <w:rsid w:val="00CF7936"/>
    <w:rsid w:val="00D62970"/>
    <w:rsid w:val="00D74673"/>
    <w:rsid w:val="00D74BB0"/>
    <w:rsid w:val="00D84322"/>
    <w:rsid w:val="00D8775B"/>
    <w:rsid w:val="00DD4AF9"/>
    <w:rsid w:val="00DE0750"/>
    <w:rsid w:val="00DE70E1"/>
    <w:rsid w:val="00E02AF4"/>
    <w:rsid w:val="00E17597"/>
    <w:rsid w:val="00E25A8D"/>
    <w:rsid w:val="00ED0500"/>
    <w:rsid w:val="00ED4951"/>
    <w:rsid w:val="00EF178A"/>
    <w:rsid w:val="00F12F64"/>
    <w:rsid w:val="00F2233E"/>
    <w:rsid w:val="00F3360C"/>
    <w:rsid w:val="00FB0EB0"/>
    <w:rsid w:val="00FB508A"/>
    <w:rsid w:val="00FB58BD"/>
    <w:rsid w:val="00FC734D"/>
    <w:rsid w:val="00FD0FAC"/>
    <w:rsid w:val="00FE13D5"/>
    <w:rsid w:val="00FE3B4C"/>
    <w:rsid w:val="00FF7430"/>
    <w:rsid w:val="0A1A36A0"/>
    <w:rsid w:val="0B007BD2"/>
    <w:rsid w:val="117D5540"/>
    <w:rsid w:val="14BD0584"/>
    <w:rsid w:val="1AD867BE"/>
    <w:rsid w:val="209C6D05"/>
    <w:rsid w:val="32071B68"/>
    <w:rsid w:val="37F95C4C"/>
    <w:rsid w:val="3F7DE560"/>
    <w:rsid w:val="4C753AE6"/>
    <w:rsid w:val="4D792D05"/>
    <w:rsid w:val="4F174970"/>
    <w:rsid w:val="50FB3A26"/>
    <w:rsid w:val="523A01ED"/>
    <w:rsid w:val="5E631DAD"/>
    <w:rsid w:val="68EE2392"/>
    <w:rsid w:val="70787AE6"/>
    <w:rsid w:val="776E249A"/>
    <w:rsid w:val="FB7F0493"/>
    <w:rsid w:val="FDFB4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121" w:right="2138"/>
      <w:jc w:val="center"/>
      <w:outlineLvl w:val="0"/>
    </w:pPr>
    <w:rPr>
      <w:b/>
      <w:bCs/>
      <w:sz w:val="32"/>
      <w:szCs w:val="32"/>
    </w:rPr>
  </w:style>
  <w:style w:type="paragraph" w:styleId="3">
    <w:name w:val="heading 2"/>
    <w:basedOn w:val="1"/>
    <w:next w:val="1"/>
    <w:qFormat/>
    <w:uiPriority w:val="1"/>
    <w:pPr>
      <w:ind w:left="789"/>
      <w:outlineLvl w:val="1"/>
    </w:pPr>
    <w:rPr>
      <w:b/>
      <w:bCs/>
      <w:sz w:val="28"/>
      <w:szCs w:val="28"/>
    </w:rPr>
  </w:style>
  <w:style w:type="paragraph" w:styleId="4">
    <w:name w:val="heading 3"/>
    <w:basedOn w:val="1"/>
    <w:next w:val="1"/>
    <w:qFormat/>
    <w:uiPriority w:val="1"/>
    <w:pPr>
      <w:spacing w:before="186"/>
      <w:ind w:left="227"/>
      <w:outlineLvl w:val="2"/>
    </w:pPr>
    <w:rPr>
      <w:sz w:val="28"/>
      <w:szCs w:val="28"/>
    </w:rPr>
  </w:style>
  <w:style w:type="paragraph" w:styleId="5">
    <w:name w:val="heading 4"/>
    <w:basedOn w:val="1"/>
    <w:next w:val="1"/>
    <w:qFormat/>
    <w:uiPriority w:val="1"/>
    <w:pPr>
      <w:ind w:left="862"/>
      <w:outlineLvl w:val="3"/>
    </w:pPr>
    <w:rPr>
      <w:b/>
      <w:bCs/>
      <w:sz w:val="21"/>
      <w:szCs w:val="21"/>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9"/>
    <w:qFormat/>
    <w:uiPriority w:val="1"/>
    <w:rPr>
      <w:sz w:val="21"/>
      <w:szCs w:val="21"/>
    </w:rPr>
  </w:style>
  <w:style w:type="paragraph" w:styleId="7">
    <w:name w:val="Balloon Text"/>
    <w:basedOn w:val="1"/>
    <w:link w:val="16"/>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unhideWhenUsed/>
    <w:qFormat/>
    <w:uiPriority w:val="2"/>
    <w:tblPr>
      <w:tblCellMar>
        <w:top w:w="0" w:type="dxa"/>
        <w:left w:w="0" w:type="dxa"/>
        <w:bottom w:w="0" w:type="dxa"/>
        <w:right w:w="0" w:type="dxa"/>
      </w:tblCellMar>
    </w:tblPr>
  </w:style>
  <w:style w:type="paragraph" w:customStyle="1" w:styleId="14">
    <w:name w:val="列出段落1"/>
    <w:basedOn w:val="1"/>
    <w:qFormat/>
    <w:uiPriority w:val="1"/>
    <w:pPr>
      <w:ind w:left="227" w:firstLine="420"/>
    </w:pPr>
  </w:style>
  <w:style w:type="paragraph" w:customStyle="1" w:styleId="15">
    <w:name w:val="Table Paragraph"/>
    <w:basedOn w:val="1"/>
    <w:qFormat/>
    <w:uiPriority w:val="1"/>
  </w:style>
  <w:style w:type="character" w:customStyle="1" w:styleId="16">
    <w:name w:val="批注框文本 字符"/>
    <w:basedOn w:val="12"/>
    <w:link w:val="7"/>
    <w:semiHidden/>
    <w:qFormat/>
    <w:uiPriority w:val="99"/>
    <w:rPr>
      <w:rFonts w:ascii="宋体" w:hAnsi="宋体" w:eastAsia="宋体" w:cs="宋体"/>
      <w:sz w:val="18"/>
      <w:szCs w:val="18"/>
      <w:lang w:val="zh-CN" w:eastAsia="zh-CN" w:bidi="zh-CN"/>
    </w:rPr>
  </w:style>
  <w:style w:type="character" w:customStyle="1" w:styleId="17">
    <w:name w:val="页眉 字符"/>
    <w:basedOn w:val="12"/>
    <w:link w:val="9"/>
    <w:qFormat/>
    <w:uiPriority w:val="99"/>
    <w:rPr>
      <w:rFonts w:ascii="宋体" w:hAnsi="宋体" w:eastAsia="宋体" w:cs="宋体"/>
      <w:sz w:val="18"/>
      <w:szCs w:val="18"/>
      <w:lang w:val="zh-CN" w:eastAsia="zh-CN" w:bidi="zh-CN"/>
    </w:rPr>
  </w:style>
  <w:style w:type="character" w:customStyle="1" w:styleId="18">
    <w:name w:val="页脚 字符"/>
    <w:basedOn w:val="12"/>
    <w:link w:val="8"/>
    <w:qFormat/>
    <w:uiPriority w:val="99"/>
    <w:rPr>
      <w:rFonts w:ascii="宋体" w:hAnsi="宋体" w:eastAsia="宋体" w:cs="宋体"/>
      <w:sz w:val="18"/>
      <w:szCs w:val="18"/>
      <w:lang w:val="zh-CN" w:eastAsia="zh-CN" w:bidi="zh-CN"/>
    </w:rPr>
  </w:style>
  <w:style w:type="character" w:customStyle="1" w:styleId="19">
    <w:name w:val="正文文本 字符"/>
    <w:basedOn w:val="12"/>
    <w:link w:val="6"/>
    <w:qFormat/>
    <w:uiPriority w:val="1"/>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合肥产品质量监督检验研究院</Company>
  <Pages>5</Pages>
  <Words>1492</Words>
  <Characters>1710</Characters>
  <Lines>13</Lines>
  <Paragraphs>3</Paragraphs>
  <TotalTime>0</TotalTime>
  <ScaleCrop>false</ScaleCrop>
  <LinksUpToDate>false</LinksUpToDate>
  <CharactersWithSpaces>1737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2020-07-30T06:43:00Z</dcterms:created>
  <dc:creator>合肥质检院，程浩</dc:creator>
  <cp:lastModifiedBy>蔡爽</cp:lastModifiedBy>
  <dcterms:modified xsi:type="dcterms:W3CDTF">2024-01-09T02:56:57Z</dcterms:modified>
  <dc:title>安全帽产品质量监督抽查实施细则</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Creator">
    <vt:lpwstr>PScript5.dll Version 5.2</vt:lpwstr>
  </property>
  <property fmtid="{D5CDD505-2E9C-101B-9397-08002B2CF9AE}" pid="4" name="LastSaved">
    <vt:filetime>2019-01-21T00:00:00Z</vt:filetime>
  </property>
  <property fmtid="{D5CDD505-2E9C-101B-9397-08002B2CF9AE}" pid="5" name="KSOProductBuildVer">
    <vt:lpwstr>2052-12.1.0.15990</vt:lpwstr>
  </property>
  <property fmtid="{D5CDD505-2E9C-101B-9397-08002B2CF9AE}" pid="6" name="ICV">
    <vt:lpwstr>9854EFB607FC4BCAA916356687293A66_13</vt:lpwstr>
  </property>
</Properties>
</file>