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napToGrid w:val="0"/>
        <w:spacing w:line="580" w:lineRule="exact"/>
        <w:jc w:val="center"/>
        <w:rPr>
          <w:rFonts w:ascii="方正小标宋_GBK" w:hAnsi="华文仿宋" w:eastAsia="方正小标宋_GBK" w:cs="华文仿宋"/>
          <w:bCs/>
          <w:color w:val="000000"/>
          <w:kern w:val="2"/>
          <w:sz w:val="44"/>
          <w:szCs w:val="44"/>
          <w:lang w:val="en-US" w:bidi="ar-SA"/>
        </w:rPr>
      </w:pPr>
      <w:r>
        <w:rPr>
          <w:rFonts w:hint="eastAsia" w:ascii="方正小标宋_GBK" w:hAnsi="华文仿宋" w:eastAsia="方正小标宋_GBK" w:cs="华文仿宋"/>
          <w:bCs/>
          <w:color w:val="000000"/>
          <w:kern w:val="2"/>
          <w:sz w:val="44"/>
          <w:szCs w:val="44"/>
          <w:lang w:val="en-US" w:bidi="ar-SA"/>
        </w:rPr>
        <w:t>202</w:t>
      </w:r>
      <w:r>
        <w:rPr>
          <w:rFonts w:hint="eastAsia" w:ascii="方正小标宋_GBK" w:hAnsi="华文仿宋" w:eastAsia="方正小标宋_GBK" w:cs="华文仿宋"/>
          <w:bCs/>
          <w:color w:val="000000"/>
          <w:kern w:val="2"/>
          <w:sz w:val="44"/>
          <w:szCs w:val="44"/>
          <w:lang w:val="en-US" w:eastAsia="zh-CN" w:bidi="ar-SA"/>
        </w:rPr>
        <w:t>4</w:t>
      </w:r>
      <w:r>
        <w:rPr>
          <w:rFonts w:hint="eastAsia" w:ascii="方正小标宋_GBK" w:hAnsi="华文仿宋" w:eastAsia="方正小标宋_GBK" w:cs="华文仿宋"/>
          <w:bCs/>
          <w:color w:val="000000"/>
          <w:kern w:val="2"/>
          <w:sz w:val="44"/>
          <w:szCs w:val="44"/>
          <w:lang w:val="en-US" w:bidi="ar-SA"/>
        </w:rPr>
        <w:t>年泰州市电动自行车产品质量监督抽查</w:t>
      </w:r>
    </w:p>
    <w:p>
      <w:pPr>
        <w:autoSpaceDE/>
        <w:autoSpaceDN/>
        <w:snapToGrid w:val="0"/>
        <w:spacing w:line="580" w:lineRule="exact"/>
        <w:jc w:val="center"/>
        <w:rPr>
          <w:rFonts w:ascii="方正小标宋_GBK" w:hAnsi="华文仿宋" w:eastAsia="方正小标宋_GBK" w:cs="华文仿宋"/>
          <w:bCs/>
          <w:color w:val="000000"/>
          <w:kern w:val="2"/>
          <w:sz w:val="44"/>
          <w:szCs w:val="44"/>
          <w:lang w:val="en-US" w:bidi="ar-SA"/>
        </w:rPr>
      </w:pPr>
      <w:r>
        <w:rPr>
          <w:rFonts w:hint="eastAsia" w:ascii="方正小标宋_GBK" w:hAnsi="华文仿宋" w:eastAsia="方正小标宋_GBK" w:cs="华文仿宋"/>
          <w:bCs/>
          <w:color w:val="000000"/>
          <w:kern w:val="2"/>
          <w:sz w:val="44"/>
          <w:szCs w:val="44"/>
          <w:lang w:val="en-US" w:bidi="ar-SA"/>
        </w:rPr>
        <w:t>实施细则</w:t>
      </w:r>
    </w:p>
    <w:p>
      <w:pPr>
        <w:autoSpaceDE/>
        <w:autoSpaceDN/>
        <w:snapToGrid w:val="0"/>
        <w:spacing w:line="580" w:lineRule="exact"/>
        <w:jc w:val="center"/>
        <w:rPr>
          <w:rFonts w:hint="eastAsia" w:ascii="方正小标宋_GBK" w:hAnsi="华文仿宋" w:eastAsia="方正小标宋_GBK" w:cs="华文仿宋"/>
          <w:bCs/>
          <w:kern w:val="2"/>
          <w:sz w:val="32"/>
          <w:szCs w:val="32"/>
          <w:lang w:val="en-US" w:bidi="ar-SA"/>
        </w:rPr>
      </w:pPr>
    </w:p>
    <w:p>
      <w:pPr>
        <w:autoSpaceDE/>
        <w:autoSpaceDN/>
        <w:spacing w:line="580" w:lineRule="exact"/>
        <w:ind w:firstLine="641" w:firstLineChars="200"/>
        <w:jc w:val="both"/>
        <w:rPr>
          <w:rFonts w:ascii="华文仿宋" w:hAnsi="华文仿宋" w:eastAsia="华文仿宋" w:cs="华文仿宋"/>
          <w:b/>
          <w:kern w:val="2"/>
          <w:sz w:val="32"/>
          <w:szCs w:val="32"/>
          <w:lang w:val="en-US" w:bidi="ar-SA"/>
        </w:rPr>
      </w:pPr>
      <w:r>
        <w:rPr>
          <w:rFonts w:hint="eastAsia" w:ascii="华文仿宋" w:hAnsi="华文仿宋" w:eastAsia="华文仿宋" w:cs="华文仿宋"/>
          <w:b/>
          <w:kern w:val="2"/>
          <w:sz w:val="32"/>
          <w:szCs w:val="32"/>
          <w:lang w:val="en-US" w:bidi="ar-SA"/>
        </w:rPr>
        <w:t>1. 范围</w:t>
      </w:r>
    </w:p>
    <w:p>
      <w:pPr>
        <w:autoSpaceDE/>
        <w:autoSpaceDN/>
        <w:spacing w:line="580" w:lineRule="exact"/>
        <w:ind w:firstLine="640" w:firstLineChars="200"/>
        <w:jc w:val="both"/>
        <w:rPr>
          <w:rFonts w:ascii="华文仿宋" w:hAnsi="华文仿宋" w:eastAsia="华文仿宋" w:cs="华文仿宋"/>
          <w:b/>
          <w:kern w:val="2"/>
          <w:sz w:val="32"/>
          <w:szCs w:val="32"/>
          <w:lang w:val="en-US" w:bidi="ar-SA"/>
        </w:rPr>
      </w:pPr>
      <w:r>
        <w:rPr>
          <w:rFonts w:hint="eastAsia" w:ascii="华文仿宋" w:hAnsi="华文仿宋" w:eastAsia="华文仿宋" w:cs="华文仿宋"/>
          <w:kern w:val="2"/>
          <w:sz w:val="32"/>
          <w:szCs w:val="32"/>
          <w:lang w:val="en-US" w:bidi="ar-SA"/>
        </w:rPr>
        <w:t>本细则适用于泰州市市场监督管理局组织的电动自行车产品质量监督抽查。本细则规定了此产品的抽样方法、检验依据、检验项目、检验方法、判定原则、异议处理及复检。</w:t>
      </w:r>
    </w:p>
    <w:p>
      <w:pPr>
        <w:autoSpaceDE/>
        <w:autoSpaceDN/>
        <w:spacing w:line="580" w:lineRule="exact"/>
        <w:ind w:firstLine="641" w:firstLineChars="200"/>
        <w:jc w:val="both"/>
        <w:rPr>
          <w:rFonts w:ascii="华文仿宋" w:hAnsi="华文仿宋" w:eastAsia="华文仿宋" w:cs="华文仿宋"/>
          <w:b/>
          <w:kern w:val="2"/>
          <w:sz w:val="32"/>
          <w:szCs w:val="32"/>
          <w:lang w:val="en-US" w:bidi="ar-SA"/>
        </w:rPr>
      </w:pPr>
      <w:r>
        <w:rPr>
          <w:rFonts w:hint="eastAsia" w:ascii="华文仿宋" w:hAnsi="华文仿宋" w:eastAsia="华文仿宋" w:cs="华文仿宋"/>
          <w:b/>
          <w:kern w:val="2"/>
          <w:sz w:val="32"/>
          <w:szCs w:val="32"/>
          <w:lang w:val="en-US" w:bidi="ar-SA"/>
        </w:rPr>
        <w:t>2 .抽样方法</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2.1抽样型号或规格</w:t>
      </w:r>
    </w:p>
    <w:p>
      <w:pPr>
        <w:autoSpaceDE/>
        <w:autoSpaceDN/>
        <w:spacing w:line="580" w:lineRule="exact"/>
        <w:ind w:firstLine="640" w:firstLineChars="200"/>
        <w:jc w:val="both"/>
        <w:rPr>
          <w:rFonts w:hint="eastAsia"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抽取样品应为同一型号规格、同一批次的产品。</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2.2抽样方法及数量</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在受检企业的成品仓库或者其确认场所，随机抽取有产品质量检验合格证明或者其他形式表明合格的待销产品</w:t>
      </w:r>
      <w:bookmarkStart w:id="0" w:name="_GoBack"/>
      <w:bookmarkEnd w:id="0"/>
      <w:r>
        <w:rPr>
          <w:rFonts w:hint="eastAsia" w:ascii="华文仿宋" w:hAnsi="华文仿宋" w:eastAsia="华文仿宋" w:cs="华文仿宋"/>
          <w:kern w:val="2"/>
          <w:sz w:val="32"/>
          <w:szCs w:val="32"/>
          <w:lang w:val="en-US" w:bidi="ar-SA"/>
        </w:rPr>
        <w:t>。</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单批次抽样数量为2辆，其中检验样品1辆，备用样品1辆。抽查样品基数满足抽样数量即可。</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随机数一般可使用随机数表、骰子或扑克牌等方法产生。</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2.3样品处置</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2.3.1封样要求</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应当对检验样品和备用样品分别签封，并在封条上施加防拆封措施,使得不破坏封条签封便无法完整取下封条。产品合格证、使用说明、充电器、蓄电池、脚踏板、车钥匙等信息资料及配件随同样品一同封样。</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2.3.2.备样封存地点</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本次抽查的备样应封存在被抽检单位处，未经许可不得擅自拆开。</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2.4 抽样单</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应按有关规定填写抽样单，并记录被抽查产品及企业相关信息。</w:t>
      </w:r>
    </w:p>
    <w:p>
      <w:pPr>
        <w:autoSpaceDE/>
        <w:autoSpaceDN/>
        <w:spacing w:line="580" w:lineRule="exact"/>
        <w:ind w:firstLine="641" w:firstLineChars="200"/>
        <w:jc w:val="both"/>
        <w:rPr>
          <w:rFonts w:ascii="华文仿宋" w:hAnsi="华文仿宋" w:eastAsia="华文仿宋" w:cs="华文仿宋"/>
          <w:b/>
          <w:kern w:val="2"/>
          <w:sz w:val="32"/>
          <w:szCs w:val="32"/>
          <w:lang w:val="en-US" w:bidi="ar-SA"/>
        </w:rPr>
      </w:pPr>
      <w:r>
        <w:rPr>
          <w:rFonts w:hint="eastAsia" w:ascii="华文仿宋" w:hAnsi="华文仿宋" w:eastAsia="华文仿宋" w:cs="华文仿宋"/>
          <w:b/>
          <w:kern w:val="2"/>
          <w:sz w:val="32"/>
          <w:szCs w:val="32"/>
          <w:lang w:val="en-US" w:bidi="ar-SA"/>
        </w:rPr>
        <w:t>3. 检验依据</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检验项目及检验依据见表1。</w:t>
      </w:r>
    </w:p>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表1</w:t>
      </w:r>
      <w:r>
        <w:rPr>
          <w:rFonts w:hint="eastAsia" w:ascii="华文仿宋" w:hAnsi="华文仿宋" w:eastAsia="华文仿宋" w:cs="华文仿宋"/>
          <w:kern w:val="2"/>
          <w:sz w:val="28"/>
          <w:szCs w:val="28"/>
          <w:lang w:val="en-US" w:bidi="ar-SA"/>
        </w:rPr>
        <w:tab/>
      </w:r>
      <w:r>
        <w:rPr>
          <w:rFonts w:hint="eastAsia" w:ascii="华文仿宋" w:hAnsi="华文仿宋" w:eastAsia="华文仿宋" w:cs="华文仿宋"/>
          <w:kern w:val="2"/>
          <w:sz w:val="28"/>
          <w:szCs w:val="28"/>
          <w:lang w:val="en-US" w:bidi="ar-SA"/>
        </w:rPr>
        <w:t>电动自行车产品检验项目</w:t>
      </w:r>
    </w:p>
    <w:tbl>
      <w:tblPr>
        <w:tblStyle w:val="13"/>
        <w:tblW w:w="96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9"/>
        <w:gridCol w:w="4138"/>
        <w:gridCol w:w="2268"/>
        <w:gridCol w:w="2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829" w:type="dxa"/>
            <w:vMerge w:val="restart"/>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序号</w:t>
            </w:r>
          </w:p>
        </w:tc>
        <w:tc>
          <w:tcPr>
            <w:tcW w:w="4138" w:type="dxa"/>
            <w:vMerge w:val="restart"/>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检验项目</w:t>
            </w:r>
          </w:p>
        </w:tc>
        <w:tc>
          <w:tcPr>
            <w:tcW w:w="2268" w:type="dxa"/>
            <w:vMerge w:val="restart"/>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判定依据</w:t>
            </w:r>
          </w:p>
        </w:tc>
        <w:tc>
          <w:tcPr>
            <w:tcW w:w="2409" w:type="dxa"/>
            <w:vMerge w:val="restart"/>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检测方法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829" w:type="dxa"/>
            <w:vMerge w:val="continue"/>
            <w:tcBorders>
              <w:top w:val="nil"/>
            </w:tcBorders>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c>
          <w:tcPr>
            <w:tcW w:w="4138" w:type="dxa"/>
            <w:vMerge w:val="continue"/>
            <w:tcBorders>
              <w:top w:val="nil"/>
            </w:tcBorders>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c>
          <w:tcPr>
            <w:tcW w:w="2268" w:type="dxa"/>
            <w:vMerge w:val="continue"/>
            <w:tcBorders>
              <w:top w:val="nil"/>
            </w:tcBorders>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c>
          <w:tcPr>
            <w:tcW w:w="2409" w:type="dxa"/>
            <w:vMerge w:val="continue"/>
            <w:tcBorders>
              <w:top w:val="nil"/>
            </w:tcBorders>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trPr>
        <w:tc>
          <w:tcPr>
            <w:tcW w:w="829" w:type="dxa"/>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1</w:t>
            </w:r>
          </w:p>
        </w:tc>
        <w:tc>
          <w:tcPr>
            <w:tcW w:w="4138" w:type="dxa"/>
            <w:vAlign w:val="center"/>
          </w:tcPr>
          <w:p>
            <w:pPr>
              <w:autoSpaceDE/>
              <w:autoSpaceDN/>
              <w:spacing w:line="580" w:lineRule="exact"/>
              <w:jc w:val="center"/>
              <w:rPr>
                <w:rFonts w:hint="eastAsia" w:ascii="华文仿宋" w:hAnsi="华文仿宋" w:eastAsia="华文仿宋" w:cs="华文仿宋"/>
                <w:kern w:val="2"/>
                <w:sz w:val="28"/>
                <w:szCs w:val="28"/>
                <w:lang w:val="en-US" w:eastAsia="zh-CN" w:bidi="ar-SA"/>
              </w:rPr>
            </w:pPr>
            <w:r>
              <w:rPr>
                <w:rFonts w:hint="eastAsia" w:ascii="华文仿宋" w:hAnsi="华文仿宋" w:eastAsia="华文仿宋" w:cs="华文仿宋"/>
                <w:kern w:val="2"/>
                <w:sz w:val="28"/>
                <w:szCs w:val="28"/>
                <w:highlight w:val="none"/>
                <w:lang w:val="en-US" w:bidi="ar-SA"/>
              </w:rPr>
              <w:t>使用说明</w:t>
            </w:r>
            <w:r>
              <w:rPr>
                <w:rFonts w:hint="eastAsia" w:ascii="华文仿宋" w:hAnsi="华文仿宋" w:eastAsia="华文仿宋" w:cs="华文仿宋"/>
                <w:kern w:val="2"/>
                <w:sz w:val="28"/>
                <w:szCs w:val="28"/>
                <w:highlight w:val="none"/>
                <w:lang w:val="en-US" w:eastAsia="zh-CN" w:bidi="ar-SA"/>
              </w:rPr>
              <w:t>书</w:t>
            </w:r>
          </w:p>
        </w:tc>
        <w:tc>
          <w:tcPr>
            <w:tcW w:w="2268" w:type="dxa"/>
            <w:vMerge w:val="restart"/>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GB 17761-2018</w:t>
            </w:r>
          </w:p>
        </w:tc>
        <w:tc>
          <w:tcPr>
            <w:tcW w:w="2409" w:type="dxa"/>
            <w:vMerge w:val="restart"/>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GB 17761-2018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trPr>
        <w:tc>
          <w:tcPr>
            <w:tcW w:w="829" w:type="dxa"/>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2</w:t>
            </w:r>
          </w:p>
        </w:tc>
        <w:tc>
          <w:tcPr>
            <w:tcW w:w="4138" w:type="dxa"/>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车速限值</w:t>
            </w:r>
          </w:p>
        </w:tc>
        <w:tc>
          <w:tcPr>
            <w:tcW w:w="2268" w:type="dxa"/>
            <w:vMerge w:val="continue"/>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c>
          <w:tcPr>
            <w:tcW w:w="2409" w:type="dxa"/>
            <w:vMerge w:val="continue"/>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trPr>
        <w:tc>
          <w:tcPr>
            <w:tcW w:w="829" w:type="dxa"/>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3</w:t>
            </w:r>
          </w:p>
        </w:tc>
        <w:tc>
          <w:tcPr>
            <w:tcW w:w="4138" w:type="dxa"/>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制动性能(干态)</w:t>
            </w:r>
          </w:p>
        </w:tc>
        <w:tc>
          <w:tcPr>
            <w:tcW w:w="2268" w:type="dxa"/>
            <w:vMerge w:val="continue"/>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c>
          <w:tcPr>
            <w:tcW w:w="2409" w:type="dxa"/>
            <w:vMerge w:val="continue"/>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trPr>
        <w:tc>
          <w:tcPr>
            <w:tcW w:w="829" w:type="dxa"/>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4</w:t>
            </w:r>
          </w:p>
        </w:tc>
        <w:tc>
          <w:tcPr>
            <w:tcW w:w="4138" w:type="dxa"/>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整车质量</w:t>
            </w:r>
          </w:p>
        </w:tc>
        <w:tc>
          <w:tcPr>
            <w:tcW w:w="2268" w:type="dxa"/>
            <w:vMerge w:val="continue"/>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c>
          <w:tcPr>
            <w:tcW w:w="2409" w:type="dxa"/>
            <w:vMerge w:val="continue"/>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trPr>
        <w:tc>
          <w:tcPr>
            <w:tcW w:w="829" w:type="dxa"/>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5</w:t>
            </w:r>
          </w:p>
        </w:tc>
        <w:tc>
          <w:tcPr>
            <w:tcW w:w="4138" w:type="dxa"/>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尺寸限制</w:t>
            </w:r>
          </w:p>
        </w:tc>
        <w:tc>
          <w:tcPr>
            <w:tcW w:w="2268" w:type="dxa"/>
            <w:vMerge w:val="continue"/>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c>
          <w:tcPr>
            <w:tcW w:w="2409" w:type="dxa"/>
            <w:vMerge w:val="continue"/>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trPr>
        <w:tc>
          <w:tcPr>
            <w:tcW w:w="829" w:type="dxa"/>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6</w:t>
            </w:r>
          </w:p>
        </w:tc>
        <w:tc>
          <w:tcPr>
            <w:tcW w:w="4138" w:type="dxa"/>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结构</w:t>
            </w:r>
          </w:p>
        </w:tc>
        <w:tc>
          <w:tcPr>
            <w:tcW w:w="2268" w:type="dxa"/>
            <w:vMerge w:val="continue"/>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c>
          <w:tcPr>
            <w:tcW w:w="2409" w:type="dxa"/>
            <w:vMerge w:val="continue"/>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trPr>
        <w:tc>
          <w:tcPr>
            <w:tcW w:w="829" w:type="dxa"/>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7</w:t>
            </w:r>
          </w:p>
        </w:tc>
        <w:tc>
          <w:tcPr>
            <w:tcW w:w="4138" w:type="dxa"/>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车速提示音</w:t>
            </w:r>
          </w:p>
        </w:tc>
        <w:tc>
          <w:tcPr>
            <w:tcW w:w="2268" w:type="dxa"/>
            <w:vMerge w:val="continue"/>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c>
          <w:tcPr>
            <w:tcW w:w="2409" w:type="dxa"/>
            <w:vMerge w:val="continue"/>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trPr>
        <w:tc>
          <w:tcPr>
            <w:tcW w:w="829" w:type="dxa"/>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8</w:t>
            </w:r>
          </w:p>
        </w:tc>
        <w:tc>
          <w:tcPr>
            <w:tcW w:w="4138" w:type="dxa"/>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电气装置</w:t>
            </w:r>
          </w:p>
        </w:tc>
        <w:tc>
          <w:tcPr>
            <w:tcW w:w="2268" w:type="dxa"/>
            <w:vMerge w:val="continue"/>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c>
          <w:tcPr>
            <w:tcW w:w="2409" w:type="dxa"/>
            <w:vMerge w:val="continue"/>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 w:hRule="atLeast"/>
        </w:trPr>
        <w:tc>
          <w:tcPr>
            <w:tcW w:w="829" w:type="dxa"/>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9</w:t>
            </w:r>
          </w:p>
        </w:tc>
        <w:tc>
          <w:tcPr>
            <w:tcW w:w="4138" w:type="dxa"/>
            <w:vAlign w:val="center"/>
          </w:tcPr>
          <w:p>
            <w:pPr>
              <w:autoSpaceDE/>
              <w:autoSpaceDN/>
              <w:spacing w:line="580" w:lineRule="exact"/>
              <w:jc w:val="center"/>
              <w:rPr>
                <w:rFonts w:ascii="华文仿宋" w:hAnsi="华文仿宋" w:eastAsia="华文仿宋" w:cs="华文仿宋"/>
                <w:kern w:val="2"/>
                <w:sz w:val="28"/>
                <w:szCs w:val="28"/>
                <w:lang w:val="en-US" w:bidi="ar-SA"/>
              </w:rPr>
            </w:pPr>
            <w:r>
              <w:rPr>
                <w:rFonts w:hint="eastAsia" w:ascii="华文仿宋" w:hAnsi="华文仿宋" w:eastAsia="华文仿宋" w:cs="华文仿宋"/>
                <w:kern w:val="2"/>
                <w:sz w:val="28"/>
                <w:szCs w:val="28"/>
                <w:lang w:val="en-US" w:bidi="ar-SA"/>
              </w:rPr>
              <w:t>充电器与蓄电池</w:t>
            </w:r>
          </w:p>
        </w:tc>
        <w:tc>
          <w:tcPr>
            <w:tcW w:w="2268" w:type="dxa"/>
            <w:vMerge w:val="continue"/>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c>
          <w:tcPr>
            <w:tcW w:w="2409" w:type="dxa"/>
            <w:vMerge w:val="continue"/>
            <w:vAlign w:val="center"/>
          </w:tcPr>
          <w:p>
            <w:pPr>
              <w:autoSpaceDE/>
              <w:autoSpaceDN/>
              <w:spacing w:line="580" w:lineRule="exact"/>
              <w:ind w:firstLine="560" w:firstLineChars="200"/>
              <w:jc w:val="center"/>
              <w:rPr>
                <w:rFonts w:ascii="华文仿宋" w:hAnsi="华文仿宋" w:eastAsia="华文仿宋" w:cs="华文仿宋"/>
                <w:kern w:val="2"/>
                <w:sz w:val="28"/>
                <w:szCs w:val="28"/>
                <w:lang w:val="en-US" w:bidi="ar-SA"/>
              </w:rPr>
            </w:pPr>
          </w:p>
        </w:tc>
      </w:tr>
    </w:tbl>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检验方法包括相关产品标准及试验方法标准。</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凡是注日期的文件，其随后所有的修改单（不包括勘误的内容）或修订版不适用于本细则。凡是不注日期的文件，其最新版本适用于本细则。</w:t>
      </w:r>
    </w:p>
    <w:p>
      <w:pPr>
        <w:autoSpaceDE/>
        <w:autoSpaceDN/>
        <w:spacing w:line="580" w:lineRule="exact"/>
        <w:ind w:firstLine="641" w:firstLineChars="200"/>
        <w:jc w:val="both"/>
        <w:rPr>
          <w:rFonts w:ascii="华文仿宋" w:hAnsi="华文仿宋" w:eastAsia="华文仿宋" w:cs="华文仿宋"/>
          <w:b/>
          <w:kern w:val="2"/>
          <w:sz w:val="32"/>
          <w:szCs w:val="32"/>
          <w:lang w:val="en-US" w:bidi="ar-SA"/>
        </w:rPr>
      </w:pPr>
    </w:p>
    <w:p>
      <w:pPr>
        <w:autoSpaceDE/>
        <w:autoSpaceDN/>
        <w:spacing w:line="580" w:lineRule="exact"/>
        <w:ind w:firstLine="641" w:firstLineChars="200"/>
        <w:jc w:val="both"/>
        <w:rPr>
          <w:rFonts w:ascii="华文仿宋" w:hAnsi="华文仿宋" w:eastAsia="华文仿宋" w:cs="华文仿宋"/>
          <w:b/>
          <w:kern w:val="2"/>
          <w:sz w:val="32"/>
          <w:szCs w:val="32"/>
          <w:lang w:val="en-US" w:bidi="ar-SA"/>
        </w:rPr>
      </w:pPr>
      <w:r>
        <w:rPr>
          <w:rFonts w:hint="eastAsia" w:ascii="华文仿宋" w:hAnsi="华文仿宋" w:eastAsia="华文仿宋" w:cs="华文仿宋"/>
          <w:b/>
          <w:kern w:val="2"/>
          <w:sz w:val="32"/>
          <w:szCs w:val="32"/>
          <w:lang w:val="en-US" w:bidi="ar-SA"/>
        </w:rPr>
        <w:t>4.判定规则</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4.1依据标准</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GB 17761-2018  《电动自行车安全技术规范》</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现行有效的企业标准、团体标准、地方标准及产品明示质量要求</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4.2判定原则</w:t>
      </w:r>
    </w:p>
    <w:p>
      <w:pPr>
        <w:autoSpaceDE/>
        <w:autoSpaceDN/>
        <w:spacing w:line="580" w:lineRule="exact"/>
        <w:ind w:firstLine="640" w:firstLineChars="200"/>
        <w:jc w:val="both"/>
        <w:rPr>
          <w:rFonts w:hint="eastAsia"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经检验，检验项目全部合格，判定为被抽查产品未发现不合格; 检验项目中任一项或一项以上不合格，判定为被抽查产品不合格。</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若被检产品明示的质量要求高于本细则中检验项目依据的标准要求时，应按被检产品明示的质量要求判定。</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若被检产品明示的质量要求低于本细则中检验项目依据的强制性标准要求时，应按照强制性标准要求判定。</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若被检产品明示的质量要求低于或包含细则中检验项目依据的推荐性标准要求时，应以被检产品明示的质量要求判定，但应在检验报告备注中进行说明。</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若被检产品明示的质量要求缺少本细则中检验项目依据的强制性标准要求时，应按照强制性标准要求判定。</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若被检产品明示的质量要求缺少本细则中检验项目依据的推荐性标准要求时，该项目不参与判定，但应在检验报告备注中进行说明。</w:t>
      </w:r>
    </w:p>
    <w:p>
      <w:pPr>
        <w:autoSpaceDE/>
        <w:autoSpaceDN/>
        <w:spacing w:line="580" w:lineRule="exact"/>
        <w:ind w:firstLine="641" w:firstLineChars="200"/>
        <w:jc w:val="both"/>
        <w:rPr>
          <w:rFonts w:ascii="华文仿宋" w:hAnsi="华文仿宋" w:eastAsia="华文仿宋" w:cs="华文仿宋"/>
          <w:b/>
          <w:kern w:val="2"/>
          <w:sz w:val="32"/>
          <w:szCs w:val="32"/>
          <w:lang w:val="en-US" w:bidi="ar-SA"/>
        </w:rPr>
      </w:pPr>
      <w:r>
        <w:rPr>
          <w:rFonts w:hint="eastAsia" w:ascii="华文仿宋" w:hAnsi="华文仿宋" w:eastAsia="华文仿宋" w:cs="华文仿宋"/>
          <w:b/>
          <w:kern w:val="2"/>
          <w:sz w:val="32"/>
          <w:szCs w:val="32"/>
          <w:lang w:val="en-US" w:bidi="ar-SA"/>
        </w:rPr>
        <w:t>5.异议处理</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5.1对监督抽查程序有异议的，由任务下达部门核查相关证据后维持或者撤销原检验结果。</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5.2对检验结果有异议的，任务下达部门核查相关证据，能够证明原检验结果准确的，维持原检验结果；不能证明原检验结果准确，需要进行复检的，由任务下达部门指定复检机构进行复检，复检结果为本次监督抽查最终结论。</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5.3对样品信息有异议的，任务下达部门核查样品确认情况和生产企业提交证明材料后，维持或者撤销原检验结果。</w:t>
      </w:r>
    </w:p>
    <w:p>
      <w:pPr>
        <w:autoSpaceDE/>
        <w:autoSpaceDN/>
        <w:spacing w:line="580" w:lineRule="exact"/>
        <w:ind w:firstLine="640" w:firstLineChars="200"/>
        <w:jc w:val="both"/>
        <w:rPr>
          <w:rFonts w:ascii="华文仿宋" w:hAnsi="华文仿宋" w:eastAsia="华文仿宋" w:cs="华文仿宋"/>
          <w:kern w:val="2"/>
          <w:sz w:val="32"/>
          <w:szCs w:val="32"/>
          <w:lang w:val="en-US" w:bidi="ar-SA"/>
        </w:rPr>
      </w:pPr>
      <w:r>
        <w:rPr>
          <w:rFonts w:hint="eastAsia" w:ascii="华文仿宋" w:hAnsi="华文仿宋" w:eastAsia="华文仿宋" w:cs="华文仿宋"/>
          <w:kern w:val="2"/>
          <w:sz w:val="32"/>
          <w:szCs w:val="32"/>
          <w:lang w:val="en-US" w:bidi="ar-SA"/>
        </w:rPr>
        <w:t>5.4本次电动自行车产品质量监督抽查无不予复检的情况。</w:t>
      </w:r>
    </w:p>
    <w:p>
      <w:pPr>
        <w:pStyle w:val="5"/>
        <w:tabs>
          <w:tab w:val="left" w:pos="967"/>
          <w:tab w:val="left" w:pos="969"/>
        </w:tabs>
        <w:spacing w:before="120" w:line="360" w:lineRule="auto"/>
        <w:ind w:left="0" w:firstLine="420" w:firstLineChars="200"/>
        <w:rPr>
          <w:rFonts w:ascii="华文仿宋" w:hAnsi="华文仿宋" w:eastAsia="华文仿宋" w:cs="华文仿宋"/>
          <w:kern w:val="2"/>
        </w:rPr>
      </w:pPr>
    </w:p>
    <w:sectPr>
      <w:footerReference r:id="rId3" w:type="default"/>
      <w:pgSz w:w="11910" w:h="16840"/>
      <w:pgMar w:top="1440" w:right="1080" w:bottom="1440" w:left="1080" w:header="0" w:footer="9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3622675</wp:posOffset>
              </wp:positionH>
              <wp:positionV relativeFrom="page">
                <wp:posOffset>9937750</wp:posOffset>
              </wp:positionV>
              <wp:extent cx="315595" cy="173355"/>
              <wp:effectExtent l="0"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315595" cy="173355"/>
                      </a:xfrm>
                      <a:prstGeom prst="rect">
                        <a:avLst/>
                      </a:prstGeom>
                      <a:noFill/>
                      <a:ln>
                        <a:noFill/>
                      </a:ln>
                      <a:effectLst/>
                    </wps:spPr>
                    <wps:txbx>
                      <w:txbxContent>
                        <w:p>
                          <w:pPr>
                            <w:pStyle w:val="6"/>
                            <w:spacing w:before="11"/>
                            <w:ind w:left="20"/>
                            <w:rPr>
                              <w:rFonts w:ascii="Times New Roman"/>
                            </w:rPr>
                          </w:pPr>
                          <w:r>
                            <w:rPr>
                              <w:rFonts w:ascii="Times New Roman"/>
                            </w:rPr>
                            <w:t xml:space="preserve">- </w:t>
                          </w:r>
                          <w:r>
                            <w:fldChar w:fldCharType="begin"/>
                          </w:r>
                          <w:r>
                            <w:rPr>
                              <w:rFonts w:ascii="Times New Roman"/>
                            </w:rPr>
                            <w:instrText xml:space="preserve"> PAGE </w:instrText>
                          </w:r>
                          <w:r>
                            <w:fldChar w:fldCharType="separate"/>
                          </w:r>
                          <w:r>
                            <w:rPr>
                              <w:rFonts w:ascii="Times New Roman"/>
                            </w:rPr>
                            <w:t>1</w:t>
                          </w:r>
                          <w:r>
                            <w:fldChar w:fldCharType="end"/>
                          </w:r>
                          <w:r>
                            <w:rPr>
                              <w:rFonts w:ascii="Times New Roman"/>
                            </w:rPr>
                            <w:t xml:space="preserve"> -</w:t>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85.25pt;margin-top:782.5pt;height:13.65pt;width:24.85pt;mso-position-horizontal-relative:page;mso-position-vertical-relative:page;z-index:-251657216;mso-width-relative:page;mso-height-relative:page;" filled="f" stroked="f" coordsize="21600,21600" o:gfxdata="UEsDBAoAAAAAAIdO4kAAAAAAAAAAAAAAAAAEAAAAZHJzL1BLAwQUAAAACACHTuJA2rdppNoAAAAN&#10;AQAADwAAAGRycy9kb3ducmV2LnhtbE2PzU7DMBCE70i8g7VI3KjdoAQa4lQIwQkJkYYDRyfeJlHj&#10;dYjdH96e7Yked+bT7EyxPrlRHHAOgycNy4UCgdR6O1Cn4at+u3sEEaIha0ZPqOEXA6zL66vC5NYf&#10;qcLDJnaCQyjkRkMf45RLGdoenQkLPyGxt/WzM5HPuZN2NkcOd6NMlMqkMwPxh95M+NJju9vsnYbn&#10;b6peh5+P5rPaVkNdrxS9Zzutb2+W6glExFP8h+Fcn6tDyZ0avycbxKghfVApo2ykWcqrGMkSlYBo&#10;ztIquQdZFvJyRfkHUEsDBBQAAAAIAIdO4kDViWrqAgIAABEEAAAOAAAAZHJzL2Uyb0RvYy54bWyt&#10;U8tu2zAQvBfoPxC81/ID7kOwHKQxUhRImwJJP4CiKIuoyGWXlCX367skbTdNLzn0IiyXu8Od2dHm&#10;ajI9Oyj0GmzFF7M5Z8pKaLTdV/z74+2b95z5IGwjerCq4kfl+dX29avN6Eq1hA76RiEjEOvL0VW8&#10;C8GVReFlp4zwM3DK0mULaESgI+6LBsVI6KYvlvP522IEbByCVN5Tdpcv+QkRXwIIbaul2oEcjLIh&#10;o6LqRSBKvtPO822atm2VDPdt61VgfcWJaUhfeoTiOn6L7UaUexSu0/I0gnjJCM84GaEtPXqB2okg&#10;2ID6HyijJYKHNswkmCITSYoQi8X8mTYPnXAqcSGpvbuI7v8frPx6+IZMNxVfcmaFoYU/qimwjzCx&#10;RVRndL6kogdHZWGiNHkmMfXuDuQPzyzcdMLu1TUijJ0SDU2XOosnrRnHR5B6/AINPSOGAAloatFE&#10;6UgMRui0meNlM3EUScnVYr3+sOZM0tXi3Wq1XsfZClGemx368EmBYTGoONLiE7g43PmQS88l8S0L&#10;t7rv0/J7+1eCMHNGJfecuiOVOH3mEaZ6OklTQ3MkUgjZWfRfUdAB/uJsJFdV3P8cBCrO+s+WhIkW&#10;PAd4DupzIKyk1ooHznJ4E7JVB4d63xFylt7CNYnX6kQsjpanIEHigZySpDm5Olrx6TlV/fmTt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rdppNoAAAANAQAADwAAAAAAAAABACAAAAAiAAAAZHJz&#10;L2Rvd25yZXYueG1sUEsBAhQAFAAAAAgAh07iQNWJauoCAgAAEQQAAA4AAAAAAAAAAQAgAAAAKQEA&#10;AGRycy9lMm9Eb2MueG1sUEsFBgAAAAAGAAYAWQEAAJ0FAAAAAA==&#10;">
              <v:fill on="f" focussize="0,0"/>
              <v:stroke on="f"/>
              <v:imagedata o:title=""/>
              <o:lock v:ext="edit" aspectratio="f"/>
              <v:textbox inset="0mm,0mm,0mm,0mm">
                <w:txbxContent>
                  <w:p>
                    <w:pPr>
                      <w:pStyle w:val="6"/>
                      <w:spacing w:before="11"/>
                      <w:ind w:left="20"/>
                      <w:rPr>
                        <w:rFonts w:ascii="Times New Roman"/>
                      </w:rPr>
                    </w:pPr>
                    <w:r>
                      <w:rPr>
                        <w:rFonts w:ascii="Times New Roman"/>
                      </w:rPr>
                      <w:t xml:space="preserve">- </w:t>
                    </w:r>
                    <w:r>
                      <w:fldChar w:fldCharType="begin"/>
                    </w:r>
                    <w:r>
                      <w:rPr>
                        <w:rFonts w:ascii="Times New Roman"/>
                      </w:rPr>
                      <w:instrText xml:space="preserve"> PAGE </w:instrText>
                    </w:r>
                    <w:r>
                      <w:fldChar w:fldCharType="separate"/>
                    </w:r>
                    <w:r>
                      <w:rPr>
                        <w:rFonts w:ascii="Times New Roman"/>
                      </w:rPr>
                      <w:t>1</w:t>
                    </w:r>
                    <w:r>
                      <w:fldChar w:fldCharType="end"/>
                    </w:r>
                    <w:r>
                      <w:rPr>
                        <w:rFonts w:ascii="Times New Roma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OTJjZjYwODEzYmJjMGNkOGZlMmI2M2JkMjc1MmMifQ=="/>
  </w:docVars>
  <w:rsids>
    <w:rsidRoot w:val="00D74BB0"/>
    <w:rsid w:val="00003CB9"/>
    <w:rsid w:val="0000650C"/>
    <w:rsid w:val="0003266E"/>
    <w:rsid w:val="00042E52"/>
    <w:rsid w:val="00075D2C"/>
    <w:rsid w:val="000831B2"/>
    <w:rsid w:val="000E438C"/>
    <w:rsid w:val="000F1035"/>
    <w:rsid w:val="00114B79"/>
    <w:rsid w:val="0014222E"/>
    <w:rsid w:val="00164799"/>
    <w:rsid w:val="00164C00"/>
    <w:rsid w:val="001760BA"/>
    <w:rsid w:val="00182A27"/>
    <w:rsid w:val="00184294"/>
    <w:rsid w:val="00194036"/>
    <w:rsid w:val="001C333A"/>
    <w:rsid w:val="001C40C3"/>
    <w:rsid w:val="001C67A8"/>
    <w:rsid w:val="001E5E14"/>
    <w:rsid w:val="002362B9"/>
    <w:rsid w:val="002659C9"/>
    <w:rsid w:val="002756C3"/>
    <w:rsid w:val="002851E4"/>
    <w:rsid w:val="00287CE4"/>
    <w:rsid w:val="00295234"/>
    <w:rsid w:val="002B6731"/>
    <w:rsid w:val="002D7400"/>
    <w:rsid w:val="0030185E"/>
    <w:rsid w:val="003031BA"/>
    <w:rsid w:val="003175BB"/>
    <w:rsid w:val="00343A35"/>
    <w:rsid w:val="0036591F"/>
    <w:rsid w:val="00395BCD"/>
    <w:rsid w:val="003D4C42"/>
    <w:rsid w:val="003E45D1"/>
    <w:rsid w:val="004058B1"/>
    <w:rsid w:val="00432A23"/>
    <w:rsid w:val="00435ACF"/>
    <w:rsid w:val="004626D2"/>
    <w:rsid w:val="00477D1A"/>
    <w:rsid w:val="00491441"/>
    <w:rsid w:val="00493196"/>
    <w:rsid w:val="004B1147"/>
    <w:rsid w:val="004B1CE9"/>
    <w:rsid w:val="00532841"/>
    <w:rsid w:val="00533F57"/>
    <w:rsid w:val="00537E82"/>
    <w:rsid w:val="00557205"/>
    <w:rsid w:val="005833D3"/>
    <w:rsid w:val="005F2F00"/>
    <w:rsid w:val="00611AA6"/>
    <w:rsid w:val="00611E80"/>
    <w:rsid w:val="00614648"/>
    <w:rsid w:val="00620815"/>
    <w:rsid w:val="00621C5C"/>
    <w:rsid w:val="006317CE"/>
    <w:rsid w:val="006728F0"/>
    <w:rsid w:val="00684D22"/>
    <w:rsid w:val="006B3A82"/>
    <w:rsid w:val="007312EA"/>
    <w:rsid w:val="0074736E"/>
    <w:rsid w:val="007645A2"/>
    <w:rsid w:val="00775579"/>
    <w:rsid w:val="00792EA6"/>
    <w:rsid w:val="007B1034"/>
    <w:rsid w:val="007D2716"/>
    <w:rsid w:val="007F454A"/>
    <w:rsid w:val="008225CF"/>
    <w:rsid w:val="00844320"/>
    <w:rsid w:val="008839CC"/>
    <w:rsid w:val="008A359A"/>
    <w:rsid w:val="008F390B"/>
    <w:rsid w:val="00900F0D"/>
    <w:rsid w:val="009034C0"/>
    <w:rsid w:val="00903E92"/>
    <w:rsid w:val="00910E1F"/>
    <w:rsid w:val="00923C62"/>
    <w:rsid w:val="009249DD"/>
    <w:rsid w:val="00951698"/>
    <w:rsid w:val="009555B3"/>
    <w:rsid w:val="00961A58"/>
    <w:rsid w:val="0098052D"/>
    <w:rsid w:val="009B1194"/>
    <w:rsid w:val="00A30987"/>
    <w:rsid w:val="00A60356"/>
    <w:rsid w:val="00A61ABB"/>
    <w:rsid w:val="00AA3B6D"/>
    <w:rsid w:val="00AC0C0B"/>
    <w:rsid w:val="00AC3FED"/>
    <w:rsid w:val="00AD654A"/>
    <w:rsid w:val="00AE2A65"/>
    <w:rsid w:val="00AF6DC8"/>
    <w:rsid w:val="00B52AAF"/>
    <w:rsid w:val="00B913AD"/>
    <w:rsid w:val="00B92F18"/>
    <w:rsid w:val="00B95581"/>
    <w:rsid w:val="00BC446E"/>
    <w:rsid w:val="00BD18CC"/>
    <w:rsid w:val="00BD614C"/>
    <w:rsid w:val="00C16AD7"/>
    <w:rsid w:val="00C201F5"/>
    <w:rsid w:val="00C47D2D"/>
    <w:rsid w:val="00C53ED0"/>
    <w:rsid w:val="00C9766F"/>
    <w:rsid w:val="00CC1D12"/>
    <w:rsid w:val="00CF7936"/>
    <w:rsid w:val="00D31044"/>
    <w:rsid w:val="00D74673"/>
    <w:rsid w:val="00D74BB0"/>
    <w:rsid w:val="00DD4AF9"/>
    <w:rsid w:val="00DE70E1"/>
    <w:rsid w:val="00E02AF4"/>
    <w:rsid w:val="00E17597"/>
    <w:rsid w:val="00E21D7D"/>
    <w:rsid w:val="00EC265E"/>
    <w:rsid w:val="00ED4951"/>
    <w:rsid w:val="00F3360C"/>
    <w:rsid w:val="00FB0EB0"/>
    <w:rsid w:val="00FC734D"/>
    <w:rsid w:val="00FE13D5"/>
    <w:rsid w:val="00FE3B4C"/>
    <w:rsid w:val="053D71CE"/>
    <w:rsid w:val="0B007BD2"/>
    <w:rsid w:val="117D5540"/>
    <w:rsid w:val="14BD0584"/>
    <w:rsid w:val="176A7DC8"/>
    <w:rsid w:val="1AD867BE"/>
    <w:rsid w:val="26E2185C"/>
    <w:rsid w:val="37F95C4C"/>
    <w:rsid w:val="3C5D3D8D"/>
    <w:rsid w:val="3F7DE560"/>
    <w:rsid w:val="4C753AE6"/>
    <w:rsid w:val="4F174970"/>
    <w:rsid w:val="579A4C4C"/>
    <w:rsid w:val="5E631DAD"/>
    <w:rsid w:val="657B69AC"/>
    <w:rsid w:val="68EE2392"/>
    <w:rsid w:val="6BB12417"/>
    <w:rsid w:val="9D5F2C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2121" w:right="2138"/>
      <w:jc w:val="center"/>
      <w:outlineLvl w:val="0"/>
    </w:pPr>
    <w:rPr>
      <w:b/>
      <w:bCs/>
      <w:sz w:val="32"/>
      <w:szCs w:val="32"/>
    </w:rPr>
  </w:style>
  <w:style w:type="paragraph" w:styleId="3">
    <w:name w:val="heading 2"/>
    <w:basedOn w:val="1"/>
    <w:next w:val="1"/>
    <w:qFormat/>
    <w:uiPriority w:val="1"/>
    <w:pPr>
      <w:ind w:left="789"/>
      <w:outlineLvl w:val="1"/>
    </w:pPr>
    <w:rPr>
      <w:b/>
      <w:bCs/>
      <w:sz w:val="28"/>
      <w:szCs w:val="28"/>
    </w:rPr>
  </w:style>
  <w:style w:type="paragraph" w:styleId="4">
    <w:name w:val="heading 3"/>
    <w:basedOn w:val="1"/>
    <w:next w:val="1"/>
    <w:qFormat/>
    <w:uiPriority w:val="1"/>
    <w:pPr>
      <w:spacing w:before="186"/>
      <w:ind w:left="227"/>
      <w:outlineLvl w:val="2"/>
    </w:pPr>
    <w:rPr>
      <w:sz w:val="28"/>
      <w:szCs w:val="28"/>
    </w:rPr>
  </w:style>
  <w:style w:type="paragraph" w:styleId="5">
    <w:name w:val="heading 4"/>
    <w:basedOn w:val="1"/>
    <w:next w:val="1"/>
    <w:qFormat/>
    <w:uiPriority w:val="1"/>
    <w:pPr>
      <w:ind w:left="862"/>
      <w:outlineLvl w:val="3"/>
    </w:pPr>
    <w:rPr>
      <w:b/>
      <w:bCs/>
      <w:sz w:val="21"/>
      <w:szCs w:val="21"/>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19"/>
    <w:qFormat/>
    <w:uiPriority w:val="1"/>
    <w:rPr>
      <w:sz w:val="21"/>
      <w:szCs w:val="21"/>
    </w:rPr>
  </w:style>
  <w:style w:type="paragraph" w:styleId="7">
    <w:name w:val="Balloon Text"/>
    <w:basedOn w:val="1"/>
    <w:link w:val="16"/>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unhideWhenUsed/>
    <w:qFormat/>
    <w:uiPriority w:val="2"/>
    <w:tblPr>
      <w:tblCellMar>
        <w:top w:w="0" w:type="dxa"/>
        <w:left w:w="0" w:type="dxa"/>
        <w:bottom w:w="0" w:type="dxa"/>
        <w:right w:w="0" w:type="dxa"/>
      </w:tblCellMar>
    </w:tblPr>
  </w:style>
  <w:style w:type="paragraph" w:customStyle="1" w:styleId="14">
    <w:name w:val="列出段落1"/>
    <w:basedOn w:val="1"/>
    <w:qFormat/>
    <w:uiPriority w:val="1"/>
    <w:pPr>
      <w:ind w:left="227" w:firstLine="420"/>
    </w:pPr>
  </w:style>
  <w:style w:type="paragraph" w:customStyle="1" w:styleId="15">
    <w:name w:val="Table Paragraph"/>
    <w:basedOn w:val="1"/>
    <w:qFormat/>
    <w:uiPriority w:val="1"/>
  </w:style>
  <w:style w:type="character" w:customStyle="1" w:styleId="16">
    <w:name w:val="批注框文本 字符"/>
    <w:basedOn w:val="12"/>
    <w:link w:val="7"/>
    <w:semiHidden/>
    <w:qFormat/>
    <w:uiPriority w:val="99"/>
    <w:rPr>
      <w:rFonts w:ascii="宋体" w:hAnsi="宋体" w:eastAsia="宋体" w:cs="宋体"/>
      <w:sz w:val="18"/>
      <w:szCs w:val="18"/>
      <w:lang w:val="zh-CN" w:eastAsia="zh-CN" w:bidi="zh-CN"/>
    </w:rPr>
  </w:style>
  <w:style w:type="character" w:customStyle="1" w:styleId="17">
    <w:name w:val="页眉 字符"/>
    <w:basedOn w:val="12"/>
    <w:link w:val="9"/>
    <w:qFormat/>
    <w:uiPriority w:val="99"/>
    <w:rPr>
      <w:rFonts w:ascii="宋体" w:hAnsi="宋体" w:eastAsia="宋体" w:cs="宋体"/>
      <w:sz w:val="18"/>
      <w:szCs w:val="18"/>
      <w:lang w:val="zh-CN" w:eastAsia="zh-CN" w:bidi="zh-CN"/>
    </w:rPr>
  </w:style>
  <w:style w:type="character" w:customStyle="1" w:styleId="18">
    <w:name w:val="页脚 字符"/>
    <w:basedOn w:val="12"/>
    <w:link w:val="8"/>
    <w:qFormat/>
    <w:uiPriority w:val="99"/>
    <w:rPr>
      <w:rFonts w:ascii="宋体" w:hAnsi="宋体" w:eastAsia="宋体" w:cs="宋体"/>
      <w:sz w:val="18"/>
      <w:szCs w:val="18"/>
      <w:lang w:val="zh-CN" w:eastAsia="zh-CN" w:bidi="zh-CN"/>
    </w:rPr>
  </w:style>
  <w:style w:type="character" w:customStyle="1" w:styleId="19">
    <w:name w:val="正文文本 字符"/>
    <w:basedOn w:val="12"/>
    <w:link w:val="6"/>
    <w:qFormat/>
    <w:uiPriority w:val="1"/>
    <w:rPr>
      <w:rFonts w:ascii="宋体" w:hAnsi="宋体" w:eastAsia="宋体" w:cs="宋体"/>
      <w:sz w:val="21"/>
      <w:szCs w:val="21"/>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合肥产品质量监督检验研究院</Company>
  <Pages>4</Pages>
  <Words>1291</Words>
  <Characters>1357</Characters>
  <Lines>10</Lines>
  <Paragraphs>2</Paragraphs>
  <TotalTime>0</TotalTime>
  <ScaleCrop>false</ScaleCrop>
  <LinksUpToDate>false</LinksUpToDate>
  <CharactersWithSpaces>1367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2020-07-30T06:43:00Z</dcterms:created>
  <dc:creator>合肥质检院，程浩</dc:creator>
  <cp:lastModifiedBy>蔡爽</cp:lastModifiedBy>
  <dcterms:modified xsi:type="dcterms:W3CDTF">2024-01-09T02:47:15Z</dcterms:modified>
  <dc:title>安全帽产品质量监督抽查实施细则</dc:title>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2018-08-02T00:00:00Z</vt:filetime>
  </property>
  <property fmtid="{D5CDD505-2E9C-101B-9397-08002B2CF9AE}" pid="3" name="Creator">
    <vt:lpwstr>PScript5.dll Version 5.2</vt:lpwstr>
  </property>
  <property fmtid="{D5CDD505-2E9C-101B-9397-08002B2CF9AE}" pid="4" name="LastSaved">
    <vt:filetime>2019-01-21T00:00:00Z</vt:filetime>
  </property>
  <property fmtid="{D5CDD505-2E9C-101B-9397-08002B2CF9AE}" pid="5" name="KSOProductBuildVer">
    <vt:lpwstr>2052-12.1.0.15990</vt:lpwstr>
  </property>
  <property fmtid="{D5CDD505-2E9C-101B-9397-08002B2CF9AE}" pid="6" name="ICV">
    <vt:lpwstr>2D7D1D392B6D4A88A1C6506EBDE35968_13</vt:lpwstr>
  </property>
</Properties>
</file>