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01.140.21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纸质档案</w:t>
      </w:r>
      <w:r>
        <w:t>Co60-γ射线辐照消毒规范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Specification for disinfection of paper archives by Cobalt 60-γ irradiation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9" w:name="BookMark1"/>
      <w:bookmarkStart w:id="20" w:name="_Toc15279420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"_Toc155085278" </w:instrText>
      </w:r>
      <w:r>
        <w:fldChar w:fldCharType="separate"/>
      </w:r>
      <w:r>
        <w:rPr>
          <w:rStyle w:val="32"/>
        </w:rPr>
        <w:t>前言</w:t>
      </w:r>
      <w:r>
        <w:tab/>
      </w:r>
      <w:r>
        <w:fldChar w:fldCharType="begin"/>
      </w:r>
      <w:r>
        <w:instrText xml:space="preserve"> PAGEREF _Toc155085278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"_Toc155085279" </w:instrText>
      </w:r>
      <w:r>
        <w:fldChar w:fldCharType="separate"/>
      </w:r>
      <w:r>
        <w:rPr>
          <w:rStyle w:val="32"/>
        </w:rPr>
        <w:t>1  范围</w:t>
      </w:r>
      <w:r>
        <w:tab/>
      </w:r>
      <w:r>
        <w:fldChar w:fldCharType="begin"/>
      </w:r>
      <w:r>
        <w:instrText xml:space="preserve"> PAGEREF _Toc155085279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"_Toc155085280" </w:instrText>
      </w:r>
      <w:r>
        <w:fldChar w:fldCharType="separate"/>
      </w:r>
      <w:r>
        <w:rPr>
          <w:rStyle w:val="32"/>
        </w:rPr>
        <w:t>2  规范性引用文件</w:t>
      </w:r>
      <w:r>
        <w:tab/>
      </w:r>
      <w:r>
        <w:fldChar w:fldCharType="begin"/>
      </w:r>
      <w:r>
        <w:instrText xml:space="preserve"> PAGEREF _Toc155085280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"_Toc155085281" </w:instrText>
      </w:r>
      <w:r>
        <w:fldChar w:fldCharType="separate"/>
      </w:r>
      <w:r>
        <w:rPr>
          <w:rStyle w:val="32"/>
        </w:rPr>
        <w:t>3  术语和定义</w:t>
      </w:r>
      <w:r>
        <w:tab/>
      </w:r>
      <w:r>
        <w:fldChar w:fldCharType="begin"/>
      </w:r>
      <w:r>
        <w:instrText xml:space="preserve"> PAGEREF _Toc155085281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"_Toc155085282" </w:instrText>
      </w:r>
      <w:r>
        <w:fldChar w:fldCharType="separate"/>
      </w:r>
      <w:r>
        <w:rPr>
          <w:rStyle w:val="32"/>
        </w:rPr>
        <w:t>4  总体要求</w:t>
      </w:r>
      <w:r>
        <w:tab/>
      </w:r>
      <w:r>
        <w:fldChar w:fldCharType="begin"/>
      </w:r>
      <w:r>
        <w:instrText xml:space="preserve"> PAGEREF _Toc155085282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"_Toc155085283" </w:instrText>
      </w:r>
      <w:r>
        <w:fldChar w:fldCharType="separate"/>
      </w:r>
      <w:r>
        <w:rPr>
          <w:rStyle w:val="32"/>
        </w:rPr>
        <w:t>5  辐照装置要求</w:t>
      </w:r>
      <w:r>
        <w:tab/>
      </w:r>
      <w:r>
        <w:fldChar w:fldCharType="begin"/>
      </w:r>
      <w:r>
        <w:instrText xml:space="preserve"> PAGEREF _Toc155085283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"_Toc155085284" </w:instrText>
      </w:r>
      <w:r>
        <w:fldChar w:fldCharType="separate"/>
      </w:r>
      <w:r>
        <w:rPr>
          <w:rStyle w:val="32"/>
        </w:rPr>
        <w:t>6  人员要求</w:t>
      </w:r>
      <w:r>
        <w:tab/>
      </w:r>
      <w:r>
        <w:fldChar w:fldCharType="begin"/>
      </w:r>
      <w:r>
        <w:instrText xml:space="preserve"> PAGEREF _Toc155085284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"_Toc155085285" </w:instrText>
      </w:r>
      <w:r>
        <w:fldChar w:fldCharType="separate"/>
      </w:r>
      <w:r>
        <w:rPr>
          <w:rStyle w:val="32"/>
        </w:rPr>
        <w:t>7  辐照消毒流程</w:t>
      </w:r>
      <w:r>
        <w:tab/>
      </w:r>
      <w:r>
        <w:fldChar w:fldCharType="begin"/>
      </w:r>
      <w:r>
        <w:instrText xml:space="preserve"> PAGEREF _Toc155085285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"_Toc155085286" </w:instrText>
      </w:r>
      <w:r>
        <w:fldChar w:fldCharType="separate"/>
      </w:r>
      <w:r>
        <w:rPr>
          <w:rStyle w:val="32"/>
        </w:rPr>
        <w:t>8  辐照前准备</w:t>
      </w:r>
      <w:r>
        <w:tab/>
      </w:r>
      <w:r>
        <w:fldChar w:fldCharType="begin"/>
      </w:r>
      <w:r>
        <w:instrText xml:space="preserve"> PAGEREF _Toc155085286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"_Toc155085287" </w:instrText>
      </w:r>
      <w:r>
        <w:fldChar w:fldCharType="separate"/>
      </w:r>
      <w:r>
        <w:rPr>
          <w:rStyle w:val="32"/>
        </w:rPr>
        <w:t>9  辐照消毒实施</w:t>
      </w:r>
      <w:r>
        <w:tab/>
      </w:r>
      <w:r>
        <w:fldChar w:fldCharType="begin"/>
      </w:r>
      <w:r>
        <w:instrText xml:space="preserve"> PAGEREF _Toc155085287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"_Toc155085288" </w:instrText>
      </w:r>
      <w:r>
        <w:fldChar w:fldCharType="separate"/>
      </w:r>
      <w:r>
        <w:rPr>
          <w:rStyle w:val="32"/>
        </w:rPr>
        <w:t>10  辐照后管理</w:t>
      </w:r>
      <w:r>
        <w:tab/>
      </w:r>
      <w:r>
        <w:fldChar w:fldCharType="begin"/>
      </w:r>
      <w:r>
        <w:instrText xml:space="preserve"> PAGEREF _Toc155085288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"_Toc155085289" </w:instrText>
      </w:r>
      <w:r>
        <w:fldChar w:fldCharType="separate"/>
      </w:r>
      <w:r>
        <w:rPr>
          <w:rStyle w:val="32"/>
        </w:rPr>
        <w:t>11  消毒记录文件管理</w:t>
      </w:r>
      <w:r>
        <w:tab/>
      </w:r>
      <w:r>
        <w:fldChar w:fldCharType="begin"/>
      </w:r>
      <w:r>
        <w:instrText xml:space="preserve"> PAGEREF _Toc155085289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"_Toc155085290" </w:instrText>
      </w:r>
      <w:r>
        <w:fldChar w:fldCharType="separate"/>
      </w:r>
      <w:r>
        <w:rPr>
          <w:rStyle w:val="32"/>
        </w:rPr>
        <w:t>附录A（资料性）  纸质档案辐照消毒记录表</w:t>
      </w:r>
      <w:r>
        <w:tab/>
      </w:r>
      <w:r>
        <w:fldChar w:fldCharType="begin"/>
      </w:r>
      <w:r>
        <w:instrText xml:space="preserve"> PAGEREF _Toc155085290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"_Toc155085291" </w:instrText>
      </w:r>
      <w:r>
        <w:fldChar w:fldCharType="separate"/>
      </w:r>
      <w:r>
        <w:rPr>
          <w:rStyle w:val="32"/>
        </w:rPr>
        <w:t>附录B（资料性）  剂量检测记录表</w:t>
      </w:r>
      <w:r>
        <w:tab/>
      </w:r>
      <w:r>
        <w:fldChar w:fldCharType="begin"/>
      </w:r>
      <w:r>
        <w:instrText xml:space="preserve"> PAGEREF _Toc155085291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"_Toc155085292" </w:instrText>
      </w:r>
      <w:r>
        <w:fldChar w:fldCharType="separate"/>
      </w:r>
      <w:r>
        <w:rPr>
          <w:rStyle w:val="32"/>
        </w:rPr>
        <w:t>附录C（资料性）  纸质档案辐照证明</w:t>
      </w:r>
      <w:r>
        <w:tab/>
      </w:r>
      <w:r>
        <w:fldChar w:fldCharType="begin"/>
      </w:r>
      <w:r>
        <w:instrText xml:space="preserve"> PAGEREF _Toc155085292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"_Toc155085293" </w:instrText>
      </w:r>
      <w:r>
        <w:fldChar w:fldCharType="separate"/>
      </w:r>
      <w:r>
        <w:rPr>
          <w:rStyle w:val="32"/>
        </w:rPr>
        <w:t>附录D（资料性）  纸质档案辐照交接记录台账</w:t>
      </w:r>
      <w:r>
        <w:tab/>
      </w:r>
      <w:r>
        <w:fldChar w:fldCharType="begin"/>
      </w:r>
      <w:r>
        <w:instrText xml:space="preserve"> PAGEREF _Toc155085293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"_Toc155085294" </w:instrText>
      </w:r>
      <w:r>
        <w:fldChar w:fldCharType="separate"/>
      </w:r>
      <w:r>
        <w:rPr>
          <w:rStyle w:val="32"/>
        </w:rPr>
        <w:t>参考文献</w:t>
      </w:r>
      <w:r>
        <w:tab/>
      </w:r>
      <w:r>
        <w:fldChar w:fldCharType="begin"/>
      </w:r>
      <w:r>
        <w:instrText xml:space="preserve"> PAGEREF _Toc155085294 \h </w:instrText>
      </w:r>
      <w:r>
        <w:fldChar w:fldCharType="separate"/>
      </w:r>
      <w:r>
        <w:t>10</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pPr>
        <w:pStyle w:val="89"/>
        <w:spacing w:before="900" w:after="468"/>
      </w:pPr>
      <w:bookmarkStart w:id="21" w:name="_Toc155085278"/>
      <w:bookmarkStart w:id="22" w:name="BookMark2"/>
      <w:r>
        <w:rPr>
          <w:spacing w:val="320"/>
        </w:rPr>
        <w:t>前</w:t>
      </w:r>
      <w:r>
        <w:t>言</w:t>
      </w:r>
      <w:bookmarkEnd w:id="20"/>
      <w:bookmarkEnd w:id="21"/>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本文件由江苏省档案馆提出。</w:t>
      </w:r>
    </w:p>
    <w:p>
      <w:pPr>
        <w:pStyle w:val="56"/>
        <w:ind w:firstLine="420"/>
        <w:rPr>
          <w:rFonts w:hint="default" w:eastAsia="宋体"/>
          <w:lang w:val="en-US" w:eastAsia="zh-CN"/>
        </w:rPr>
      </w:pPr>
      <w:r>
        <w:rPr>
          <w:rFonts w:hint="eastAsia"/>
          <w:lang w:val="en-US" w:eastAsia="zh-CN"/>
        </w:rPr>
        <w:t>本文件由江苏省档案局归口。</w:t>
      </w:r>
      <w:bookmarkStart w:id="79" w:name="_GoBack"/>
      <w:bookmarkEnd w:id="79"/>
    </w:p>
    <w:p>
      <w:pPr>
        <w:pStyle w:val="56"/>
        <w:ind w:firstLine="420"/>
      </w:pPr>
      <w:r>
        <w:rPr>
          <w:rFonts w:hint="eastAsia"/>
        </w:rPr>
        <w:t>本文件起草单位：江苏省档案馆、南京喜悦辐照科技股份有限公司、江苏省质量和标准化研究院。</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本文件主要起草人：陈万田、胡钧、栾宁丽、李行通、苏海霞、王伟伟、王雅楠、张秀晨、方勇、赵慧敏、甘健辉、赵华、徐昊玥、曹思齐、杨济如、韩玉坤、韩媛、孟亚楠。</w:t>
      </w: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F2A38AF63F854F62941C24C0F5C9D495"/>
        </w:placeholder>
      </w:sdtPr>
      <w:sdtContent>
        <w:p>
          <w:pPr>
            <w:pStyle w:val="177"/>
            <w:spacing w:before="312" w:beforeLines="100" w:after="686" w:afterLines="220"/>
          </w:pPr>
          <w:bookmarkStart w:id="24" w:name="NEW_STAND_NAME"/>
          <w:r>
            <w:rPr>
              <w:rFonts w:hint="eastAsia"/>
            </w:rPr>
            <w:t>纸质档案</w:t>
          </w:r>
          <w:r>
            <w:t>Co60-γ射线辐照消毒规范</w:t>
          </w:r>
        </w:p>
      </w:sdtContent>
    </w:sdt>
    <w:bookmarkEnd w:id="24"/>
    <w:p>
      <w:pPr>
        <w:pStyle w:val="104"/>
        <w:spacing w:before="312" w:after="312"/>
      </w:pPr>
      <w:bookmarkStart w:id="25" w:name="_Toc97191423"/>
      <w:bookmarkStart w:id="26" w:name="_Toc26648465"/>
      <w:bookmarkStart w:id="27" w:name="_Toc26718930"/>
      <w:bookmarkStart w:id="28" w:name="_Toc24884211"/>
      <w:bookmarkStart w:id="29" w:name="_Toc155085279"/>
      <w:bookmarkStart w:id="30" w:name="_Toc24884218"/>
      <w:bookmarkStart w:id="31" w:name="_Toc26986771"/>
      <w:bookmarkStart w:id="32" w:name="_Toc152794202"/>
      <w:bookmarkStart w:id="33" w:name="_Toc26986530"/>
      <w:bookmarkStart w:id="34" w:name="_Toc17233325"/>
      <w:bookmarkStart w:id="35" w:name="_Toc17233333"/>
      <w:r>
        <w:rPr>
          <w:rFonts w:hint="eastAsia"/>
        </w:rPr>
        <w:t>范围</w:t>
      </w:r>
      <w:bookmarkEnd w:id="25"/>
      <w:bookmarkEnd w:id="26"/>
      <w:bookmarkEnd w:id="27"/>
      <w:bookmarkEnd w:id="28"/>
      <w:bookmarkEnd w:id="29"/>
      <w:bookmarkEnd w:id="30"/>
      <w:bookmarkEnd w:id="31"/>
      <w:bookmarkEnd w:id="32"/>
      <w:bookmarkEnd w:id="33"/>
      <w:bookmarkEnd w:id="34"/>
      <w:bookmarkEnd w:id="35"/>
    </w:p>
    <w:p>
      <w:pPr>
        <w:pStyle w:val="56"/>
        <w:ind w:firstLine="420"/>
      </w:pPr>
      <w:bookmarkStart w:id="36" w:name="_Toc17233326"/>
      <w:bookmarkStart w:id="37" w:name="_Toc17233334"/>
      <w:bookmarkStart w:id="38" w:name="_Toc26648466"/>
      <w:bookmarkStart w:id="39" w:name="_Toc24884219"/>
      <w:bookmarkStart w:id="40" w:name="_Toc24884212"/>
      <w:r>
        <w:rPr>
          <w:rFonts w:hint="eastAsia"/>
        </w:rPr>
        <w:t>本文件规定了采用Co60-γ辐照技术对纸质档案进行消毒的总体要求、辐照装置要求、人员要求，以及辐照消毒流程、辐照前准备、辐照消毒、辐照后管理、数据记录和文件管理等要求。</w:t>
      </w:r>
    </w:p>
    <w:p>
      <w:pPr>
        <w:pStyle w:val="56"/>
        <w:ind w:firstLine="420"/>
      </w:pPr>
      <w:r>
        <w:rPr>
          <w:rFonts w:hint="eastAsia"/>
        </w:rPr>
        <w:t>本文件适用纸质档案杀虫、抑菌、防霉等消毒工作，其他纸质文献资料消毒参照本文件执行。</w:t>
      </w:r>
    </w:p>
    <w:p>
      <w:pPr>
        <w:pStyle w:val="104"/>
        <w:spacing w:before="312" w:after="312"/>
      </w:pPr>
      <w:bookmarkStart w:id="41" w:name="_Toc26718931"/>
      <w:bookmarkStart w:id="42" w:name="_Toc26986772"/>
      <w:bookmarkStart w:id="43" w:name="_Toc97191424"/>
      <w:bookmarkStart w:id="44" w:name="_Toc26986531"/>
      <w:bookmarkStart w:id="45" w:name="_Toc152794203"/>
      <w:bookmarkStart w:id="46" w:name="_Toc155085280"/>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8862421CB25D4A23A061C73B419656C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 xml:space="preserve">GB 10252—2009 </w:t>
      </w:r>
      <w:r>
        <w:t xml:space="preserve"> </w:t>
      </w:r>
      <w:r>
        <w:rPr>
          <w:rFonts w:hint="eastAsia"/>
        </w:rPr>
        <w:t>γ辐照装置的辐射防护与安全规范</w:t>
      </w:r>
    </w:p>
    <w:p>
      <w:pPr>
        <w:pStyle w:val="56"/>
        <w:ind w:firstLine="420"/>
      </w:pPr>
      <w:r>
        <w:rPr>
          <w:rFonts w:hint="eastAsia"/>
        </w:rPr>
        <w:t xml:space="preserve">GB/T 17568—2019 </w:t>
      </w:r>
      <w:r>
        <w:t xml:space="preserve"> </w:t>
      </w:r>
      <w:r>
        <w:rPr>
          <w:rFonts w:hint="eastAsia"/>
        </w:rPr>
        <w:t>γ辐照装置设计建造和使用规范</w:t>
      </w:r>
    </w:p>
    <w:p>
      <w:pPr>
        <w:pStyle w:val="104"/>
        <w:spacing w:before="312" w:after="312"/>
      </w:pPr>
      <w:bookmarkStart w:id="47" w:name="_Toc155085281"/>
      <w:bookmarkStart w:id="48" w:name="_Toc97191425"/>
      <w:bookmarkStart w:id="49" w:name="_Toc152794204"/>
      <w:r>
        <w:rPr>
          <w:rFonts w:hint="eastAsia"/>
          <w:szCs w:val="21"/>
        </w:rPr>
        <w:t>术语和定义</w:t>
      </w:r>
      <w:bookmarkEnd w:id="47"/>
      <w:bookmarkEnd w:id="48"/>
      <w:bookmarkEnd w:id="49"/>
    </w:p>
    <w:sdt>
      <w:sdtPr>
        <w:id w:val="-1909835108"/>
        <w:placeholder>
          <w:docPart w:val="52604ADE346D40569F3C0C4D287B2F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0" w:name="_Toc26986532"/>
          <w:bookmarkEnd w:id="50"/>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Co60辐照装置  Cobalt 60 irradiation apparatus</w:t>
      </w:r>
    </w:p>
    <w:p>
      <w:pPr>
        <w:pStyle w:val="56"/>
        <w:ind w:firstLine="420"/>
      </w:pPr>
      <w:r>
        <w:rPr>
          <w:rFonts w:hint="eastAsia"/>
        </w:rPr>
        <w:t>利用放射性同位素</w:t>
      </w:r>
      <w:r>
        <w:t>Co60</w:t>
      </w:r>
      <w:r>
        <w:rPr>
          <w:rFonts w:hint="eastAsia"/>
        </w:rPr>
        <w:t>产生的γ射线，通过安全可靠的辐射工艺对产品进行加工的装置。</w:t>
      </w:r>
    </w:p>
    <w:p>
      <w:pPr>
        <w:pStyle w:val="56"/>
        <w:ind w:firstLine="420"/>
      </w:pPr>
      <w:r>
        <w:rPr>
          <w:rFonts w:hint="eastAsia"/>
        </w:rPr>
        <w:t>[来源：GB/T 17568—2019，3</w:t>
      </w:r>
      <w:r>
        <w:t>.2</w:t>
      </w:r>
      <w:r>
        <w:rPr>
          <w:rFonts w:hint="eastAsia"/>
        </w:rPr>
        <w:t xml:space="preserve">，有修改]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纸质档案辐照  paper archives irradiation</w:t>
      </w:r>
    </w:p>
    <w:p>
      <w:pPr>
        <w:pStyle w:val="56"/>
        <w:ind w:firstLine="420"/>
      </w:pPr>
      <w:r>
        <w:rPr>
          <w:rFonts w:hint="eastAsia"/>
        </w:rPr>
        <w:t xml:space="preserve">利用γ射线辐射在纸质档案中产生的辐射生物学效应而达到杀虫、抑菌、防霉等目的的过程。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最低有效剂量  minimum effective dose</w:t>
      </w:r>
    </w:p>
    <w:p>
      <w:pPr>
        <w:pStyle w:val="56"/>
        <w:ind w:firstLine="420"/>
      </w:pPr>
      <w:r>
        <w:rPr>
          <w:rFonts w:hint="eastAsia"/>
        </w:rPr>
        <w:t>纸质档案辐照,为达到杀虫、消毒目的所需的最低剂量，即工艺剂量的下限值。</w:t>
      </w:r>
    </w:p>
    <w:p>
      <w:pPr>
        <w:pStyle w:val="56"/>
        <w:ind w:firstLine="420"/>
      </w:pPr>
      <w:r>
        <w:rPr>
          <w:rFonts w:hint="eastAsia"/>
        </w:rPr>
        <w:t>[来源：GB 18524—2016，2</w:t>
      </w:r>
      <w:r>
        <w:t>.4</w:t>
      </w:r>
      <w:r>
        <w:rPr>
          <w:rFonts w:hint="eastAsia"/>
        </w:rPr>
        <w:t xml:space="preserve">，有修改]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最高耐受剂量  maximum tolerated dose</w:t>
      </w:r>
    </w:p>
    <w:p>
      <w:pPr>
        <w:pStyle w:val="56"/>
        <w:ind w:firstLine="420"/>
      </w:pPr>
      <w:r>
        <w:rPr>
          <w:rFonts w:hint="eastAsia"/>
        </w:rPr>
        <w:t>纸质档案辐照,不会对档案的纸张、字迹材料、装订等特性产生负面影响的最大剂量，即工艺剂量的上限值。</w:t>
      </w:r>
    </w:p>
    <w:p>
      <w:pPr>
        <w:pStyle w:val="56"/>
        <w:ind w:firstLine="420"/>
      </w:pPr>
      <w:r>
        <w:rPr>
          <w:rFonts w:hint="eastAsia"/>
        </w:rPr>
        <w:t>[来源：GB 18524—2016，2</w:t>
      </w:r>
      <w:r>
        <w:t>.5</w:t>
      </w:r>
      <w:r>
        <w:rPr>
          <w:rFonts w:hint="eastAsia"/>
        </w:rPr>
        <w:t xml:space="preserve">，有修改]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辐照工艺剂量  irradiation process dose</w:t>
      </w:r>
    </w:p>
    <w:p>
      <w:pPr>
        <w:pStyle w:val="56"/>
        <w:ind w:firstLine="420"/>
      </w:pPr>
      <w:r>
        <w:rPr>
          <w:rFonts w:hint="eastAsia"/>
        </w:rPr>
        <w:t>在辐照中，为了达到预期的工艺目的所需的吸收剂量范围，其下限值应大于最低有效剂量，上限值应小于最高耐受剂量。</w:t>
      </w:r>
    </w:p>
    <w:p>
      <w:pPr>
        <w:pStyle w:val="56"/>
        <w:ind w:firstLine="420"/>
      </w:pPr>
      <w:r>
        <w:rPr>
          <w:rFonts w:hint="eastAsia"/>
        </w:rPr>
        <w:t>[来源：GB 18524—2016，2</w:t>
      </w:r>
      <w:r>
        <w:t>.6</w:t>
      </w:r>
      <w:r>
        <w:rPr>
          <w:rFonts w:hint="eastAsia"/>
        </w:rPr>
        <w:t xml:space="preserve">，有修改]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吸收剂量（D） absorbed dose </w:t>
      </w:r>
    </w:p>
    <w:p>
      <w:pPr>
        <w:pStyle w:val="56"/>
        <w:ind w:firstLine="420"/>
      </w:pPr>
      <w:r>
        <w:rPr>
          <w:rFonts w:hint="eastAsia"/>
        </w:rPr>
        <w:t>用来表示单位质量的受照物质吸收辐射能量大小的物理量。吸收剂量的符号为D，名称为戈瑞,单位符号为 Gy,1Gy=1J/kg，1kGy=1000Gy。</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装载模式  loading mode</w:t>
      </w:r>
    </w:p>
    <w:p>
      <w:pPr>
        <w:pStyle w:val="56"/>
        <w:ind w:firstLine="420"/>
      </w:pPr>
      <w:r>
        <w:rPr>
          <w:rFonts w:hint="eastAsia"/>
        </w:rPr>
        <w:t>辐照容器内档案箱的放置方式。</w:t>
      </w:r>
    </w:p>
    <w:p>
      <w:pPr>
        <w:pStyle w:val="104"/>
        <w:spacing w:before="312" w:after="312"/>
      </w:pPr>
      <w:bookmarkStart w:id="51" w:name="_Toc152794205"/>
      <w:bookmarkStart w:id="52" w:name="_Toc155085282"/>
      <w:r>
        <w:rPr>
          <w:rFonts w:hint="eastAsia"/>
        </w:rPr>
        <w:t>总体要求</w:t>
      </w:r>
      <w:bookmarkEnd w:id="51"/>
      <w:bookmarkEnd w:id="52"/>
    </w:p>
    <w:p>
      <w:pPr>
        <w:pStyle w:val="162"/>
      </w:pPr>
      <w:r>
        <w:rPr>
          <w:rFonts w:hint="eastAsia"/>
        </w:rPr>
        <w:t>辐照机构应取得辐射安全许可证，并按GB/T 17568—2019中第11章的运行要求运行</w:t>
      </w:r>
    </w:p>
    <w:p>
      <w:pPr>
        <w:pStyle w:val="162"/>
      </w:pPr>
      <w:r>
        <w:rPr>
          <w:rFonts w:hint="eastAsia"/>
        </w:rPr>
        <w:t>辐照机构的辐射防护和安全应符合GB 10252—2009的规定。</w:t>
      </w:r>
    </w:p>
    <w:p>
      <w:pPr>
        <w:pStyle w:val="162"/>
      </w:pPr>
      <w:r>
        <w:rPr>
          <w:rFonts w:hint="eastAsia"/>
        </w:rPr>
        <w:t>辐照处理不应对档案纸张理化特征、字迹材料耐久性、装订材料性能产生不利影响。</w:t>
      </w:r>
    </w:p>
    <w:p>
      <w:pPr>
        <w:pStyle w:val="162"/>
      </w:pPr>
      <w:r>
        <w:rPr>
          <w:rFonts w:hint="eastAsia"/>
        </w:rPr>
        <w:t>应落实安全管理责任，维护档案原件和档案信息的安全。档案辐照应当天完成，档案辐照后进入库房保管。</w:t>
      </w:r>
    </w:p>
    <w:p>
      <w:pPr>
        <w:pStyle w:val="162"/>
      </w:pPr>
      <w:r>
        <w:rPr>
          <w:rFonts w:hint="eastAsia"/>
        </w:rPr>
        <w:t>辐照机构应配备核安全工程师、辐射防护负责人；档案机构应配备档案安全管理、运输押运和出入库管理人员。</w:t>
      </w:r>
    </w:p>
    <w:p>
      <w:pPr>
        <w:pStyle w:val="104"/>
        <w:spacing w:before="312" w:after="312"/>
      </w:pPr>
      <w:bookmarkStart w:id="53" w:name="_Toc155085283"/>
      <w:bookmarkStart w:id="54" w:name="_Toc152794206"/>
      <w:r>
        <w:rPr>
          <w:rFonts w:hint="eastAsia"/>
        </w:rPr>
        <w:t>辐照装置要求</w:t>
      </w:r>
      <w:bookmarkEnd w:id="53"/>
      <w:bookmarkEnd w:id="54"/>
    </w:p>
    <w:p>
      <w:pPr>
        <w:pStyle w:val="162"/>
      </w:pPr>
      <w:r>
        <w:rPr>
          <w:rFonts w:hint="eastAsia"/>
        </w:rPr>
        <w:t>纸质档案辐射源为Co60放射源。</w:t>
      </w:r>
    </w:p>
    <w:p>
      <w:pPr>
        <w:pStyle w:val="162"/>
      </w:pPr>
      <w:r>
        <w:rPr>
          <w:rFonts w:hint="eastAsia"/>
        </w:rPr>
        <w:t>辐照装置的选址、设计及建造应符合GB/T 17568—2019中第5、6、7章的要求。</w:t>
      </w:r>
    </w:p>
    <w:p>
      <w:pPr>
        <w:pStyle w:val="162"/>
      </w:pPr>
      <w:r>
        <w:rPr>
          <w:rFonts w:hint="eastAsia"/>
        </w:rPr>
        <w:t>辐照装置宜由产品输送系统，源升降系统及装换源机械设备，自控系统及控制软件，辐射监测及安全联锁设备，辐照室通风系统，源井水处理系统组成，宜配备水冷却系统，压缩空气系统等。</w:t>
      </w:r>
    </w:p>
    <w:p>
      <w:pPr>
        <w:pStyle w:val="162"/>
      </w:pPr>
      <w:r>
        <w:rPr>
          <w:rFonts w:hint="eastAsia"/>
        </w:rPr>
        <w:t>辐照装置完成安装后,应进行安装鉴定；安装鉴定完成后，应进行运行鉴定。档案在接受辐照前应完成剂量分布鉴定，确认其在正常操作情况下所接受的吸收剂量及其分布，验证辐照的重复性。</w:t>
      </w:r>
    </w:p>
    <w:p>
      <w:pPr>
        <w:pStyle w:val="162"/>
      </w:pPr>
      <w:r>
        <w:rPr>
          <w:rFonts w:hint="eastAsia"/>
        </w:rPr>
        <w:t>辐照装置应进行定期检查和维护，安全使用。</w:t>
      </w:r>
    </w:p>
    <w:p>
      <w:pPr>
        <w:pStyle w:val="104"/>
        <w:spacing w:before="312" w:after="312"/>
      </w:pPr>
      <w:bookmarkStart w:id="55" w:name="_Toc152794207"/>
      <w:bookmarkStart w:id="56" w:name="_Toc155085284"/>
      <w:r>
        <w:rPr>
          <w:rFonts w:hint="eastAsia"/>
        </w:rPr>
        <w:t>人员要求</w:t>
      </w:r>
      <w:bookmarkEnd w:id="55"/>
      <w:bookmarkEnd w:id="56"/>
    </w:p>
    <w:p>
      <w:pPr>
        <w:pStyle w:val="105"/>
        <w:spacing w:before="156" w:after="156"/>
      </w:pPr>
      <w:r>
        <w:rPr>
          <w:rFonts w:hint="eastAsia"/>
        </w:rPr>
        <w:t>档案机构人员要求</w:t>
      </w:r>
    </w:p>
    <w:p>
      <w:pPr>
        <w:pStyle w:val="56"/>
        <w:ind w:firstLine="420"/>
      </w:pPr>
      <w:r>
        <w:rPr>
          <w:rFonts w:hint="eastAsia"/>
        </w:rPr>
        <w:t>档案机构人员应做好档案出入库清点、运输押运、剂量计放置、进出辐照机构的安全监管，维护档案原件和信息安全。</w:t>
      </w:r>
    </w:p>
    <w:p>
      <w:pPr>
        <w:pStyle w:val="105"/>
        <w:spacing w:before="156" w:after="156"/>
      </w:pPr>
      <w:r>
        <w:rPr>
          <w:rFonts w:hint="eastAsia"/>
        </w:rPr>
        <w:t>辐照机构人员要求</w:t>
      </w:r>
    </w:p>
    <w:p>
      <w:pPr>
        <w:pStyle w:val="165"/>
      </w:pPr>
      <w:r>
        <w:rPr>
          <w:rFonts w:hint="eastAsia"/>
        </w:rPr>
        <w:t>辐照机构应按照GB 10252—2009要求指定辐射防护负责人，配备或聘用合格专家。</w:t>
      </w:r>
    </w:p>
    <w:p>
      <w:pPr>
        <w:pStyle w:val="165"/>
      </w:pPr>
      <w:r>
        <w:rPr>
          <w:rFonts w:hint="eastAsia"/>
        </w:rPr>
        <w:t>操作人员应通过γ辐照辐射安全与防护考核，并取得合格证，具备操作放射源和相关设备能力，并记录运行日志。</w:t>
      </w:r>
    </w:p>
    <w:p>
      <w:pPr>
        <w:pStyle w:val="104"/>
        <w:spacing w:before="312" w:after="312"/>
      </w:pPr>
      <w:bookmarkStart w:id="57" w:name="_Toc155085285"/>
      <w:bookmarkStart w:id="58" w:name="_Toc152794208"/>
      <w:r>
        <w:rPr>
          <w:rFonts w:hint="eastAsia"/>
        </w:rPr>
        <w:t>辐照消毒流程</w:t>
      </w:r>
      <w:bookmarkEnd w:id="57"/>
      <w:bookmarkEnd w:id="58"/>
    </w:p>
    <w:p>
      <w:pPr>
        <w:pStyle w:val="56"/>
        <w:ind w:firstLine="420"/>
      </w:pPr>
      <w:r>
        <w:rPr>
          <w:rFonts w:hint="eastAsia"/>
        </w:rPr>
        <w:t>辐照消毒流程见图1。</w:t>
      </w:r>
    </w:p>
    <w:p>
      <w:pPr>
        <w:pStyle w:val="56"/>
        <w:ind w:firstLine="420"/>
        <w:jc w:val="center"/>
      </w:pPr>
      <w:r>
        <w:rPr>
          <w:rFonts w:hint="eastAsia" w:ascii="Calibri" w:hAnsi="Calibri"/>
          <w:kern w:val="2"/>
          <w:szCs w:val="21"/>
        </w:rPr>
        <w:drawing>
          <wp:inline distT="0" distB="0" distL="114300" distR="114300">
            <wp:extent cx="5301615" cy="5723255"/>
            <wp:effectExtent l="0" t="0" r="0" b="0"/>
            <wp:docPr id="7" name="ECB019B1-382A-4266-B25C-5B523AA43C14-1" descr="C:/Users/xy01220390/AppData/Local/Temp/wps.okcCS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B019B1-382A-4266-B25C-5B523AA43C14-1" descr="C:/Users/xy01220390/AppData/Local/Temp/wps.okcCSrwps"/>
                    <pic:cNvPicPr>
                      <a:picLocks noChangeAspect="1"/>
                    </pic:cNvPicPr>
                  </pic:nvPicPr>
                  <pic:blipFill>
                    <a:blip r:embed="rId45"/>
                    <a:stretch>
                      <a:fillRect/>
                    </a:stretch>
                  </pic:blipFill>
                  <pic:spPr>
                    <a:xfrm>
                      <a:off x="0" y="0"/>
                      <a:ext cx="5301615" cy="5723255"/>
                    </a:xfrm>
                    <a:prstGeom prst="rect">
                      <a:avLst/>
                    </a:prstGeom>
                  </pic:spPr>
                </pic:pic>
              </a:graphicData>
            </a:graphic>
          </wp:inline>
        </w:drawing>
      </w:r>
    </w:p>
    <w:p>
      <w:pPr>
        <w:pStyle w:val="114"/>
        <w:spacing w:before="156" w:after="156"/>
      </w:pPr>
      <w:r>
        <w:rPr>
          <w:rFonts w:hint="eastAsia"/>
        </w:rPr>
        <w:t>辐照消毒流程</w:t>
      </w:r>
    </w:p>
    <w:p>
      <w:pPr>
        <w:pStyle w:val="104"/>
        <w:spacing w:before="312" w:after="312"/>
      </w:pPr>
      <w:bookmarkStart w:id="59" w:name="_Toc152794209"/>
      <w:bookmarkStart w:id="60" w:name="_Toc155085286"/>
      <w:r>
        <w:rPr>
          <w:rFonts w:hint="eastAsia"/>
        </w:rPr>
        <w:t>辐照前准备</w:t>
      </w:r>
      <w:bookmarkEnd w:id="59"/>
      <w:bookmarkEnd w:id="60"/>
    </w:p>
    <w:p>
      <w:pPr>
        <w:pStyle w:val="105"/>
        <w:spacing w:before="156" w:after="156"/>
      </w:pPr>
      <w:r>
        <w:rPr>
          <w:rFonts w:hint="eastAsia"/>
        </w:rPr>
        <w:t>清点造册</w:t>
      </w:r>
    </w:p>
    <w:p>
      <w:pPr>
        <w:pStyle w:val="56"/>
        <w:ind w:firstLine="420"/>
      </w:pPr>
      <w:r>
        <w:rPr>
          <w:rFonts w:hint="eastAsia"/>
        </w:rPr>
        <w:t>辐照前应对需要进行辐照的纸质档案进行清点和记录。</w:t>
      </w:r>
    </w:p>
    <w:p>
      <w:pPr>
        <w:pStyle w:val="105"/>
        <w:spacing w:before="156" w:after="156"/>
      </w:pPr>
      <w:r>
        <w:rPr>
          <w:rFonts w:hint="eastAsia"/>
        </w:rPr>
        <w:t>放置剂量计</w:t>
      </w:r>
    </w:p>
    <w:p>
      <w:pPr>
        <w:pStyle w:val="56"/>
        <w:ind w:firstLine="420"/>
      </w:pPr>
      <w:r>
        <w:rPr>
          <w:rFonts w:hint="eastAsia"/>
        </w:rPr>
        <w:t>应选择某一批次，按总消毒档案每百立方5％～8％的比例在包装箱内放置辐照剂量计。</w:t>
      </w:r>
    </w:p>
    <w:p>
      <w:pPr>
        <w:pStyle w:val="105"/>
        <w:spacing w:before="156" w:after="156"/>
      </w:pPr>
      <w:r>
        <w:rPr>
          <w:rFonts w:hint="eastAsia"/>
        </w:rPr>
        <w:t>装箱封箱</w:t>
      </w:r>
    </w:p>
    <w:p>
      <w:pPr>
        <w:pStyle w:val="165"/>
      </w:pPr>
      <w:r>
        <w:rPr>
          <w:rFonts w:hint="eastAsia"/>
        </w:rPr>
        <w:t>将清点后的纸质档案装箱，并进行密封，每箱单独贴封条，清点装车后，运输车辆加贴封条。</w:t>
      </w:r>
    </w:p>
    <w:p>
      <w:pPr>
        <w:pStyle w:val="165"/>
      </w:pPr>
      <w:r>
        <w:rPr>
          <w:rFonts w:hint="eastAsia"/>
        </w:rPr>
        <w:t>包装箱材质应采用耐久性材料，经辐照后仍具有对纸质档案的保护功能。</w:t>
      </w:r>
    </w:p>
    <w:p>
      <w:pPr>
        <w:pStyle w:val="165"/>
      </w:pPr>
      <w:r>
        <w:rPr>
          <w:rFonts w:hint="eastAsia"/>
        </w:rPr>
        <w:t>每批次包装箱大小尺寸应统一，装箱时应装满，与辐照时档案装载模式相匹配。</w:t>
      </w:r>
    </w:p>
    <w:p>
      <w:pPr>
        <w:pStyle w:val="105"/>
        <w:spacing w:before="156" w:after="156"/>
      </w:pPr>
      <w:r>
        <w:rPr>
          <w:rFonts w:hint="eastAsia"/>
        </w:rPr>
        <w:t>箱号标识</w:t>
      </w:r>
    </w:p>
    <w:p>
      <w:pPr>
        <w:pStyle w:val="56"/>
        <w:ind w:firstLine="420"/>
      </w:pPr>
      <w:r>
        <w:rPr>
          <w:rFonts w:hint="eastAsia"/>
        </w:rPr>
        <w:t>对包装箱进行编号,并设置明显标识。</w:t>
      </w:r>
    </w:p>
    <w:p>
      <w:pPr>
        <w:pStyle w:val="105"/>
        <w:spacing w:before="156" w:after="156"/>
      </w:pPr>
      <w:r>
        <w:rPr>
          <w:rFonts w:hint="eastAsia"/>
        </w:rPr>
        <w:t>出库运输</w:t>
      </w:r>
    </w:p>
    <w:p>
      <w:pPr>
        <w:pStyle w:val="165"/>
      </w:pPr>
      <w:r>
        <w:rPr>
          <w:rFonts w:hint="eastAsia"/>
        </w:rPr>
        <w:t>应按照档案库房管理规定办理出库手续。在装卸和运输过程中，应防火、防潮以及防止外包装破损。</w:t>
      </w:r>
    </w:p>
    <w:p>
      <w:pPr>
        <w:pStyle w:val="165"/>
      </w:pPr>
      <w:r>
        <w:rPr>
          <w:rFonts w:hint="eastAsia"/>
        </w:rPr>
        <w:t>应对档案上下车、运输等全过程进行安全管理，运送档案时应使用符合档案安全运输管理规定的车辆，并配备押送员，实行专人专车。</w:t>
      </w:r>
    </w:p>
    <w:p>
      <w:pPr>
        <w:pStyle w:val="104"/>
        <w:spacing w:before="312" w:after="312"/>
      </w:pPr>
      <w:bookmarkStart w:id="61" w:name="_Toc152794210"/>
      <w:bookmarkStart w:id="62" w:name="_Toc155085287"/>
      <w:r>
        <w:rPr>
          <w:rFonts w:hint="eastAsia"/>
        </w:rPr>
        <w:t>辐照消毒</w:t>
      </w:r>
      <w:bookmarkEnd w:id="61"/>
      <w:r>
        <w:rPr>
          <w:rFonts w:hint="eastAsia"/>
        </w:rPr>
        <w:t>实施</w:t>
      </w:r>
      <w:bookmarkEnd w:id="62"/>
    </w:p>
    <w:p>
      <w:pPr>
        <w:pStyle w:val="105"/>
        <w:spacing w:before="156" w:after="156"/>
      </w:pPr>
      <w:r>
        <w:rPr>
          <w:rFonts w:hint="eastAsia"/>
        </w:rPr>
        <w:t>辐照工艺选择</w:t>
      </w:r>
    </w:p>
    <w:p>
      <w:pPr>
        <w:pStyle w:val="65"/>
        <w:spacing w:before="156" w:after="156"/>
      </w:pPr>
      <w:r>
        <w:rPr>
          <w:rFonts w:hint="eastAsia"/>
        </w:rPr>
        <w:t>辐照方式</w:t>
      </w:r>
    </w:p>
    <w:p>
      <w:pPr>
        <w:pStyle w:val="56"/>
        <w:ind w:firstLine="420"/>
      </w:pPr>
      <w:r>
        <w:rPr>
          <w:rFonts w:hint="eastAsia"/>
        </w:rPr>
        <w:t>Co-60γ辐照宜采用动态步进（或连续）的方式。采用加工载荷沿辐射源栅板两侧进行多道、多层、自动换面的方式进行动态步进的均匀辐照。</w:t>
      </w:r>
    </w:p>
    <w:p>
      <w:pPr>
        <w:pStyle w:val="179"/>
      </w:pPr>
      <w:r>
        <w:rPr>
          <w:rFonts w:hint="eastAsia"/>
        </w:rPr>
        <w:t>动态步进辐照是指产品进入辐照室内辐照，在工位上停留一定时间，然后移到下一个辐照工位再停留相同时间，依次前进，直至送出辐照室。</w:t>
      </w:r>
    </w:p>
    <w:p>
      <w:pPr>
        <w:pStyle w:val="65"/>
        <w:spacing w:before="156" w:after="156"/>
      </w:pPr>
      <w:r>
        <w:rPr>
          <w:rFonts w:hint="eastAsia"/>
        </w:rPr>
        <w:t>辐照剂量</w:t>
      </w:r>
    </w:p>
    <w:p>
      <w:pPr>
        <w:pStyle w:val="164"/>
      </w:pPr>
      <w:r>
        <w:rPr>
          <w:rFonts w:hint="eastAsia"/>
        </w:rPr>
        <w:t>辐照剂量应使用有效剂量并且不超出最高耐受剂量。</w:t>
      </w:r>
    </w:p>
    <w:p>
      <w:pPr>
        <w:pStyle w:val="164"/>
      </w:pPr>
      <w:r>
        <w:rPr>
          <w:rFonts w:hint="eastAsia"/>
        </w:rPr>
        <w:t>档案辐照最高耐受剂量为10kGy，辐照工艺剂量应大于等于1kGy，小于等于3kGy。</w:t>
      </w:r>
    </w:p>
    <w:p>
      <w:pPr>
        <w:pStyle w:val="65"/>
        <w:spacing w:before="156" w:after="156"/>
      </w:pPr>
      <w:r>
        <w:rPr>
          <w:rFonts w:hint="eastAsia"/>
        </w:rPr>
        <w:t>辐照工艺参数与装载模式</w:t>
      </w:r>
    </w:p>
    <w:p>
      <w:pPr>
        <w:pStyle w:val="164"/>
      </w:pPr>
      <w:r>
        <w:rPr>
          <w:rFonts w:hint="eastAsia"/>
        </w:rPr>
        <w:t>应根据辐照工艺要求完成档案的剂量分布测试，确定辐照工艺参数与装载模式。</w:t>
      </w:r>
    </w:p>
    <w:p>
      <w:pPr>
        <w:pStyle w:val="164"/>
      </w:pPr>
      <w:r>
        <w:rPr>
          <w:rFonts w:hint="eastAsia"/>
        </w:rPr>
        <w:t xml:space="preserve">每类档案的不同包装都应单独建立装载模式。装载模式说明中应写明辐照容器内档案箱的数量和位置。 </w:t>
      </w:r>
    </w:p>
    <w:p>
      <w:pPr>
        <w:pStyle w:val="105"/>
        <w:spacing w:before="156" w:after="156"/>
      </w:pPr>
      <w:r>
        <w:rPr>
          <w:rFonts w:hint="eastAsia"/>
        </w:rPr>
        <w:t>辐照过程管理</w:t>
      </w:r>
    </w:p>
    <w:p>
      <w:pPr>
        <w:pStyle w:val="165"/>
      </w:pPr>
      <w:r>
        <w:rPr>
          <w:rFonts w:hint="eastAsia"/>
        </w:rPr>
        <w:t>按照剂量分布验证后确定的装载模式，将档案箱装进辐照容器时，选取剂量最高点、最低点或常规点布放剂量计进行剂量监测。</w:t>
      </w:r>
    </w:p>
    <w:p>
      <w:pPr>
        <w:pStyle w:val="165"/>
      </w:pPr>
      <w:r>
        <w:rPr>
          <w:rFonts w:hint="eastAsia"/>
        </w:rPr>
        <w:t>按照辐照工艺对档案进行辐照消毒并做好记录，纸质档案辐照消毒记录表格式参见附录A。</w:t>
      </w:r>
    </w:p>
    <w:p>
      <w:pPr>
        <w:pStyle w:val="165"/>
      </w:pPr>
      <w:r>
        <w:rPr>
          <w:rFonts w:hint="eastAsia"/>
        </w:rPr>
        <w:t>消毒后，从辐照容器中卸载档案，在指定区域堆放，核对数量，并检查包装箱完好性。做好剂量检测记录并存档，剂量检测记录表格式参见附录B。</w:t>
      </w:r>
    </w:p>
    <w:p>
      <w:pPr>
        <w:pStyle w:val="165"/>
      </w:pPr>
      <w:r>
        <w:rPr>
          <w:rFonts w:hint="eastAsia"/>
        </w:rPr>
        <w:t>纸质档案可以进行重复辐照，累积剂量不超过10kGy。</w:t>
      </w:r>
    </w:p>
    <w:p>
      <w:pPr>
        <w:pStyle w:val="104"/>
        <w:spacing w:before="312" w:after="312"/>
      </w:pPr>
      <w:bookmarkStart w:id="63" w:name="_Toc152794211"/>
      <w:bookmarkStart w:id="64" w:name="_Toc155085288"/>
      <w:r>
        <w:rPr>
          <w:rFonts w:hint="eastAsia"/>
        </w:rPr>
        <w:t>辐照后管理</w:t>
      </w:r>
      <w:bookmarkEnd w:id="63"/>
      <w:bookmarkEnd w:id="64"/>
    </w:p>
    <w:p>
      <w:pPr>
        <w:pStyle w:val="105"/>
        <w:spacing w:before="156" w:after="156"/>
      </w:pPr>
      <w:r>
        <w:rPr>
          <w:rFonts w:hint="eastAsia"/>
        </w:rPr>
        <w:t>质量检查</w:t>
      </w:r>
    </w:p>
    <w:p>
      <w:pPr>
        <w:pStyle w:val="56"/>
        <w:ind w:firstLine="420"/>
      </w:pPr>
      <w:r>
        <w:rPr>
          <w:rFonts w:hint="eastAsia"/>
        </w:rPr>
        <w:t>检测辐照后剂量计，如剂量不达标，应再次进行辐照消毒。</w:t>
      </w:r>
    </w:p>
    <w:p>
      <w:pPr>
        <w:pStyle w:val="105"/>
        <w:spacing w:before="156" w:after="156"/>
      </w:pPr>
      <w:r>
        <w:rPr>
          <w:rFonts w:hint="eastAsia"/>
        </w:rPr>
        <w:t>运输</w:t>
      </w:r>
    </w:p>
    <w:p>
      <w:pPr>
        <w:pStyle w:val="56"/>
        <w:ind w:firstLine="420"/>
      </w:pPr>
      <w:r>
        <w:rPr>
          <w:rFonts w:hint="eastAsia"/>
        </w:rPr>
        <w:t>对纸质档案上下车、运输等全过程进行安全管理。装卸和运输过程中，应防火、防潮以及防止外包装破损。运送档案时应使用符合档案安全运输管理规定的车辆，并配备押送员，实行专人专车。</w:t>
      </w:r>
    </w:p>
    <w:p>
      <w:pPr>
        <w:pStyle w:val="105"/>
        <w:spacing w:before="156" w:after="156"/>
      </w:pPr>
      <w:r>
        <w:rPr>
          <w:rFonts w:hint="eastAsia"/>
        </w:rPr>
        <w:t>入库</w:t>
      </w:r>
    </w:p>
    <w:p>
      <w:pPr>
        <w:pStyle w:val="56"/>
        <w:ind w:firstLine="420"/>
      </w:pPr>
      <w:r>
        <w:rPr>
          <w:rFonts w:hint="eastAsia"/>
        </w:rPr>
        <w:t>纸质档案经过辐照消毒处理后，办理移交进入档案馆库房手续，执行档案库房管理制度，定期开展档案虫霉防治检查。</w:t>
      </w:r>
    </w:p>
    <w:p>
      <w:pPr>
        <w:pStyle w:val="104"/>
        <w:spacing w:before="312" w:after="312"/>
      </w:pPr>
      <w:bookmarkStart w:id="65" w:name="_Toc152794212"/>
      <w:bookmarkStart w:id="66" w:name="_Toc155085289"/>
      <w:r>
        <w:rPr>
          <w:rFonts w:hint="eastAsia"/>
        </w:rPr>
        <w:t>消毒记录文件管理</w:t>
      </w:r>
      <w:bookmarkEnd w:id="65"/>
      <w:bookmarkEnd w:id="66"/>
    </w:p>
    <w:p>
      <w:pPr>
        <w:pStyle w:val="105"/>
        <w:spacing w:before="156" w:after="156"/>
      </w:pPr>
      <w:r>
        <w:rPr>
          <w:rFonts w:hint="eastAsia"/>
        </w:rPr>
        <w:t>纸质档案辐照证明</w:t>
      </w:r>
    </w:p>
    <w:p>
      <w:pPr>
        <w:pStyle w:val="56"/>
        <w:ind w:firstLine="420"/>
      </w:pPr>
      <w:r>
        <w:rPr>
          <w:rFonts w:hint="eastAsia"/>
        </w:rPr>
        <w:t>对已辐照纸质档案开具辐照证明，做好辐照标识，证明格式参见附录C。</w:t>
      </w:r>
    </w:p>
    <w:p>
      <w:pPr>
        <w:pStyle w:val="105"/>
        <w:spacing w:before="156" w:after="156"/>
      </w:pPr>
      <w:r>
        <w:rPr>
          <w:rFonts w:hint="eastAsia"/>
        </w:rPr>
        <w:t>档案交接台账记录</w:t>
      </w:r>
    </w:p>
    <w:p>
      <w:pPr>
        <w:pStyle w:val="56"/>
        <w:ind w:firstLine="420"/>
      </w:pPr>
      <w:r>
        <w:rPr>
          <w:rFonts w:hint="eastAsia"/>
        </w:rPr>
        <w:t>辐照消毒后，对档案包装箱数量进行核对清点，并做好交接记录。档案交接台账记录参见附录D。</w:t>
      </w:r>
    </w:p>
    <w:p>
      <w:pPr>
        <w:pStyle w:val="105"/>
        <w:spacing w:before="156" w:after="156"/>
      </w:pPr>
      <w:r>
        <w:rPr>
          <w:rFonts w:hint="eastAsia"/>
        </w:rPr>
        <w:t>文件保存</w:t>
      </w:r>
    </w:p>
    <w:p>
      <w:pPr>
        <w:pStyle w:val="56"/>
        <w:ind w:firstLine="420"/>
      </w:pPr>
      <w:r>
        <w:rPr>
          <w:rFonts w:hint="eastAsia"/>
        </w:rPr>
        <w:t>消毒记录文件应妥善保存，保存期限与档案保存期限一致。</w:t>
      </w: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3"/>
    <w:p>
      <w:pPr>
        <w:pStyle w:val="198"/>
        <w:rPr>
          <w:vanish w:val="0"/>
        </w:rPr>
      </w:pPr>
      <w:bookmarkStart w:id="67" w:name="BookMark5"/>
    </w:p>
    <w:p>
      <w:pPr>
        <w:pStyle w:val="199"/>
        <w:rPr>
          <w:vanish w:val="0"/>
        </w:rPr>
      </w:pPr>
    </w:p>
    <w:p>
      <w:pPr>
        <w:pStyle w:val="76"/>
        <w:spacing w:after="156"/>
      </w:pPr>
      <w:r>
        <w:br w:type="textWrapping"/>
      </w:r>
      <w:bookmarkStart w:id="68" w:name="_Toc152794213"/>
      <w:bookmarkStart w:id="69" w:name="_Toc155085290"/>
      <w:r>
        <w:rPr>
          <w:rFonts w:hint="eastAsia"/>
        </w:rPr>
        <w:t>（资料性）</w:t>
      </w:r>
      <w:r>
        <w:br w:type="textWrapping"/>
      </w:r>
      <w:r>
        <w:rPr>
          <w:rFonts w:hint="eastAsia"/>
        </w:rPr>
        <w:t>纸质档案辐照消毒记录表</w:t>
      </w:r>
      <w:bookmarkEnd w:id="68"/>
      <w:bookmarkEnd w:id="69"/>
    </w:p>
    <w:p>
      <w:pPr>
        <w:pStyle w:val="56"/>
        <w:ind w:firstLine="420"/>
      </w:pPr>
      <w:r>
        <w:rPr>
          <w:rFonts w:hint="eastAsia"/>
        </w:rPr>
        <w:t>表A.1给出了纸质档案辐照参数记录的表格样式。</w:t>
      </w:r>
    </w:p>
    <w:p>
      <w:pPr>
        <w:pStyle w:val="77"/>
        <w:spacing w:before="156" w:after="156"/>
        <w:ind w:firstLine="420"/>
      </w:pPr>
      <w:r>
        <w:rPr>
          <w:rFonts w:hint="eastAsia"/>
        </w:rPr>
        <w:t>纸质档案辐照消毒记录表</w:t>
      </w:r>
    </w:p>
    <w:tbl>
      <w:tblPr>
        <w:tblStyle w:val="27"/>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507"/>
        <w:gridCol w:w="459"/>
        <w:gridCol w:w="214"/>
        <w:gridCol w:w="2341"/>
        <w:gridCol w:w="753"/>
        <w:gridCol w:w="990"/>
        <w:gridCol w:w="830"/>
        <w:gridCol w:w="1029"/>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38" w:type="pct"/>
            <w:gridSpan w:val="2"/>
            <w:tcBorders>
              <w:top w:val="single" w:color="000000" w:sz="4" w:space="0"/>
              <w:left w:val="single" w:color="000000" w:sz="4" w:space="0"/>
              <w:bottom w:val="single" w:color="000000" w:sz="4" w:space="0"/>
              <w:right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客户名称</w:t>
            </w:r>
          </w:p>
        </w:tc>
        <w:tc>
          <w:tcPr>
            <w:tcW w:w="1617" w:type="pct"/>
            <w:gridSpan w:val="3"/>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p>
        </w:tc>
        <w:tc>
          <w:tcPr>
            <w:tcW w:w="1380" w:type="pct"/>
            <w:gridSpan w:val="3"/>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r>
              <w:rPr>
                <w:rFonts w:hint="eastAsia" w:ascii="宋体" w:hAnsi="宋体" w:cs="黑体"/>
                <w:sz w:val="18"/>
                <w:szCs w:val="18"/>
              </w:rPr>
              <w:t>产品名称</w:t>
            </w:r>
          </w:p>
        </w:tc>
        <w:tc>
          <w:tcPr>
            <w:tcW w:w="1365" w:type="pct"/>
            <w:gridSpan w:val="2"/>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38" w:type="pct"/>
            <w:gridSpan w:val="2"/>
            <w:tcBorders>
              <w:top w:val="single" w:color="000000" w:sz="4" w:space="0"/>
              <w:left w:val="single" w:color="000000" w:sz="4" w:space="0"/>
              <w:bottom w:val="single" w:color="000000" w:sz="4" w:space="0"/>
              <w:right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收货日期</w:t>
            </w:r>
          </w:p>
        </w:tc>
        <w:tc>
          <w:tcPr>
            <w:tcW w:w="1617" w:type="pct"/>
            <w:gridSpan w:val="3"/>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p>
        </w:tc>
        <w:tc>
          <w:tcPr>
            <w:tcW w:w="1380" w:type="pct"/>
            <w:gridSpan w:val="3"/>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r>
              <w:rPr>
                <w:rFonts w:hint="eastAsia" w:ascii="宋体" w:hAnsi="宋体" w:cs="黑体"/>
                <w:sz w:val="18"/>
                <w:szCs w:val="18"/>
              </w:rPr>
              <w:t>产品批号</w:t>
            </w:r>
          </w:p>
        </w:tc>
        <w:tc>
          <w:tcPr>
            <w:tcW w:w="1365" w:type="pct"/>
            <w:gridSpan w:val="2"/>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38" w:type="pct"/>
            <w:gridSpan w:val="2"/>
            <w:tcBorders>
              <w:top w:val="single" w:color="000000" w:sz="4" w:space="0"/>
              <w:left w:val="single" w:color="000000" w:sz="4" w:space="0"/>
              <w:bottom w:val="single" w:color="000000" w:sz="4" w:space="0"/>
              <w:right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数量</w:t>
            </w:r>
          </w:p>
        </w:tc>
        <w:tc>
          <w:tcPr>
            <w:tcW w:w="4362" w:type="pct"/>
            <w:gridSpan w:val="8"/>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38" w:type="pct"/>
            <w:gridSpan w:val="2"/>
            <w:tcBorders>
              <w:top w:val="single" w:color="000000" w:sz="4" w:space="0"/>
              <w:left w:val="single" w:color="000000" w:sz="4" w:space="0"/>
              <w:bottom w:val="single" w:color="000000" w:sz="4" w:space="0"/>
              <w:right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辐照日期</w:t>
            </w:r>
          </w:p>
        </w:tc>
        <w:tc>
          <w:tcPr>
            <w:tcW w:w="4362" w:type="pct"/>
            <w:gridSpan w:val="8"/>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84" w:type="pct"/>
            <w:gridSpan w:val="3"/>
            <w:tcBorders>
              <w:top w:val="single" w:color="000000" w:sz="4" w:space="0"/>
              <w:bottom w:val="single" w:color="000000" w:sz="4" w:space="0"/>
              <w:right w:val="single" w:color="000000" w:sz="4" w:space="0"/>
              <w:tl2br w:val="nil"/>
              <w:tr2bl w:val="nil"/>
            </w:tcBorders>
            <w:vAlign w:val="center"/>
          </w:tcPr>
          <w:p>
            <w:pPr>
              <w:snapToGrid w:val="0"/>
              <w:spacing w:line="240" w:lineRule="auto"/>
              <w:rPr>
                <w:rFonts w:ascii="宋体" w:hAnsi="宋体" w:cs="黑体"/>
                <w:sz w:val="18"/>
                <w:szCs w:val="18"/>
              </w:rPr>
            </w:pPr>
            <w:r>
              <w:rPr>
                <w:rFonts w:hint="eastAsia" w:ascii="宋体" w:hAnsi="宋体" w:cs="黑体"/>
                <w:sz w:val="18"/>
                <w:szCs w:val="18"/>
              </w:rPr>
              <w:t>作业指导书编号</w:t>
            </w:r>
          </w:p>
        </w:tc>
        <w:tc>
          <w:tcPr>
            <w:tcW w:w="1775" w:type="pct"/>
            <w:gridSpan w:val="3"/>
            <w:tcBorders>
              <w:top w:val="single" w:color="000000" w:sz="4" w:space="0"/>
              <w:left w:val="single" w:color="000000" w:sz="4" w:space="0"/>
              <w:bottom w:val="single" w:color="000000" w:sz="4" w:space="0"/>
              <w:right w:val="single" w:color="auto" w:sz="4" w:space="0"/>
              <w:tl2br w:val="nil"/>
              <w:tr2bl w:val="nil"/>
            </w:tcBorders>
            <w:vAlign w:val="center"/>
          </w:tcPr>
          <w:p>
            <w:pPr>
              <w:snapToGrid w:val="0"/>
              <w:spacing w:line="240" w:lineRule="auto"/>
              <w:rPr>
                <w:rFonts w:ascii="宋体" w:hAnsi="宋体" w:cs="黑体"/>
                <w:sz w:val="18"/>
                <w:szCs w:val="18"/>
              </w:rPr>
            </w:pPr>
          </w:p>
        </w:tc>
        <w:tc>
          <w:tcPr>
            <w:tcW w:w="2341" w:type="pct"/>
            <w:gridSpan w:val="4"/>
            <w:tcBorders>
              <w:top w:val="single" w:color="000000" w:sz="4" w:space="0"/>
              <w:left w:val="single" w:color="auto" w:sz="4" w:space="0"/>
              <w:bottom w:val="single" w:color="000000" w:sz="4" w:space="0"/>
              <w:tl2br w:val="nil"/>
              <w:tr2bl w:val="nil"/>
            </w:tcBorders>
            <w:vAlign w:val="center"/>
          </w:tcPr>
          <w:p>
            <w:pPr>
              <w:snapToGrid w:val="0"/>
              <w:spacing w:line="240" w:lineRule="auto"/>
              <w:rPr>
                <w:rFonts w:ascii="宋体" w:hAnsi="宋体" w:cs="黑体"/>
                <w:sz w:val="18"/>
                <w:szCs w:val="18"/>
              </w:rPr>
            </w:pPr>
            <w:r>
              <w:rPr>
                <w:rFonts w:hint="eastAsia" w:ascii="宋体" w:hAnsi="宋体" w:cs="黑体"/>
                <w:sz w:val="18"/>
                <w:szCs w:val="18"/>
              </w:rPr>
              <w:t>路径：内囗    中囗    外囗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55" w:type="pct"/>
            <w:gridSpan w:val="5"/>
            <w:tcBorders>
              <w:top w:val="single" w:color="000000" w:sz="4" w:space="0"/>
              <w:bottom w:val="single" w:color="000000" w:sz="4" w:space="0"/>
              <w:right w:val="single" w:color="000000" w:sz="4" w:space="0"/>
              <w:tl2br w:val="nil"/>
              <w:tr2bl w:val="nil"/>
            </w:tcBorders>
            <w:vAlign w:val="center"/>
          </w:tcPr>
          <w:p>
            <w:pPr>
              <w:snapToGrid w:val="0"/>
              <w:spacing w:line="240" w:lineRule="auto"/>
              <w:rPr>
                <w:rFonts w:ascii="宋体" w:hAnsi="宋体" w:cs="黑体"/>
                <w:sz w:val="18"/>
                <w:szCs w:val="18"/>
              </w:rPr>
            </w:pPr>
            <w:r>
              <w:rPr>
                <w:rFonts w:hint="eastAsia" w:ascii="宋体" w:hAnsi="宋体" w:cs="黑体"/>
                <w:sz w:val="18"/>
                <w:szCs w:val="18"/>
              </w:rPr>
              <w:t xml:space="preserve">目标辐照剂量：           </w:t>
            </w:r>
            <w:r>
              <w:rPr>
                <w:rFonts w:hint="eastAsia" w:ascii="宋体" w:hAnsi="宋体" w:cs="Calibri"/>
                <w:sz w:val="18"/>
                <w:szCs w:val="18"/>
              </w:rPr>
              <w:t xml:space="preserve">  kGy    </w:t>
            </w:r>
          </w:p>
        </w:tc>
        <w:tc>
          <w:tcPr>
            <w:tcW w:w="2745" w:type="pct"/>
            <w:gridSpan w:val="5"/>
            <w:tcBorders>
              <w:top w:val="single" w:color="000000" w:sz="4" w:space="0"/>
              <w:left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r>
              <w:rPr>
                <w:rFonts w:hint="eastAsia" w:ascii="宋体" w:hAnsi="宋体" w:cs="黑体"/>
                <w:sz w:val="18"/>
                <w:szCs w:val="18"/>
              </w:rPr>
              <w:t xml:space="preserve">辐照工艺：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10"/>
            <w:tcBorders>
              <w:top w:val="single" w:color="000000" w:sz="4" w:space="0"/>
              <w:bottom w:val="single" w:color="000000" w:sz="4" w:space="0"/>
              <w:tl2br w:val="nil"/>
              <w:tr2bl w:val="nil"/>
            </w:tcBorders>
            <w:vAlign w:val="center"/>
          </w:tcPr>
          <w:p>
            <w:pPr>
              <w:snapToGrid w:val="0"/>
              <w:spacing w:line="240" w:lineRule="auto"/>
              <w:rPr>
                <w:rFonts w:ascii="宋体" w:hAnsi="宋体" w:cs="黑体"/>
                <w:sz w:val="18"/>
                <w:szCs w:val="18"/>
              </w:rPr>
            </w:pPr>
            <w:r>
              <w:rPr>
                <w:rFonts w:hint="eastAsia" w:ascii="宋体" w:hAnsi="宋体" w:cs="黑体"/>
                <w:sz w:val="18"/>
                <w:szCs w:val="18"/>
              </w:rPr>
              <w:t xml:space="preserve">辐照标志： </w:t>
            </w:r>
            <w:r>
              <w:rPr>
                <w:rFonts w:hint="eastAsia" w:ascii="宋体" w:hAnsi="宋体" w:cs="黑体"/>
                <w:sz w:val="18"/>
                <w:szCs w:val="18"/>
              </w:rPr>
              <w:sym w:font="Wingdings 2" w:char="00A3"/>
            </w:r>
            <w:r>
              <w:rPr>
                <w:rFonts w:hint="eastAsia" w:ascii="宋体" w:hAnsi="宋体" w:cs="黑体"/>
                <w:sz w:val="18"/>
                <w:szCs w:val="18"/>
              </w:rPr>
              <w:t xml:space="preserve">辐照变色标识      </w:t>
            </w:r>
            <w:r>
              <w:rPr>
                <w:rFonts w:hint="eastAsia" w:ascii="宋体" w:hAnsi="宋体" w:cs="黑体"/>
                <w:sz w:val="18"/>
                <w:szCs w:val="18"/>
              </w:rPr>
              <w:sym w:font="Wingdings 2" w:char="00A3"/>
            </w:r>
            <w:r>
              <w:rPr>
                <w:rFonts w:hint="eastAsia" w:ascii="宋体" w:hAnsi="宋体" w:cs="黑体"/>
                <w:sz w:val="18"/>
                <w:szCs w:val="18"/>
              </w:rPr>
              <w:t xml:space="preserve">辐照灭菌标识                       数量：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op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序号</w:t>
            </w:r>
          </w:p>
        </w:tc>
        <w:tc>
          <w:tcPr>
            <w:tcW w:w="633" w:type="pct"/>
            <w:gridSpan w:val="3"/>
            <w:tcBorders>
              <w:top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装载模式</w:t>
            </w:r>
          </w:p>
        </w:tc>
        <w:tc>
          <w:tcPr>
            <w:tcW w:w="1256" w:type="pct"/>
            <w:tcBorders>
              <w:top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辐照箱号</w:t>
            </w:r>
          </w:p>
        </w:tc>
        <w:tc>
          <w:tcPr>
            <w:tcW w:w="935" w:type="pct"/>
            <w:gridSpan w:val="2"/>
            <w:tcBorders>
              <w:top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头箱进源室时间</w:t>
            </w:r>
          </w:p>
        </w:tc>
        <w:tc>
          <w:tcPr>
            <w:tcW w:w="997" w:type="pct"/>
            <w:gridSpan w:val="2"/>
            <w:tcBorders>
              <w:top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尾箱卸货时间</w:t>
            </w:r>
          </w:p>
        </w:tc>
        <w:tc>
          <w:tcPr>
            <w:tcW w:w="813" w:type="pct"/>
            <w:tcBorders>
              <w:top w:val="single" w:color="000000" w:sz="4" w:space="0"/>
              <w:tl2br w:val="nil"/>
              <w:tr2bl w:val="nil"/>
            </w:tcBorders>
            <w:vAlign w:val="center"/>
          </w:tcPr>
          <w:p>
            <w:pPr>
              <w:snapToGrid w:val="0"/>
              <w:spacing w:line="240" w:lineRule="auto"/>
              <w:jc w:val="center"/>
              <w:rPr>
                <w:rFonts w:ascii="宋体" w:hAnsi="宋体" w:cs="黑体"/>
                <w:sz w:val="18"/>
                <w:szCs w:val="18"/>
              </w:rPr>
            </w:pPr>
            <w:r>
              <w:rPr>
                <w:rFonts w:hint="eastAsia" w:ascii="宋体" w:hAnsi="宋体" w:cs="黑体"/>
                <w:sz w:val="18"/>
                <w:szCs w:val="18"/>
              </w:rPr>
              <w:t>操作人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6" w:type="pct"/>
            <w:tcBorders>
              <w:tl2br w:val="nil"/>
              <w:tr2bl w:val="nil"/>
            </w:tcBorders>
          </w:tcPr>
          <w:p>
            <w:pPr>
              <w:snapToGrid w:val="0"/>
              <w:spacing w:line="240" w:lineRule="auto"/>
              <w:jc w:val="left"/>
              <w:rPr>
                <w:rFonts w:ascii="宋体" w:hAnsi="宋体" w:cs="黑体"/>
                <w:sz w:val="18"/>
                <w:szCs w:val="18"/>
              </w:rPr>
            </w:pPr>
          </w:p>
        </w:tc>
        <w:tc>
          <w:tcPr>
            <w:tcW w:w="633" w:type="pct"/>
            <w:gridSpan w:val="3"/>
            <w:tcBorders>
              <w:tl2br w:val="nil"/>
              <w:tr2bl w:val="nil"/>
            </w:tcBorders>
          </w:tcPr>
          <w:p>
            <w:pPr>
              <w:snapToGrid w:val="0"/>
              <w:spacing w:line="240" w:lineRule="auto"/>
              <w:jc w:val="left"/>
              <w:rPr>
                <w:rFonts w:ascii="宋体" w:hAnsi="宋体" w:cs="黑体"/>
                <w:sz w:val="18"/>
                <w:szCs w:val="18"/>
              </w:rPr>
            </w:pPr>
          </w:p>
        </w:tc>
        <w:tc>
          <w:tcPr>
            <w:tcW w:w="1256" w:type="pct"/>
            <w:tcBorders>
              <w:tl2br w:val="nil"/>
              <w:tr2bl w:val="nil"/>
            </w:tcBorders>
          </w:tcPr>
          <w:p>
            <w:pPr>
              <w:snapToGrid w:val="0"/>
              <w:spacing w:line="240" w:lineRule="auto"/>
              <w:jc w:val="left"/>
              <w:rPr>
                <w:rFonts w:ascii="宋体" w:hAnsi="宋体" w:cs="黑体"/>
                <w:sz w:val="18"/>
                <w:szCs w:val="18"/>
              </w:rPr>
            </w:pPr>
          </w:p>
        </w:tc>
        <w:tc>
          <w:tcPr>
            <w:tcW w:w="935" w:type="pct"/>
            <w:gridSpan w:val="2"/>
            <w:tcBorders>
              <w:tl2br w:val="nil"/>
              <w:tr2bl w:val="nil"/>
            </w:tcBorders>
          </w:tcPr>
          <w:p>
            <w:pPr>
              <w:snapToGrid w:val="0"/>
              <w:spacing w:line="240" w:lineRule="auto"/>
              <w:jc w:val="left"/>
              <w:rPr>
                <w:rFonts w:ascii="宋体" w:hAnsi="宋体" w:cs="黑体"/>
                <w:sz w:val="18"/>
                <w:szCs w:val="18"/>
              </w:rPr>
            </w:pPr>
          </w:p>
        </w:tc>
        <w:tc>
          <w:tcPr>
            <w:tcW w:w="997" w:type="pct"/>
            <w:gridSpan w:val="2"/>
            <w:tcBorders>
              <w:tl2br w:val="nil"/>
              <w:tr2bl w:val="nil"/>
            </w:tcBorders>
          </w:tcPr>
          <w:p>
            <w:pPr>
              <w:snapToGrid w:val="0"/>
              <w:spacing w:line="240" w:lineRule="auto"/>
              <w:jc w:val="left"/>
              <w:rPr>
                <w:rFonts w:ascii="宋体" w:hAnsi="宋体" w:cs="黑体"/>
                <w:sz w:val="18"/>
                <w:szCs w:val="18"/>
              </w:rPr>
            </w:pPr>
          </w:p>
        </w:tc>
        <w:tc>
          <w:tcPr>
            <w:tcW w:w="813" w:type="pct"/>
            <w:tcBorders>
              <w:tl2br w:val="nil"/>
              <w:tr2bl w:val="nil"/>
            </w:tcBorders>
          </w:tcPr>
          <w:p>
            <w:pPr>
              <w:snapToGrid w:val="0"/>
              <w:spacing w:line="240" w:lineRule="auto"/>
              <w:jc w:val="left"/>
              <w:rPr>
                <w:rFonts w:ascii="宋体" w:hAnsi="宋体" w:cs="黑体"/>
                <w:sz w:val="18"/>
                <w:szCs w:val="18"/>
              </w:rPr>
            </w:pPr>
          </w:p>
        </w:tc>
      </w:tr>
    </w:tbl>
    <w:p>
      <w:pPr>
        <w:pStyle w:val="56"/>
        <w:ind w:firstLine="420"/>
      </w:pPr>
    </w:p>
    <w:p>
      <w:pPr>
        <w:pStyle w:val="56"/>
        <w:ind w:firstLine="420"/>
      </w:pPr>
    </w:p>
    <w:p>
      <w:pPr>
        <w:pStyle w:val="56"/>
        <w:ind w:firstLine="420"/>
      </w:pPr>
    </w:p>
    <w:p>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0" w:name="_Toc152794214"/>
      <w:bookmarkStart w:id="71" w:name="_Toc155085291"/>
      <w:r>
        <w:rPr>
          <w:rFonts w:hint="eastAsia"/>
        </w:rPr>
        <w:t>（资料性）</w:t>
      </w:r>
      <w:r>
        <w:br w:type="textWrapping"/>
      </w:r>
      <w:r>
        <w:rPr>
          <w:rFonts w:hint="eastAsia"/>
        </w:rPr>
        <w:t>剂量检测记录表</w:t>
      </w:r>
      <w:bookmarkEnd w:id="70"/>
      <w:bookmarkEnd w:id="71"/>
    </w:p>
    <w:p>
      <w:pPr>
        <w:pStyle w:val="56"/>
        <w:ind w:firstLine="420"/>
      </w:pPr>
      <w:r>
        <w:rPr>
          <w:rFonts w:hint="eastAsia"/>
        </w:rPr>
        <w:t>表</w:t>
      </w:r>
      <w:r>
        <w:t>B.1给出了纸质档案剂量检测记录表格样式。</w:t>
      </w:r>
    </w:p>
    <w:p>
      <w:pPr>
        <w:pStyle w:val="77"/>
        <w:spacing w:before="156" w:after="156"/>
      </w:pPr>
      <w:r>
        <w:rPr>
          <w:rFonts w:hint="eastAsia"/>
        </w:rPr>
        <w:t>剂量检测记录表</w:t>
      </w:r>
    </w:p>
    <w:tbl>
      <w:tblPr>
        <w:tblStyle w:val="26"/>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31"/>
        <w:gridCol w:w="1224"/>
        <w:gridCol w:w="1449"/>
        <w:gridCol w:w="1200"/>
        <w:gridCol w:w="969"/>
        <w:gridCol w:w="1237"/>
        <w:gridCol w:w="1408"/>
        <w:gridCol w:w="7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检测日期</w:t>
            </w:r>
          </w:p>
        </w:tc>
        <w:tc>
          <w:tcPr>
            <w:tcW w:w="653"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客户名称</w:t>
            </w:r>
          </w:p>
        </w:tc>
        <w:tc>
          <w:tcPr>
            <w:tcW w:w="773"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产品名称</w:t>
            </w:r>
          </w:p>
        </w:tc>
        <w:tc>
          <w:tcPr>
            <w:tcW w:w="640"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辐照参数</w:t>
            </w:r>
          </w:p>
        </w:tc>
        <w:tc>
          <w:tcPr>
            <w:tcW w:w="517"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布点位置</w:t>
            </w:r>
          </w:p>
        </w:tc>
        <w:tc>
          <w:tcPr>
            <w:tcW w:w="660"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剂量计编号</w:t>
            </w:r>
          </w:p>
        </w:tc>
        <w:tc>
          <w:tcPr>
            <w:tcW w:w="751"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吸收剂量（</w:t>
            </w:r>
            <w:r>
              <w:rPr>
                <w:rFonts w:ascii="宋体" w:hAnsi="宋体" w:cs="宋体"/>
                <w:kern w:val="0"/>
                <w:sz w:val="18"/>
                <w:szCs w:val="18"/>
              </w:rPr>
              <w:t>kGy）</w:t>
            </w:r>
          </w:p>
        </w:tc>
        <w:tc>
          <w:tcPr>
            <w:tcW w:w="404"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c>
          <w:tcPr>
            <w:tcW w:w="653"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c>
          <w:tcPr>
            <w:tcW w:w="773"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c>
          <w:tcPr>
            <w:tcW w:w="640"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c>
          <w:tcPr>
            <w:tcW w:w="517"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c>
          <w:tcPr>
            <w:tcW w:w="660"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c>
          <w:tcPr>
            <w:tcW w:w="751"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c>
          <w:tcPr>
            <w:tcW w:w="404" w:type="pct"/>
            <w:tcBorders>
              <w:top w:val="single" w:color="auto" w:sz="8" w:space="0"/>
            </w:tcBorders>
            <w:shd w:val="clear" w:color="auto" w:fill="auto"/>
            <w:vAlign w:val="center"/>
          </w:tcPr>
          <w:p>
            <w:pPr>
              <w:snapToGrid w:val="0"/>
              <w:spacing w:line="240" w:lineRule="auto"/>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03" w:type="pct"/>
            <w:shd w:val="clear" w:color="auto" w:fill="auto"/>
            <w:vAlign w:val="center"/>
          </w:tcPr>
          <w:p>
            <w:pPr>
              <w:snapToGrid w:val="0"/>
              <w:spacing w:line="240" w:lineRule="auto"/>
              <w:jc w:val="center"/>
              <w:rPr>
                <w:sz w:val="18"/>
                <w:szCs w:val="18"/>
              </w:rPr>
            </w:pPr>
          </w:p>
        </w:tc>
        <w:tc>
          <w:tcPr>
            <w:tcW w:w="653" w:type="pct"/>
            <w:shd w:val="clear" w:color="auto" w:fill="auto"/>
            <w:vAlign w:val="center"/>
          </w:tcPr>
          <w:p>
            <w:pPr>
              <w:snapToGrid w:val="0"/>
              <w:spacing w:line="240" w:lineRule="auto"/>
              <w:jc w:val="center"/>
              <w:rPr>
                <w:sz w:val="18"/>
                <w:szCs w:val="18"/>
              </w:rPr>
            </w:pPr>
          </w:p>
        </w:tc>
        <w:tc>
          <w:tcPr>
            <w:tcW w:w="773" w:type="pct"/>
            <w:shd w:val="clear" w:color="auto" w:fill="auto"/>
            <w:vAlign w:val="center"/>
          </w:tcPr>
          <w:p>
            <w:pPr>
              <w:snapToGrid w:val="0"/>
              <w:spacing w:line="240" w:lineRule="auto"/>
              <w:jc w:val="center"/>
              <w:rPr>
                <w:sz w:val="18"/>
                <w:szCs w:val="18"/>
              </w:rPr>
            </w:pPr>
          </w:p>
        </w:tc>
        <w:tc>
          <w:tcPr>
            <w:tcW w:w="640" w:type="pct"/>
            <w:shd w:val="clear" w:color="auto" w:fill="auto"/>
            <w:vAlign w:val="center"/>
          </w:tcPr>
          <w:p>
            <w:pPr>
              <w:snapToGrid w:val="0"/>
              <w:spacing w:line="240" w:lineRule="auto"/>
              <w:jc w:val="center"/>
              <w:rPr>
                <w:sz w:val="18"/>
                <w:szCs w:val="18"/>
              </w:rPr>
            </w:pPr>
          </w:p>
        </w:tc>
        <w:tc>
          <w:tcPr>
            <w:tcW w:w="517" w:type="pct"/>
            <w:shd w:val="clear" w:color="auto" w:fill="auto"/>
            <w:vAlign w:val="center"/>
          </w:tcPr>
          <w:p>
            <w:pPr>
              <w:snapToGrid w:val="0"/>
              <w:spacing w:line="240" w:lineRule="auto"/>
              <w:jc w:val="center"/>
              <w:rPr>
                <w:sz w:val="18"/>
                <w:szCs w:val="18"/>
              </w:rPr>
            </w:pPr>
          </w:p>
        </w:tc>
        <w:tc>
          <w:tcPr>
            <w:tcW w:w="660" w:type="pct"/>
            <w:shd w:val="clear" w:color="auto" w:fill="auto"/>
            <w:vAlign w:val="center"/>
          </w:tcPr>
          <w:p>
            <w:pPr>
              <w:snapToGrid w:val="0"/>
              <w:spacing w:line="240" w:lineRule="auto"/>
              <w:jc w:val="center"/>
              <w:rPr>
                <w:sz w:val="18"/>
                <w:szCs w:val="18"/>
              </w:rPr>
            </w:pPr>
          </w:p>
        </w:tc>
        <w:tc>
          <w:tcPr>
            <w:tcW w:w="751" w:type="pct"/>
            <w:shd w:val="clear" w:color="auto" w:fill="auto"/>
            <w:vAlign w:val="center"/>
          </w:tcPr>
          <w:p>
            <w:pPr>
              <w:snapToGrid w:val="0"/>
              <w:spacing w:line="240" w:lineRule="auto"/>
              <w:jc w:val="center"/>
              <w:rPr>
                <w:sz w:val="18"/>
                <w:szCs w:val="18"/>
              </w:rPr>
            </w:pPr>
          </w:p>
        </w:tc>
        <w:tc>
          <w:tcPr>
            <w:tcW w:w="404" w:type="pct"/>
            <w:shd w:val="clear" w:color="auto" w:fill="auto"/>
            <w:vAlign w:val="center"/>
          </w:tcPr>
          <w:p>
            <w:pPr>
              <w:snapToGrid w:val="0"/>
              <w:spacing w:line="240" w:lineRule="auto"/>
              <w:jc w:val="center"/>
              <w:rPr>
                <w:sz w:val="18"/>
                <w:szCs w:val="18"/>
              </w:rPr>
            </w:pPr>
          </w:p>
        </w:tc>
      </w:tr>
    </w:tbl>
    <w:p>
      <w:pPr>
        <w:spacing w:line="360" w:lineRule="auto"/>
        <w:rPr>
          <w:rFonts w:ascii="微软雅黑" w:hAnsi="微软雅黑" w:eastAsia="微软雅黑" w:cs="微软雅黑"/>
          <w:b/>
          <w:bCs/>
          <w:sz w:val="28"/>
          <w:szCs w:val="28"/>
        </w:rPr>
      </w:pPr>
    </w:p>
    <w:p>
      <w:pPr>
        <w:spacing w:line="360" w:lineRule="auto"/>
        <w:ind w:firstLine="420" w:firstLineChars="200"/>
        <w:rPr>
          <w:rFonts w:ascii="宋体" w:hAnsi="宋体" w:cs="宋体"/>
        </w:rPr>
      </w:pPr>
      <w:r>
        <w:rPr>
          <w:rFonts w:hint="eastAsia" w:ascii="宋体" w:hAnsi="宋体" w:cs="宋体"/>
        </w:rPr>
        <w:t>检测：</w:t>
      </w:r>
      <w:r>
        <w:rPr>
          <w:rFonts w:ascii="宋体" w:hAnsi="宋体" w:cs="宋体"/>
        </w:rPr>
        <w:t xml:space="preserve">                                       </w:t>
      </w:r>
      <w:r>
        <w:rPr>
          <w:rFonts w:hint="eastAsia" w:ascii="宋体" w:hAnsi="宋体" w:cs="宋体"/>
        </w:rPr>
        <w:t>复核：</w:t>
      </w:r>
    </w:p>
    <w:p>
      <w:pPr>
        <w:pStyle w:val="56"/>
        <w:ind w:firstLine="420"/>
      </w:pPr>
    </w:p>
    <w:p>
      <w:pPr>
        <w:pStyle w:val="56"/>
        <w:ind w:firstLine="420"/>
      </w:pPr>
    </w:p>
    <w:p>
      <w:pPr>
        <w:pStyle w:val="56"/>
        <w:ind w:firstLine="420"/>
      </w:pPr>
    </w:p>
    <w:p>
      <w:pPr>
        <w:pStyle w:val="56"/>
        <w:ind w:firstLine="420"/>
      </w:pPr>
    </w:p>
    <w:p>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2" w:name="_Toc152794215"/>
      <w:bookmarkStart w:id="73" w:name="_Toc155085292"/>
      <w:r>
        <w:rPr>
          <w:rFonts w:hint="eastAsia"/>
        </w:rPr>
        <w:t>（资料性）</w:t>
      </w:r>
      <w:r>
        <w:br w:type="textWrapping"/>
      </w:r>
      <w:r>
        <w:rPr>
          <w:rFonts w:hint="eastAsia"/>
        </w:rPr>
        <w:t>纸质档案辐照证明</w:t>
      </w:r>
      <w:bookmarkEnd w:id="72"/>
      <w:bookmarkEnd w:id="73"/>
    </w:p>
    <w:p>
      <w:pPr>
        <w:pStyle w:val="56"/>
        <w:ind w:firstLine="420"/>
      </w:pPr>
      <w:r>
        <w:rPr>
          <w:rFonts w:hint="eastAsia"/>
        </w:rPr>
        <w:t>表</w:t>
      </w:r>
      <w:r>
        <w:t>C</w:t>
      </w:r>
      <w:r>
        <w:rPr>
          <w:rFonts w:hint="eastAsia"/>
        </w:rPr>
        <w:t>.1给出了纸质档案辐照证明的表格样式。</w:t>
      </w:r>
    </w:p>
    <w:p>
      <w:pPr>
        <w:pStyle w:val="77"/>
        <w:spacing w:before="156" w:after="156"/>
      </w:pPr>
      <w:r>
        <w:rPr>
          <w:rFonts w:hint="eastAsia"/>
        </w:rPr>
        <w:t>纸质档案辐照证明</w:t>
      </w:r>
    </w:p>
    <w:tbl>
      <w:tblPr>
        <w:tblStyle w:val="26"/>
        <w:tblW w:w="9400" w:type="dxa"/>
        <w:tblInd w:w="-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21"/>
        <w:gridCol w:w="697"/>
        <w:gridCol w:w="2190"/>
        <w:gridCol w:w="387"/>
        <w:gridCol w:w="1448"/>
        <w:gridCol w:w="1097"/>
        <w:gridCol w:w="18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721"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rPr>
            </w:pPr>
            <w:r>
              <w:rPr>
                <w:rFonts w:hint="eastAsia" w:ascii="宋体" w:hAnsi="宋体"/>
                <w:sz w:val="18"/>
              </w:rPr>
              <w:t>辐照证明书编号</w:t>
            </w:r>
          </w:p>
        </w:tc>
        <w:tc>
          <w:tcPr>
            <w:tcW w:w="7679" w:type="dxa"/>
            <w:gridSpan w:val="6"/>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721" w:type="dxa"/>
            <w:tcBorders>
              <w:top w:val="single" w:color="auto" w:sz="8" w:space="0"/>
            </w:tcBorders>
            <w:shd w:val="clear" w:color="auto" w:fill="auto"/>
            <w:vAlign w:val="center"/>
          </w:tcPr>
          <w:p>
            <w:pPr>
              <w:snapToGrid w:val="0"/>
              <w:spacing w:line="240" w:lineRule="auto"/>
              <w:jc w:val="center"/>
              <w:rPr>
                <w:rFonts w:ascii="宋体"/>
                <w:sz w:val="18"/>
              </w:rPr>
            </w:pPr>
            <w:r>
              <w:rPr>
                <w:rFonts w:hint="eastAsia" w:ascii="宋体" w:hAnsi="宋体"/>
                <w:sz w:val="18"/>
              </w:rPr>
              <w:t>客户名称</w:t>
            </w:r>
          </w:p>
        </w:tc>
        <w:tc>
          <w:tcPr>
            <w:tcW w:w="7679" w:type="dxa"/>
            <w:gridSpan w:val="6"/>
            <w:tcBorders>
              <w:top w:val="single" w:color="auto" w:sz="8" w:space="0"/>
            </w:tcBorders>
            <w:shd w:val="clear" w:color="auto" w:fill="auto"/>
            <w:vAlign w:val="center"/>
          </w:tcPr>
          <w:p>
            <w:pPr>
              <w:snapToGrid w:val="0"/>
              <w:spacing w:line="240" w:lineRule="auto"/>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721" w:type="dxa"/>
            <w:shd w:val="clear" w:color="auto" w:fill="auto"/>
            <w:vAlign w:val="center"/>
          </w:tcPr>
          <w:p>
            <w:pPr>
              <w:snapToGrid w:val="0"/>
              <w:spacing w:line="240" w:lineRule="auto"/>
              <w:jc w:val="center"/>
              <w:rPr>
                <w:rFonts w:ascii="宋体" w:hAnsi="宋体"/>
                <w:sz w:val="18"/>
              </w:rPr>
            </w:pPr>
            <w:r>
              <w:rPr>
                <w:rFonts w:hint="eastAsia" w:ascii="宋体" w:hAnsi="宋体"/>
                <w:sz w:val="18"/>
              </w:rPr>
              <w:t>产品名称</w:t>
            </w:r>
          </w:p>
        </w:tc>
        <w:tc>
          <w:tcPr>
            <w:tcW w:w="2887" w:type="dxa"/>
            <w:gridSpan w:val="2"/>
            <w:shd w:val="clear" w:color="auto" w:fill="auto"/>
            <w:vAlign w:val="center"/>
          </w:tcPr>
          <w:p>
            <w:pPr>
              <w:snapToGrid w:val="0"/>
              <w:spacing w:line="240" w:lineRule="auto"/>
              <w:jc w:val="center"/>
              <w:rPr>
                <w:rFonts w:ascii="宋体" w:hAnsi="宋体"/>
                <w:sz w:val="18"/>
              </w:rPr>
            </w:pPr>
          </w:p>
        </w:tc>
        <w:tc>
          <w:tcPr>
            <w:tcW w:w="1835" w:type="dxa"/>
            <w:gridSpan w:val="2"/>
            <w:shd w:val="clear" w:color="auto" w:fill="auto"/>
            <w:vAlign w:val="center"/>
          </w:tcPr>
          <w:p>
            <w:pPr>
              <w:snapToGrid w:val="0"/>
              <w:spacing w:line="240" w:lineRule="auto"/>
              <w:jc w:val="center"/>
              <w:rPr>
                <w:rFonts w:ascii="宋体" w:hAnsi="宋体"/>
                <w:sz w:val="18"/>
              </w:rPr>
            </w:pPr>
            <w:r>
              <w:rPr>
                <w:rFonts w:hint="eastAsia" w:ascii="宋体" w:hAnsi="宋体"/>
                <w:sz w:val="18"/>
              </w:rPr>
              <w:t>数量</w:t>
            </w:r>
          </w:p>
        </w:tc>
        <w:tc>
          <w:tcPr>
            <w:tcW w:w="2957" w:type="dxa"/>
            <w:gridSpan w:val="2"/>
            <w:shd w:val="clear" w:color="auto" w:fill="auto"/>
            <w:vAlign w:val="center"/>
          </w:tcPr>
          <w:p>
            <w:pPr>
              <w:snapToGrid w:val="0"/>
              <w:spacing w:line="240" w:lineRule="auto"/>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721" w:type="dxa"/>
            <w:shd w:val="clear" w:color="auto" w:fill="auto"/>
            <w:vAlign w:val="center"/>
          </w:tcPr>
          <w:p>
            <w:pPr>
              <w:snapToGrid w:val="0"/>
              <w:spacing w:line="240" w:lineRule="auto"/>
              <w:jc w:val="center"/>
              <w:rPr>
                <w:rFonts w:ascii="宋体" w:hAnsi="宋体"/>
                <w:sz w:val="18"/>
              </w:rPr>
            </w:pPr>
            <w:r>
              <w:rPr>
                <w:rFonts w:hint="eastAsia" w:ascii="宋体" w:hAnsi="宋体"/>
                <w:sz w:val="18"/>
              </w:rPr>
              <w:t>辐照日期</w:t>
            </w:r>
          </w:p>
        </w:tc>
        <w:tc>
          <w:tcPr>
            <w:tcW w:w="2887" w:type="dxa"/>
            <w:gridSpan w:val="2"/>
            <w:shd w:val="clear" w:color="auto" w:fill="auto"/>
            <w:vAlign w:val="center"/>
          </w:tcPr>
          <w:p>
            <w:pPr>
              <w:snapToGrid w:val="0"/>
              <w:spacing w:line="240" w:lineRule="auto"/>
              <w:jc w:val="center"/>
              <w:rPr>
                <w:rFonts w:ascii="宋体" w:hAnsi="宋体"/>
                <w:sz w:val="18"/>
              </w:rPr>
            </w:pPr>
          </w:p>
        </w:tc>
        <w:tc>
          <w:tcPr>
            <w:tcW w:w="1835" w:type="dxa"/>
            <w:gridSpan w:val="2"/>
            <w:shd w:val="clear" w:color="auto" w:fill="auto"/>
            <w:vAlign w:val="center"/>
          </w:tcPr>
          <w:p>
            <w:pPr>
              <w:snapToGrid w:val="0"/>
              <w:spacing w:line="240" w:lineRule="auto"/>
              <w:jc w:val="center"/>
              <w:rPr>
                <w:rFonts w:ascii="宋体" w:hAnsi="宋体"/>
                <w:sz w:val="18"/>
              </w:rPr>
            </w:pPr>
            <w:r>
              <w:rPr>
                <w:rFonts w:hint="eastAsia" w:ascii="宋体" w:hAnsi="宋体"/>
                <w:sz w:val="18"/>
              </w:rPr>
              <w:t>辐照设备名称</w:t>
            </w:r>
          </w:p>
        </w:tc>
        <w:tc>
          <w:tcPr>
            <w:tcW w:w="2957" w:type="dxa"/>
            <w:gridSpan w:val="2"/>
            <w:shd w:val="clear" w:color="auto" w:fill="auto"/>
            <w:vAlign w:val="center"/>
          </w:tcPr>
          <w:p>
            <w:pPr>
              <w:snapToGrid w:val="0"/>
              <w:spacing w:line="240" w:lineRule="auto"/>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721" w:type="dxa"/>
            <w:shd w:val="clear" w:color="auto" w:fill="auto"/>
            <w:vAlign w:val="center"/>
          </w:tcPr>
          <w:p>
            <w:pPr>
              <w:snapToGrid w:val="0"/>
              <w:spacing w:line="240" w:lineRule="auto"/>
              <w:jc w:val="center"/>
              <w:rPr>
                <w:rFonts w:ascii="宋体" w:hAnsi="宋体"/>
                <w:sz w:val="18"/>
              </w:rPr>
            </w:pPr>
            <w:r>
              <w:rPr>
                <w:rFonts w:hint="eastAsia" w:ascii="宋体" w:hAnsi="宋体"/>
                <w:sz w:val="18"/>
              </w:rPr>
              <w:t>剂量计名称</w:t>
            </w:r>
          </w:p>
        </w:tc>
        <w:tc>
          <w:tcPr>
            <w:tcW w:w="2887" w:type="dxa"/>
            <w:gridSpan w:val="2"/>
            <w:shd w:val="clear" w:color="auto" w:fill="auto"/>
            <w:vAlign w:val="center"/>
          </w:tcPr>
          <w:p>
            <w:pPr>
              <w:snapToGrid w:val="0"/>
              <w:spacing w:line="240" w:lineRule="auto"/>
              <w:jc w:val="center"/>
              <w:rPr>
                <w:rFonts w:ascii="宋体" w:hAnsi="宋体"/>
                <w:sz w:val="18"/>
              </w:rPr>
            </w:pPr>
          </w:p>
        </w:tc>
        <w:tc>
          <w:tcPr>
            <w:tcW w:w="1835" w:type="dxa"/>
            <w:gridSpan w:val="2"/>
            <w:shd w:val="clear" w:color="auto" w:fill="auto"/>
            <w:vAlign w:val="center"/>
          </w:tcPr>
          <w:p>
            <w:pPr>
              <w:snapToGrid w:val="0"/>
              <w:spacing w:line="240" w:lineRule="auto"/>
              <w:jc w:val="center"/>
              <w:rPr>
                <w:rFonts w:ascii="宋体" w:hAnsi="宋体"/>
                <w:sz w:val="18"/>
              </w:rPr>
            </w:pPr>
            <w:r>
              <w:rPr>
                <w:rFonts w:hint="eastAsia" w:ascii="宋体" w:hAnsi="宋体"/>
                <w:sz w:val="18"/>
              </w:rPr>
              <w:t>校准证书编号</w:t>
            </w:r>
          </w:p>
        </w:tc>
        <w:tc>
          <w:tcPr>
            <w:tcW w:w="2957" w:type="dxa"/>
            <w:gridSpan w:val="2"/>
            <w:shd w:val="clear" w:color="auto" w:fill="auto"/>
            <w:vAlign w:val="center"/>
          </w:tcPr>
          <w:p>
            <w:pPr>
              <w:snapToGrid w:val="0"/>
              <w:spacing w:line="240" w:lineRule="auto"/>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9400" w:type="dxa"/>
            <w:gridSpan w:val="7"/>
            <w:shd w:val="clear" w:color="auto" w:fill="auto"/>
            <w:vAlign w:val="center"/>
          </w:tcPr>
          <w:p>
            <w:pPr>
              <w:snapToGrid w:val="0"/>
              <w:spacing w:line="240" w:lineRule="auto"/>
              <w:jc w:val="center"/>
              <w:rPr>
                <w:rFonts w:ascii="宋体" w:hAnsi="宋体"/>
                <w:sz w:val="18"/>
              </w:rPr>
            </w:pPr>
            <w:r>
              <w:rPr>
                <w:rFonts w:hint="eastAsia" w:ascii="宋体" w:hAnsi="宋体"/>
                <w:sz w:val="18"/>
              </w:rPr>
              <w:t>客户要求剂量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721" w:type="dxa"/>
            <w:shd w:val="clear" w:color="auto" w:fill="auto"/>
            <w:vAlign w:val="center"/>
          </w:tcPr>
          <w:p>
            <w:pPr>
              <w:snapToGrid w:val="0"/>
              <w:spacing w:line="240" w:lineRule="auto"/>
              <w:jc w:val="center"/>
              <w:rPr>
                <w:rFonts w:ascii="宋体" w:hAnsi="宋体"/>
                <w:sz w:val="18"/>
              </w:rPr>
            </w:pPr>
            <w:r>
              <w:rPr>
                <w:rFonts w:hint="eastAsia" w:ascii="宋体" w:hAnsi="宋体"/>
                <w:sz w:val="18"/>
              </w:rPr>
              <w:t>最低剂量</w:t>
            </w:r>
          </w:p>
        </w:tc>
        <w:tc>
          <w:tcPr>
            <w:tcW w:w="2887" w:type="dxa"/>
            <w:gridSpan w:val="2"/>
            <w:shd w:val="clear" w:color="auto" w:fill="auto"/>
            <w:vAlign w:val="center"/>
          </w:tcPr>
          <w:p>
            <w:pPr>
              <w:snapToGrid w:val="0"/>
              <w:spacing w:line="240" w:lineRule="auto"/>
              <w:jc w:val="center"/>
              <w:rPr>
                <w:rFonts w:ascii="宋体" w:hAnsi="宋体"/>
                <w:sz w:val="18"/>
              </w:rPr>
            </w:pPr>
          </w:p>
        </w:tc>
        <w:tc>
          <w:tcPr>
            <w:tcW w:w="1835" w:type="dxa"/>
            <w:gridSpan w:val="2"/>
            <w:shd w:val="clear" w:color="auto" w:fill="auto"/>
            <w:vAlign w:val="center"/>
          </w:tcPr>
          <w:p>
            <w:pPr>
              <w:snapToGrid w:val="0"/>
              <w:spacing w:line="240" w:lineRule="auto"/>
              <w:jc w:val="center"/>
              <w:rPr>
                <w:rFonts w:ascii="宋体" w:hAnsi="宋体"/>
                <w:sz w:val="18"/>
              </w:rPr>
            </w:pPr>
            <w:r>
              <w:rPr>
                <w:rFonts w:hint="eastAsia" w:ascii="宋体" w:hAnsi="宋体"/>
                <w:sz w:val="18"/>
              </w:rPr>
              <w:t>最高剂量</w:t>
            </w:r>
          </w:p>
        </w:tc>
        <w:tc>
          <w:tcPr>
            <w:tcW w:w="2957" w:type="dxa"/>
            <w:gridSpan w:val="2"/>
            <w:shd w:val="clear" w:color="auto" w:fill="auto"/>
            <w:vAlign w:val="center"/>
          </w:tcPr>
          <w:p>
            <w:pPr>
              <w:snapToGrid w:val="0"/>
              <w:spacing w:line="240" w:lineRule="auto"/>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9400" w:type="dxa"/>
            <w:gridSpan w:val="7"/>
            <w:shd w:val="clear" w:color="auto" w:fill="auto"/>
            <w:vAlign w:val="center"/>
          </w:tcPr>
          <w:p>
            <w:pPr>
              <w:snapToGrid w:val="0"/>
              <w:spacing w:line="240" w:lineRule="auto"/>
              <w:jc w:val="center"/>
              <w:rPr>
                <w:rFonts w:ascii="宋体" w:hAnsi="宋体"/>
                <w:sz w:val="18"/>
              </w:rPr>
            </w:pPr>
            <w:r>
              <w:rPr>
                <w:rFonts w:hint="eastAsia" w:ascii="宋体" w:hAnsi="宋体"/>
                <w:sz w:val="18"/>
              </w:rPr>
              <w:t>实测吸收剂量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721" w:type="dxa"/>
            <w:shd w:val="clear" w:color="auto" w:fill="auto"/>
            <w:vAlign w:val="center"/>
          </w:tcPr>
          <w:p>
            <w:pPr>
              <w:snapToGrid w:val="0"/>
              <w:spacing w:line="240" w:lineRule="auto"/>
              <w:jc w:val="center"/>
              <w:rPr>
                <w:rFonts w:ascii="宋体" w:hAnsi="宋体"/>
                <w:sz w:val="18"/>
              </w:rPr>
            </w:pPr>
            <w:r>
              <w:rPr>
                <w:rFonts w:hint="eastAsia" w:ascii="宋体" w:hAnsi="宋体"/>
                <w:sz w:val="18"/>
              </w:rPr>
              <w:t>最低剂量</w:t>
            </w:r>
          </w:p>
        </w:tc>
        <w:tc>
          <w:tcPr>
            <w:tcW w:w="2887" w:type="dxa"/>
            <w:gridSpan w:val="2"/>
            <w:shd w:val="clear" w:color="auto" w:fill="auto"/>
            <w:vAlign w:val="center"/>
          </w:tcPr>
          <w:p>
            <w:pPr>
              <w:snapToGrid w:val="0"/>
              <w:spacing w:line="240" w:lineRule="auto"/>
              <w:jc w:val="center"/>
              <w:rPr>
                <w:rFonts w:ascii="宋体" w:hAnsi="宋体"/>
                <w:sz w:val="18"/>
              </w:rPr>
            </w:pPr>
          </w:p>
        </w:tc>
        <w:tc>
          <w:tcPr>
            <w:tcW w:w="1835" w:type="dxa"/>
            <w:gridSpan w:val="2"/>
            <w:shd w:val="clear" w:color="auto" w:fill="auto"/>
            <w:vAlign w:val="center"/>
          </w:tcPr>
          <w:p>
            <w:pPr>
              <w:snapToGrid w:val="0"/>
              <w:spacing w:line="240" w:lineRule="auto"/>
              <w:jc w:val="center"/>
              <w:rPr>
                <w:rFonts w:ascii="宋体" w:hAnsi="宋体"/>
                <w:sz w:val="18"/>
              </w:rPr>
            </w:pPr>
            <w:r>
              <w:rPr>
                <w:rFonts w:hint="eastAsia" w:ascii="宋体" w:hAnsi="宋体"/>
                <w:sz w:val="18"/>
              </w:rPr>
              <w:t>最高剂量</w:t>
            </w:r>
          </w:p>
        </w:tc>
        <w:tc>
          <w:tcPr>
            <w:tcW w:w="2957" w:type="dxa"/>
            <w:gridSpan w:val="2"/>
            <w:shd w:val="clear" w:color="auto" w:fill="auto"/>
            <w:vAlign w:val="center"/>
          </w:tcPr>
          <w:p>
            <w:pPr>
              <w:snapToGrid w:val="0"/>
              <w:spacing w:line="240" w:lineRule="auto"/>
              <w:jc w:val="left"/>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418" w:type="dxa"/>
            <w:gridSpan w:val="2"/>
            <w:shd w:val="clear" w:color="auto" w:fill="auto"/>
            <w:vAlign w:val="center"/>
          </w:tcPr>
          <w:p>
            <w:pPr>
              <w:snapToGrid w:val="0"/>
              <w:spacing w:line="240" w:lineRule="auto"/>
              <w:jc w:val="left"/>
              <w:rPr>
                <w:rFonts w:ascii="宋体" w:hAnsi="宋体"/>
                <w:sz w:val="18"/>
              </w:rPr>
            </w:pPr>
            <w:r>
              <w:rPr>
                <w:rFonts w:hint="eastAsia" w:ascii="宋体" w:hAnsi="宋体"/>
                <w:sz w:val="18"/>
              </w:rPr>
              <w:t>检验</w:t>
            </w:r>
          </w:p>
        </w:tc>
        <w:tc>
          <w:tcPr>
            <w:tcW w:w="2577" w:type="dxa"/>
            <w:gridSpan w:val="2"/>
            <w:shd w:val="clear" w:color="auto" w:fill="auto"/>
            <w:vAlign w:val="center"/>
          </w:tcPr>
          <w:p>
            <w:pPr>
              <w:snapToGrid w:val="0"/>
              <w:spacing w:line="240" w:lineRule="auto"/>
              <w:jc w:val="left"/>
              <w:rPr>
                <w:rFonts w:ascii="宋体" w:hAnsi="宋体"/>
                <w:sz w:val="18"/>
              </w:rPr>
            </w:pPr>
            <w:r>
              <w:rPr>
                <w:rFonts w:hint="eastAsia" w:ascii="宋体" w:hAnsi="宋体"/>
                <w:sz w:val="18"/>
              </w:rPr>
              <w:t>审核</w:t>
            </w:r>
          </w:p>
        </w:tc>
        <w:tc>
          <w:tcPr>
            <w:tcW w:w="2545" w:type="dxa"/>
            <w:gridSpan w:val="2"/>
            <w:shd w:val="clear" w:color="auto" w:fill="auto"/>
            <w:vAlign w:val="center"/>
          </w:tcPr>
          <w:p>
            <w:pPr>
              <w:snapToGrid w:val="0"/>
              <w:spacing w:line="240" w:lineRule="auto"/>
              <w:jc w:val="left"/>
              <w:rPr>
                <w:rFonts w:ascii="宋体" w:hAnsi="宋体"/>
                <w:sz w:val="18"/>
              </w:rPr>
            </w:pPr>
            <w:r>
              <w:rPr>
                <w:rFonts w:hint="eastAsia" w:ascii="宋体" w:hAnsi="宋体"/>
                <w:sz w:val="18"/>
              </w:rPr>
              <w:t>批准</w:t>
            </w:r>
          </w:p>
        </w:tc>
        <w:tc>
          <w:tcPr>
            <w:tcW w:w="1860" w:type="dxa"/>
            <w:shd w:val="clear" w:color="auto" w:fill="auto"/>
            <w:vAlign w:val="center"/>
          </w:tcPr>
          <w:p>
            <w:pPr>
              <w:snapToGrid w:val="0"/>
              <w:spacing w:line="240" w:lineRule="auto"/>
              <w:jc w:val="left"/>
              <w:rPr>
                <w:rFonts w:ascii="宋体" w:hAnsi="宋体"/>
                <w:sz w:val="18"/>
              </w:rPr>
            </w:pPr>
            <w:r>
              <w:rPr>
                <w:rFonts w:hint="eastAsia" w:ascii="宋体" w:hAnsi="宋体"/>
                <w:sz w:val="18"/>
              </w:rPr>
              <w:t>日期</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4" w:name="_Toc152794216"/>
      <w:bookmarkStart w:id="75" w:name="_Toc155085293"/>
      <w:r>
        <w:rPr>
          <w:rFonts w:hint="eastAsia"/>
        </w:rPr>
        <w:t>（资料性）</w:t>
      </w:r>
      <w:r>
        <w:br w:type="textWrapping"/>
      </w:r>
      <w:r>
        <w:rPr>
          <w:rFonts w:hint="eastAsia"/>
        </w:rPr>
        <w:t>纸质档案辐照交接记录台账</w:t>
      </w:r>
      <w:bookmarkEnd w:id="74"/>
      <w:bookmarkEnd w:id="75"/>
    </w:p>
    <w:p>
      <w:pPr>
        <w:pStyle w:val="56"/>
        <w:ind w:firstLine="420"/>
      </w:pPr>
      <w:r>
        <w:rPr>
          <w:rFonts w:hint="eastAsia"/>
        </w:rPr>
        <w:t>表D.1给出了档案移出档案馆库房记录样式。</w:t>
      </w:r>
    </w:p>
    <w:p>
      <w:pPr>
        <w:pStyle w:val="77"/>
        <w:numPr>
          <w:ilvl w:val="1"/>
          <w:numId w:val="0"/>
        </w:numPr>
        <w:spacing w:before="156" w:after="156"/>
        <w:ind w:left="420" w:firstLine="2940" w:firstLineChars="1400"/>
        <w:jc w:val="both"/>
      </w:pPr>
      <w:r>
        <w:rPr>
          <w:rFonts w:hint="eastAsia"/>
        </w:rPr>
        <w:t>表D.1档案移出档案馆库房记录</w:t>
      </w:r>
    </w:p>
    <w:tbl>
      <w:tblPr>
        <w:tblStyle w:val="27"/>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336"/>
        <w:gridCol w:w="2336"/>
        <w:gridCol w:w="2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r>
              <w:rPr>
                <w:rFonts w:hint="eastAsia"/>
                <w:sz w:val="18"/>
                <w:szCs w:val="18"/>
              </w:rPr>
              <w:t>未辐照档案数量（箱）</w:t>
            </w:r>
          </w:p>
        </w:tc>
        <w:tc>
          <w:tcPr>
            <w:tcW w:w="2336" w:type="dxa"/>
            <w:vAlign w:val="center"/>
          </w:tcPr>
          <w:p>
            <w:pPr>
              <w:pStyle w:val="56"/>
              <w:ind w:firstLine="0" w:firstLineChars="0"/>
              <w:jc w:val="center"/>
              <w:rPr>
                <w:sz w:val="18"/>
                <w:szCs w:val="18"/>
              </w:rPr>
            </w:pPr>
            <w:r>
              <w:rPr>
                <w:rFonts w:hint="eastAsia"/>
                <w:sz w:val="18"/>
                <w:szCs w:val="18"/>
              </w:rPr>
              <w:t>经办人（签名）</w:t>
            </w:r>
          </w:p>
        </w:tc>
        <w:tc>
          <w:tcPr>
            <w:tcW w:w="2336" w:type="dxa"/>
            <w:vAlign w:val="center"/>
          </w:tcPr>
          <w:p>
            <w:pPr>
              <w:pStyle w:val="56"/>
              <w:ind w:firstLine="0" w:firstLineChars="0"/>
              <w:jc w:val="center"/>
              <w:rPr>
                <w:sz w:val="18"/>
                <w:szCs w:val="18"/>
              </w:rPr>
            </w:pPr>
            <w:r>
              <w:rPr>
                <w:rFonts w:hint="eastAsia"/>
                <w:sz w:val="18"/>
                <w:szCs w:val="18"/>
              </w:rPr>
              <w:t>复核人（签名）</w:t>
            </w:r>
          </w:p>
        </w:tc>
        <w:tc>
          <w:tcPr>
            <w:tcW w:w="2336" w:type="dxa"/>
            <w:vAlign w:val="center"/>
          </w:tcPr>
          <w:p>
            <w:pPr>
              <w:pStyle w:val="56"/>
              <w:ind w:firstLine="0" w:firstLineChars="0"/>
              <w:jc w:val="center"/>
              <w:rPr>
                <w:sz w:val="18"/>
                <w:szCs w:val="18"/>
              </w:rPr>
            </w:pPr>
            <w:r>
              <w:rPr>
                <w:rFonts w:hint="eastAsia"/>
                <w:sz w:val="18"/>
                <w:szCs w:val="18"/>
              </w:rPr>
              <w:t>出库时间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r>
    </w:tbl>
    <w:p>
      <w:pPr>
        <w:pStyle w:val="56"/>
        <w:ind w:firstLine="420"/>
      </w:pPr>
    </w:p>
    <w:p>
      <w:pPr>
        <w:pStyle w:val="56"/>
        <w:ind w:firstLine="420"/>
      </w:pPr>
      <w:r>
        <w:rPr>
          <w:rFonts w:hint="eastAsia"/>
        </w:rPr>
        <w:t>表D.2给出了档案进入辐照机构记录样式。</w:t>
      </w:r>
    </w:p>
    <w:p>
      <w:pPr>
        <w:pStyle w:val="77"/>
        <w:numPr>
          <w:ilvl w:val="1"/>
          <w:numId w:val="0"/>
        </w:numPr>
        <w:spacing w:before="156" w:after="156"/>
        <w:ind w:left="420"/>
      </w:pPr>
      <w:r>
        <w:rPr>
          <w:rFonts w:hint="eastAsia"/>
        </w:rPr>
        <w:t>表D.2档案进入辐照机构记录</w:t>
      </w:r>
    </w:p>
    <w:tbl>
      <w:tblPr>
        <w:tblStyle w:val="27"/>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336"/>
        <w:gridCol w:w="2336"/>
        <w:gridCol w:w="2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r>
              <w:rPr>
                <w:rFonts w:hint="eastAsia"/>
                <w:sz w:val="18"/>
                <w:szCs w:val="18"/>
              </w:rPr>
              <w:t>未辐照档案数量（箱）</w:t>
            </w:r>
          </w:p>
        </w:tc>
        <w:tc>
          <w:tcPr>
            <w:tcW w:w="2336" w:type="dxa"/>
            <w:vAlign w:val="center"/>
          </w:tcPr>
          <w:p>
            <w:pPr>
              <w:pStyle w:val="56"/>
              <w:ind w:firstLine="0" w:firstLineChars="0"/>
              <w:jc w:val="center"/>
              <w:rPr>
                <w:sz w:val="18"/>
                <w:szCs w:val="18"/>
              </w:rPr>
            </w:pPr>
            <w:r>
              <w:rPr>
                <w:rFonts w:hint="eastAsia"/>
                <w:sz w:val="18"/>
                <w:szCs w:val="18"/>
              </w:rPr>
              <w:t>移交人（签名）</w:t>
            </w:r>
          </w:p>
        </w:tc>
        <w:tc>
          <w:tcPr>
            <w:tcW w:w="2336" w:type="dxa"/>
            <w:vAlign w:val="center"/>
          </w:tcPr>
          <w:p>
            <w:pPr>
              <w:pStyle w:val="56"/>
              <w:ind w:firstLine="0" w:firstLineChars="0"/>
              <w:jc w:val="center"/>
              <w:rPr>
                <w:sz w:val="18"/>
                <w:szCs w:val="18"/>
              </w:rPr>
            </w:pPr>
            <w:r>
              <w:rPr>
                <w:rFonts w:hint="eastAsia"/>
                <w:sz w:val="18"/>
                <w:szCs w:val="18"/>
              </w:rPr>
              <w:t>接收人（签名）</w:t>
            </w:r>
          </w:p>
        </w:tc>
        <w:tc>
          <w:tcPr>
            <w:tcW w:w="2336" w:type="dxa"/>
            <w:vAlign w:val="center"/>
          </w:tcPr>
          <w:p>
            <w:pPr>
              <w:pStyle w:val="56"/>
              <w:ind w:firstLine="0" w:firstLineChars="0"/>
              <w:jc w:val="center"/>
              <w:rPr>
                <w:sz w:val="18"/>
                <w:szCs w:val="18"/>
              </w:rPr>
            </w:pPr>
            <w:r>
              <w:rPr>
                <w:rFonts w:hint="eastAsia"/>
                <w:sz w:val="18"/>
                <w:szCs w:val="18"/>
              </w:rPr>
              <w:t>进场时间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r>
    </w:tbl>
    <w:p>
      <w:pPr>
        <w:pStyle w:val="56"/>
        <w:ind w:firstLine="420"/>
      </w:pPr>
    </w:p>
    <w:p>
      <w:pPr>
        <w:pStyle w:val="56"/>
        <w:ind w:firstLine="420"/>
      </w:pPr>
      <w:r>
        <w:rPr>
          <w:rFonts w:hint="eastAsia"/>
        </w:rPr>
        <w:t>表D.3给出了已辐照档案移出辐照机构记录样式。</w:t>
      </w:r>
    </w:p>
    <w:p>
      <w:pPr>
        <w:pStyle w:val="77"/>
        <w:numPr>
          <w:ilvl w:val="1"/>
          <w:numId w:val="0"/>
        </w:numPr>
        <w:spacing w:before="156" w:after="156"/>
        <w:ind w:left="420"/>
      </w:pPr>
      <w:r>
        <w:rPr>
          <w:rFonts w:hint="eastAsia"/>
        </w:rPr>
        <w:t>表D.3已辐照档案移出辐照机构记录</w:t>
      </w:r>
    </w:p>
    <w:tbl>
      <w:tblPr>
        <w:tblStyle w:val="27"/>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336"/>
        <w:gridCol w:w="2336"/>
        <w:gridCol w:w="2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r>
              <w:rPr>
                <w:rFonts w:hint="eastAsia"/>
                <w:sz w:val="18"/>
                <w:szCs w:val="18"/>
              </w:rPr>
              <w:t>已辐照档案数量（箱）</w:t>
            </w:r>
          </w:p>
        </w:tc>
        <w:tc>
          <w:tcPr>
            <w:tcW w:w="2336" w:type="dxa"/>
            <w:vAlign w:val="center"/>
          </w:tcPr>
          <w:p>
            <w:pPr>
              <w:pStyle w:val="56"/>
              <w:ind w:firstLine="0" w:firstLineChars="0"/>
              <w:jc w:val="center"/>
              <w:rPr>
                <w:sz w:val="18"/>
                <w:szCs w:val="18"/>
              </w:rPr>
            </w:pPr>
            <w:r>
              <w:rPr>
                <w:rFonts w:hint="eastAsia"/>
                <w:sz w:val="18"/>
                <w:szCs w:val="18"/>
              </w:rPr>
              <w:t>移交人（签名）</w:t>
            </w:r>
          </w:p>
        </w:tc>
        <w:tc>
          <w:tcPr>
            <w:tcW w:w="2336" w:type="dxa"/>
            <w:vAlign w:val="center"/>
          </w:tcPr>
          <w:p>
            <w:pPr>
              <w:pStyle w:val="56"/>
              <w:ind w:firstLine="0" w:firstLineChars="0"/>
              <w:jc w:val="center"/>
              <w:rPr>
                <w:sz w:val="18"/>
                <w:szCs w:val="18"/>
              </w:rPr>
            </w:pPr>
            <w:r>
              <w:rPr>
                <w:rFonts w:hint="eastAsia"/>
                <w:sz w:val="18"/>
                <w:szCs w:val="18"/>
              </w:rPr>
              <w:t>接收人（签名）</w:t>
            </w:r>
          </w:p>
        </w:tc>
        <w:tc>
          <w:tcPr>
            <w:tcW w:w="2336" w:type="dxa"/>
            <w:vAlign w:val="center"/>
          </w:tcPr>
          <w:p>
            <w:pPr>
              <w:pStyle w:val="56"/>
              <w:ind w:firstLine="0" w:firstLineChars="0"/>
              <w:jc w:val="center"/>
              <w:rPr>
                <w:sz w:val="18"/>
                <w:szCs w:val="18"/>
              </w:rPr>
            </w:pPr>
            <w:r>
              <w:rPr>
                <w:rFonts w:hint="eastAsia"/>
                <w:sz w:val="18"/>
                <w:szCs w:val="18"/>
              </w:rPr>
              <w:t>出场时间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r>
    </w:tbl>
    <w:p>
      <w:pPr>
        <w:pStyle w:val="56"/>
        <w:ind w:firstLine="420"/>
      </w:pPr>
    </w:p>
    <w:p>
      <w:pPr>
        <w:pStyle w:val="56"/>
        <w:ind w:firstLine="420"/>
      </w:pPr>
      <w:r>
        <w:rPr>
          <w:rFonts w:hint="eastAsia"/>
        </w:rPr>
        <w:t>表D.4给出了辐照后档案归入档案馆库房记录样式。</w:t>
      </w:r>
    </w:p>
    <w:p>
      <w:pPr>
        <w:pStyle w:val="77"/>
        <w:numPr>
          <w:ilvl w:val="1"/>
          <w:numId w:val="0"/>
        </w:numPr>
        <w:spacing w:before="156" w:after="156"/>
        <w:ind w:left="420"/>
      </w:pPr>
      <w:r>
        <w:rPr>
          <w:rFonts w:hint="eastAsia"/>
        </w:rPr>
        <w:t>表D.4辐照后档案归入档案馆库房记录</w:t>
      </w:r>
    </w:p>
    <w:tbl>
      <w:tblPr>
        <w:tblStyle w:val="27"/>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336"/>
        <w:gridCol w:w="2336"/>
        <w:gridCol w:w="2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r>
              <w:rPr>
                <w:rFonts w:hint="eastAsia"/>
                <w:sz w:val="18"/>
                <w:szCs w:val="18"/>
              </w:rPr>
              <w:t>已辐照档案数量（箱）</w:t>
            </w:r>
          </w:p>
        </w:tc>
        <w:tc>
          <w:tcPr>
            <w:tcW w:w="2336" w:type="dxa"/>
            <w:vAlign w:val="center"/>
          </w:tcPr>
          <w:p>
            <w:pPr>
              <w:pStyle w:val="56"/>
              <w:ind w:firstLine="0" w:firstLineChars="0"/>
              <w:jc w:val="center"/>
              <w:rPr>
                <w:sz w:val="18"/>
                <w:szCs w:val="18"/>
              </w:rPr>
            </w:pPr>
            <w:r>
              <w:rPr>
                <w:rFonts w:hint="eastAsia"/>
                <w:sz w:val="18"/>
                <w:szCs w:val="18"/>
              </w:rPr>
              <w:t>经办人（签名）</w:t>
            </w:r>
          </w:p>
        </w:tc>
        <w:tc>
          <w:tcPr>
            <w:tcW w:w="2336" w:type="dxa"/>
            <w:vAlign w:val="center"/>
          </w:tcPr>
          <w:p>
            <w:pPr>
              <w:pStyle w:val="56"/>
              <w:ind w:firstLine="0" w:firstLineChars="0"/>
              <w:jc w:val="center"/>
              <w:rPr>
                <w:sz w:val="18"/>
                <w:szCs w:val="18"/>
              </w:rPr>
            </w:pPr>
            <w:r>
              <w:rPr>
                <w:rFonts w:hint="eastAsia"/>
                <w:sz w:val="18"/>
                <w:szCs w:val="18"/>
              </w:rPr>
              <w:t>复核人（签名）</w:t>
            </w:r>
          </w:p>
        </w:tc>
        <w:tc>
          <w:tcPr>
            <w:tcW w:w="2336" w:type="dxa"/>
            <w:vAlign w:val="center"/>
          </w:tcPr>
          <w:p>
            <w:pPr>
              <w:pStyle w:val="56"/>
              <w:ind w:firstLine="0" w:firstLineChars="0"/>
              <w:jc w:val="center"/>
              <w:rPr>
                <w:sz w:val="18"/>
                <w:szCs w:val="18"/>
              </w:rPr>
            </w:pPr>
            <w:r>
              <w:rPr>
                <w:rFonts w:hint="eastAsia"/>
                <w:sz w:val="18"/>
                <w:szCs w:val="18"/>
              </w:rPr>
              <w:t>入库时间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c>
          <w:tcPr>
            <w:tcW w:w="2336" w:type="dxa"/>
            <w:vAlign w:val="center"/>
          </w:tcPr>
          <w:p>
            <w:pPr>
              <w:pStyle w:val="56"/>
              <w:ind w:firstLine="0" w:firstLineChars="0"/>
              <w:jc w:val="center"/>
              <w:rPr>
                <w:sz w:val="18"/>
                <w:szCs w:val="18"/>
              </w:rPr>
            </w:pPr>
          </w:p>
        </w:tc>
      </w:tr>
    </w:tbl>
    <w:p>
      <w:pPr>
        <w:pStyle w:val="56"/>
        <w:ind w:firstLine="0" w:firstLineChars="0"/>
        <w:jc w:val="center"/>
      </w:pPr>
    </w:p>
    <w:p>
      <w:pPr>
        <w:pStyle w:val="56"/>
        <w:ind w:firstLine="0" w:firstLineChars="0"/>
        <w:jc w:val="center"/>
      </w:pPr>
    </w:p>
    <w:bookmarkEnd w:id="67"/>
    <w:p>
      <w:pPr>
        <w:pStyle w:val="56"/>
        <w:ind w:firstLine="0" w:firstLineChars="0"/>
        <w:jc w:val="center"/>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type="lines" w:linePitch="312" w:charSpace="0"/>
        </w:sectPr>
      </w:pPr>
      <w:bookmarkStart w:id="76" w:name="BookMark6"/>
    </w:p>
    <w:p>
      <w:pPr>
        <w:pStyle w:val="63"/>
        <w:spacing w:after="156"/>
      </w:pPr>
      <w:bookmarkStart w:id="77" w:name="_Toc155085294"/>
      <w:r>
        <w:rPr>
          <w:rFonts w:hint="eastAsia"/>
          <w:spacing w:val="105"/>
        </w:rPr>
        <w:t>参考文</w:t>
      </w:r>
      <w:r>
        <w:rPr>
          <w:rFonts w:hint="eastAsia"/>
        </w:rPr>
        <w:t>献</w:t>
      </w:r>
      <w:bookmarkEnd w:id="77"/>
    </w:p>
    <w:p>
      <w:pPr>
        <w:pStyle w:val="56"/>
        <w:ind w:firstLine="420"/>
      </w:pPr>
      <w:r>
        <w:rPr>
          <w:rFonts w:hint="eastAsia"/>
        </w:rPr>
        <w:t>[</w:t>
      </w:r>
      <w:r>
        <w:t xml:space="preserve">1] </w:t>
      </w:r>
      <w:r>
        <w:rPr>
          <w:rFonts w:hint="eastAsia"/>
        </w:rPr>
        <w:t>GB/T 15446—2008</w:t>
      </w:r>
      <w:r>
        <w:t xml:space="preserve">  </w:t>
      </w:r>
      <w:r>
        <w:rPr>
          <w:rFonts w:hint="eastAsia"/>
        </w:rPr>
        <w:t>辐照加工剂量学术语</w:t>
      </w:r>
    </w:p>
    <w:p>
      <w:pPr>
        <w:pStyle w:val="56"/>
        <w:ind w:firstLine="420"/>
        <w:jc w:val="left"/>
      </w:pPr>
      <w:r>
        <w:rPr>
          <w:rFonts w:hint="eastAsia"/>
        </w:rPr>
        <w:t>[</w:t>
      </w:r>
      <w:r>
        <w:t xml:space="preserve">2] </w:t>
      </w:r>
      <w:r>
        <w:rPr>
          <w:rFonts w:hint="eastAsia"/>
        </w:rPr>
        <w:t>GB 18280.1—2015  医疗保健产品灭菌 辐射 第1部分:医疗器械灭菌过程的开发、确认和常规控制要求</w:t>
      </w:r>
    </w:p>
    <w:p>
      <w:pPr>
        <w:pStyle w:val="56"/>
        <w:ind w:firstLine="420"/>
      </w:pPr>
      <w:r>
        <w:rPr>
          <w:rFonts w:hint="eastAsia"/>
        </w:rPr>
        <w:t>[</w:t>
      </w:r>
      <w:r>
        <w:t xml:space="preserve">3] </w:t>
      </w:r>
      <w:r>
        <w:rPr>
          <w:rFonts w:hint="eastAsia"/>
        </w:rPr>
        <w:t>GB 18524—2016  食品辐照加工卫生规范</w:t>
      </w:r>
    </w:p>
    <w:p>
      <w:pPr>
        <w:pStyle w:val="56"/>
        <w:ind w:firstLine="420"/>
        <w:jc w:val="left"/>
      </w:pPr>
      <w:r>
        <w:rPr>
          <w:rFonts w:hint="eastAsia"/>
        </w:rPr>
        <w:t>[</w:t>
      </w:r>
      <w:r>
        <w:t xml:space="preserve">4] </w:t>
      </w:r>
      <w:r>
        <w:rPr>
          <w:rFonts w:hint="eastAsia"/>
        </w:rPr>
        <w:t>曾民生,林乃杰,沈雯.图书档案γ辐照消毒[J].深圳特区科技,1996(01):21-23</w:t>
      </w:r>
    </w:p>
    <w:p>
      <w:pPr>
        <w:pStyle w:val="56"/>
        <w:ind w:firstLine="420"/>
      </w:pPr>
      <w:r>
        <w:rPr>
          <w:rFonts w:hint="eastAsia"/>
        </w:rPr>
        <w:t>[</w:t>
      </w:r>
      <w:r>
        <w:t xml:space="preserve">5] </w:t>
      </w:r>
      <w:r>
        <w:rPr>
          <w:rFonts w:hint="eastAsia"/>
        </w:rPr>
        <w:t>张砚耕,李纪生.对图书、档案资料辐射杀虫的研究[J].辐射防护通讯.1994(04):65-68</w:t>
      </w:r>
    </w:p>
    <w:p>
      <w:pPr>
        <w:pStyle w:val="56"/>
        <w:ind w:firstLine="420"/>
        <w:jc w:val="left"/>
      </w:pPr>
      <w:r>
        <w:rPr>
          <w:rFonts w:hint="eastAsia"/>
        </w:rPr>
        <w:t>[</w:t>
      </w:r>
      <w:r>
        <w:t xml:space="preserve">6] </w:t>
      </w:r>
      <w:r>
        <w:rPr>
          <w:rFonts w:hint="eastAsia"/>
        </w:rPr>
        <w:t>梁翊,汤召华,等.γ射线在文献档案纸张杀虫灭菌中的应用[J].辐射研究与辐射工艺学报.2020,38(06):57-64</w:t>
      </w:r>
    </w:p>
    <w:p>
      <w:pPr>
        <w:pStyle w:val="56"/>
        <w:ind w:firstLine="420"/>
      </w:pPr>
      <w:r>
        <w:rPr>
          <w:rFonts w:hint="eastAsia"/>
        </w:rPr>
        <w:t>[</w:t>
      </w:r>
      <w:r>
        <w:t xml:space="preserve">7] </w:t>
      </w:r>
      <w:r>
        <w:rPr>
          <w:rFonts w:hint="eastAsia"/>
        </w:rPr>
        <w:t>姚光裕.应用Co60v-射线处理霉害纸张[J].造纸信息,2010(06):68</w:t>
      </w:r>
    </w:p>
    <w:p>
      <w:pPr>
        <w:pStyle w:val="56"/>
        <w:ind w:firstLine="420"/>
      </w:pPr>
      <w:r>
        <w:rPr>
          <w:rFonts w:hint="eastAsia"/>
        </w:rPr>
        <w:t>[</w:t>
      </w:r>
      <w:r>
        <w:t xml:space="preserve">8] </w:t>
      </w:r>
      <w:r>
        <w:rPr>
          <w:rFonts w:hint="eastAsia"/>
        </w:rPr>
        <w:t>胡志涛.辐照技术在纸质文献档案保藏中的应用研究[D]:[硕士].成都:成都理工大学,2017</w:t>
      </w:r>
    </w:p>
    <w:p>
      <w:pPr>
        <w:pStyle w:val="56"/>
        <w:ind w:firstLine="0" w:firstLineChars="0"/>
        <w:jc w:val="center"/>
      </w:pPr>
    </w:p>
    <w:bookmarkEnd w:id="76"/>
    <w:p>
      <w:pPr>
        <w:pStyle w:val="56"/>
        <w:ind w:firstLine="0" w:firstLineChars="0"/>
        <w:jc w:val="center"/>
      </w:pPr>
    </w:p>
    <w:p>
      <w:pPr>
        <w:pStyle w:val="56"/>
        <w:ind w:firstLine="0" w:firstLineChars="0"/>
        <w:jc w:val="center"/>
      </w:pPr>
      <w:bookmarkStart w:id="78" w:name="BookMark8"/>
      <w:r>
        <w:rPr>
          <w:rFonts w:hint="eastAsia"/>
        </w:rPr>
        <w:drawing>
          <wp:inline distT="0" distB="0" distL="0" distR="0">
            <wp:extent cx="1485900" cy="317500"/>
            <wp:effectExtent l="0" t="0" r="0" b="6350"/>
            <wp:docPr id="715443816" name="图片 1"/>
            <wp:cNvGraphicFramePr/>
            <a:graphic xmlns:a="http://schemas.openxmlformats.org/drawingml/2006/main">
              <a:graphicData uri="http://schemas.openxmlformats.org/drawingml/2006/picture">
                <pic:pic xmlns:pic="http://schemas.openxmlformats.org/drawingml/2006/picture">
                  <pic:nvPicPr>
                    <pic:cNvPr id="715443816" name="图片 1"/>
                    <pic:cNvPicPr/>
                  </pic:nvPicPr>
                  <pic:blipFill>
                    <a:blip r:embed="rId4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8"/>
    </w:p>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10</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FE5E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142"/>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7BE3"/>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183"/>
    <w:rsid w:val="001852C9"/>
    <w:rsid w:val="00190087"/>
    <w:rsid w:val="001913C4"/>
    <w:rsid w:val="0019348F"/>
    <w:rsid w:val="00193A07"/>
    <w:rsid w:val="00194C95"/>
    <w:rsid w:val="00195C34"/>
    <w:rsid w:val="00196EF5"/>
    <w:rsid w:val="001A1A53"/>
    <w:rsid w:val="001A234A"/>
    <w:rsid w:val="001A4CF3"/>
    <w:rsid w:val="001B06E8"/>
    <w:rsid w:val="001B6EB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8D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9F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3D3"/>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E84"/>
    <w:rsid w:val="00445574"/>
    <w:rsid w:val="004467FB"/>
    <w:rsid w:val="00452D6B"/>
    <w:rsid w:val="00454484"/>
    <w:rsid w:val="0045517B"/>
    <w:rsid w:val="00463B77"/>
    <w:rsid w:val="00463C7B"/>
    <w:rsid w:val="004644A6"/>
    <w:rsid w:val="004659BD"/>
    <w:rsid w:val="00470775"/>
    <w:rsid w:val="004746B1"/>
    <w:rsid w:val="0047479D"/>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151"/>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2DC"/>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761"/>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FB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96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4C5C"/>
    <w:rsid w:val="00AF5398"/>
    <w:rsid w:val="00B049AF"/>
    <w:rsid w:val="00B07242"/>
    <w:rsid w:val="00B10534"/>
    <w:rsid w:val="00B113DB"/>
    <w:rsid w:val="00B11A0D"/>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A21"/>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DE4"/>
    <w:rsid w:val="00CF4DDB"/>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0EA"/>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D44"/>
    <w:rsid w:val="00DF5F11"/>
    <w:rsid w:val="00E01138"/>
    <w:rsid w:val="00E02DFB"/>
    <w:rsid w:val="00E030F9"/>
    <w:rsid w:val="00E0311A"/>
    <w:rsid w:val="00E03138"/>
    <w:rsid w:val="00E03235"/>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078"/>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096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1A7"/>
    <w:rsid w:val="00F81141"/>
    <w:rsid w:val="00F833BA"/>
    <w:rsid w:val="00F84FD0"/>
    <w:rsid w:val="00F859A8"/>
    <w:rsid w:val="00F86D87"/>
    <w:rsid w:val="00F9010C"/>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F6D"/>
    <w:rsid w:val="00FC55B4"/>
    <w:rsid w:val="00FD00E6"/>
    <w:rsid w:val="00FD09A1"/>
    <w:rsid w:val="00FD2A7C"/>
    <w:rsid w:val="00FD59EB"/>
    <w:rsid w:val="00FD7299"/>
    <w:rsid w:val="00FE1FBE"/>
    <w:rsid w:val="00FE3901"/>
    <w:rsid w:val="00FE39D3"/>
    <w:rsid w:val="00FE4BCE"/>
    <w:rsid w:val="00FE54AE"/>
    <w:rsid w:val="00FE576A"/>
    <w:rsid w:val="00FE5EA8"/>
    <w:rsid w:val="00FE7E79"/>
    <w:rsid w:val="00FF3E7D"/>
    <w:rsid w:val="00FF5B99"/>
    <w:rsid w:val="00FF730C"/>
    <w:rsid w:val="00FF73F4"/>
    <w:rsid w:val="00FF7CE4"/>
    <w:rsid w:val="00FF7E39"/>
    <w:rsid w:val="205A2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uiPriority w:val="1"/>
  </w:style>
  <w:style w:type="table" w:default="1" w:styleId="26">
    <w:name w:val="Normal Table"/>
    <w:autoRedefin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autoRedefine/>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1" Type="http://schemas.openxmlformats.org/officeDocument/2006/relationships/glossaryDocument" Target="glossary/document.xml"/><Relationship Id="rId50" Type="http://schemas.openxmlformats.org/officeDocument/2006/relationships/fontTable" Target="fontTable.xml"/><Relationship Id="rId5" Type="http://schemas.openxmlformats.org/officeDocument/2006/relationships/header" Target="header1.xml"/><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3.jpeg"/><Relationship Id="rId45" Type="http://schemas.openxmlformats.org/officeDocument/2006/relationships/image" Target="media/image2.png"/><Relationship Id="rId44" Type="http://schemas.openxmlformats.org/officeDocument/2006/relationships/image" Target="media/image1.tiff"/><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2A38AF63F854F62941C24C0F5C9D495"/>
        <w:style w:val=""/>
        <w:category>
          <w:name w:val="常规"/>
          <w:gallery w:val="placeholder"/>
        </w:category>
        <w:types>
          <w:type w:val="bbPlcHdr"/>
        </w:types>
        <w:behaviors>
          <w:behavior w:val="content"/>
        </w:behaviors>
        <w:description w:val=""/>
        <w:guid w:val="{2D14D173-6430-4C21-86E8-F29A0FB205BF}"/>
      </w:docPartPr>
      <w:docPartBody>
        <w:p>
          <w:pPr>
            <w:pStyle w:val="5"/>
          </w:pPr>
          <w:r>
            <w:rPr>
              <w:rStyle w:val="4"/>
              <w:rFonts w:hint="eastAsia"/>
            </w:rPr>
            <w:t>单击或点击此处输入文字。</w:t>
          </w:r>
        </w:p>
      </w:docPartBody>
    </w:docPart>
    <w:docPart>
      <w:docPartPr>
        <w:name w:val="8862421CB25D4A23A061C73B419656CC"/>
        <w:style w:val=""/>
        <w:category>
          <w:name w:val="常规"/>
          <w:gallery w:val="placeholder"/>
        </w:category>
        <w:types>
          <w:type w:val="bbPlcHdr"/>
        </w:types>
        <w:behaviors>
          <w:behavior w:val="content"/>
        </w:behaviors>
        <w:description w:val=""/>
        <w:guid w:val="{A965271A-A539-452C-87A4-1468629490E8}"/>
      </w:docPartPr>
      <w:docPartBody>
        <w:p>
          <w:pPr>
            <w:pStyle w:val="6"/>
          </w:pPr>
          <w:r>
            <w:rPr>
              <w:rStyle w:val="4"/>
              <w:rFonts w:hint="eastAsia"/>
            </w:rPr>
            <w:t>选择一项。</w:t>
          </w:r>
        </w:p>
      </w:docPartBody>
    </w:docPart>
    <w:docPart>
      <w:docPartPr>
        <w:name w:val="52604ADE346D40569F3C0C4D287B2FFD"/>
        <w:style w:val=""/>
        <w:category>
          <w:name w:val="常规"/>
          <w:gallery w:val="placeholder"/>
        </w:category>
        <w:types>
          <w:type w:val="bbPlcHdr"/>
        </w:types>
        <w:behaviors>
          <w:behavior w:val="content"/>
        </w:behaviors>
        <w:description w:val=""/>
        <w:guid w:val="{ADC6986F-3A7C-4E32-BF7C-DBD3FEF370A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A3D"/>
    <w:rsid w:val="001D7665"/>
    <w:rsid w:val="002F2117"/>
    <w:rsid w:val="00756A3D"/>
    <w:rsid w:val="0081192B"/>
    <w:rsid w:val="00D766AB"/>
    <w:rsid w:val="00E61DDB"/>
    <w:rsid w:val="00FC2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F2A38AF63F854F62941C24C0F5C9D495"/>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862421CB25D4A23A061C73B419656CC"/>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2604ADE346D40569F3C0C4D287B2FF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151FB1-0B76-436B-84BD-2AC09E1F70A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962</Words>
  <Characters>5489</Characters>
  <Lines>45</Lines>
  <Paragraphs>12</Paragraphs>
  <TotalTime>31</TotalTime>
  <ScaleCrop>false</ScaleCrop>
  <LinksUpToDate>false</LinksUpToDate>
  <CharactersWithSpaces>6439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2024-01-02T02:38:00Z</dcterms:created>
  <dc:creator>DELL</dc:creator>
  <dc:description>&lt;config cover="true" show_menu="true" version="1.0.0" doctype="SDKXY"&gt;_x000d_
&lt;/config&gt;</dc:description>
  <cp:lastModifiedBy>DELL</cp:lastModifiedBy>
  <cp:lastPrinted>2020-08-30T10:00:00Z</cp:lastPrinted>
  <dcterms:modified xsi:type="dcterms:W3CDTF">2024-01-09T02:09:30Z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2052-12.1.0.16120</vt:lpwstr>
  </property>
  <property fmtid="{D5CDD505-2E9C-101B-9397-08002B2CF9AE}" pid="16" name="ICV">
    <vt:lpwstr>0E57E1542B2946D886E455494D24FD8D_12</vt:lpwstr>
  </property>
</Properties>
</file>