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264" w:lineRule="auto"/>
        <w:jc w:val="center"/>
        <w:rPr>
          <w:rFonts w:ascii="方正小标宋_GBK" w:eastAsia="方正小标宋_GBK"/>
          <w:sz w:val="36"/>
          <w:szCs w:val="36"/>
        </w:rPr>
      </w:pPr>
      <w:r>
        <w:rPr>
          <w:rFonts w:hint="eastAsia" w:ascii="方正小标宋_GBK" w:eastAsia="方正小标宋_GBK"/>
          <w:sz w:val="36"/>
          <w:szCs w:val="36"/>
        </w:rPr>
        <w:t>2023年度盐城市拟提名省科学技术奖名单</w:t>
      </w:r>
    </w:p>
    <w:tbl>
      <w:tblPr>
        <w:tblStyle w:val="5"/>
        <w:tblW w:w="9453" w:type="dxa"/>
        <w:jc w:val="center"/>
        <w:tblInd w:w="17" w:type="dxa"/>
        <w:tblLayout w:type="fixed"/>
        <w:tblCellMar>
          <w:top w:w="0" w:type="dxa"/>
          <w:left w:w="108" w:type="dxa"/>
          <w:bottom w:w="0" w:type="dxa"/>
          <w:right w:w="108" w:type="dxa"/>
        </w:tblCellMar>
      </w:tblPr>
      <w:tblGrid>
        <w:gridCol w:w="639"/>
        <w:gridCol w:w="4160"/>
        <w:gridCol w:w="4654"/>
      </w:tblGrid>
      <w:tr>
        <w:tblPrEx>
          <w:tblLayout w:type="fixed"/>
          <w:tblCellMar>
            <w:top w:w="0" w:type="dxa"/>
            <w:left w:w="108" w:type="dxa"/>
            <w:bottom w:w="0" w:type="dxa"/>
            <w:right w:w="108" w:type="dxa"/>
          </w:tblCellMar>
        </w:tblPrEx>
        <w:trPr>
          <w:cantSplit/>
          <w:trHeight w:val="480" w:hRule="atLeast"/>
          <w:jc w:val="center"/>
        </w:trPr>
        <w:tc>
          <w:tcPr>
            <w:tcW w:w="639" w:type="dxa"/>
            <w:tcBorders>
              <w:top w:val="single" w:color="auto" w:sz="12" w:space="0"/>
              <w:left w:val="single" w:color="auto" w:sz="12" w:space="0"/>
              <w:bottom w:val="single" w:color="auto" w:sz="12" w:space="0"/>
              <w:right w:val="single" w:color="auto" w:sz="4" w:space="0"/>
            </w:tcBorders>
            <w:shd w:val="clear" w:color="auto" w:fill="auto"/>
            <w:vAlign w:val="center"/>
          </w:tcPr>
          <w:p>
            <w:pPr>
              <w:widowControl/>
              <w:spacing w:line="300" w:lineRule="exact"/>
              <w:jc w:val="center"/>
              <w:rPr>
                <w:spacing w:val="-12"/>
                <w:kern w:val="0"/>
                <w:sz w:val="30"/>
                <w:szCs w:val="30"/>
              </w:rPr>
            </w:pPr>
            <w:r>
              <w:rPr>
                <w:rFonts w:hint="eastAsia" w:ascii="方正黑体_GBK" w:eastAsia="方正黑体_GBK"/>
                <w:spacing w:val="-12"/>
                <w:kern w:val="0"/>
                <w:sz w:val="30"/>
                <w:szCs w:val="30"/>
              </w:rPr>
              <w:t>序号</w:t>
            </w:r>
          </w:p>
        </w:tc>
        <w:tc>
          <w:tcPr>
            <w:tcW w:w="4160" w:type="dxa"/>
            <w:tcBorders>
              <w:top w:val="single" w:color="auto" w:sz="12" w:space="0"/>
              <w:left w:val="nil"/>
              <w:bottom w:val="single" w:color="auto" w:sz="12" w:space="0"/>
              <w:right w:val="single" w:color="auto" w:sz="4" w:space="0"/>
            </w:tcBorders>
            <w:shd w:val="clear" w:color="auto" w:fill="auto"/>
            <w:vAlign w:val="center"/>
          </w:tcPr>
          <w:p>
            <w:pPr>
              <w:widowControl/>
              <w:spacing w:line="300" w:lineRule="exact"/>
              <w:jc w:val="center"/>
              <w:rPr>
                <w:kern w:val="0"/>
                <w:sz w:val="30"/>
                <w:szCs w:val="30"/>
              </w:rPr>
            </w:pPr>
            <w:r>
              <w:rPr>
                <w:rFonts w:hint="eastAsia" w:ascii="方正黑体_GBK" w:eastAsia="方正黑体_GBK"/>
                <w:kern w:val="0"/>
                <w:sz w:val="30"/>
                <w:szCs w:val="30"/>
              </w:rPr>
              <w:t>项目名称</w:t>
            </w:r>
          </w:p>
        </w:tc>
        <w:tc>
          <w:tcPr>
            <w:tcW w:w="4654" w:type="dxa"/>
            <w:tcBorders>
              <w:top w:val="single" w:color="auto" w:sz="12" w:space="0"/>
              <w:left w:val="nil"/>
              <w:bottom w:val="single" w:color="auto" w:sz="12" w:space="0"/>
              <w:right w:val="single" w:color="auto" w:sz="12" w:space="0"/>
            </w:tcBorders>
            <w:shd w:val="clear" w:color="auto" w:fill="auto"/>
            <w:vAlign w:val="center"/>
          </w:tcPr>
          <w:p>
            <w:pPr>
              <w:widowControl/>
              <w:spacing w:line="300" w:lineRule="exact"/>
              <w:jc w:val="center"/>
              <w:rPr>
                <w:kern w:val="0"/>
                <w:sz w:val="30"/>
                <w:szCs w:val="30"/>
              </w:rPr>
            </w:pPr>
            <w:r>
              <w:rPr>
                <w:rFonts w:hint="eastAsia" w:ascii="方正黑体_GBK" w:eastAsia="方正黑体_GBK"/>
                <w:kern w:val="0"/>
                <w:sz w:val="30"/>
                <w:szCs w:val="30"/>
              </w:rPr>
              <w:t>完成单位</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w:t>
            </w:r>
          </w:p>
        </w:tc>
        <w:tc>
          <w:tcPr>
            <w:tcW w:w="4160" w:type="dxa"/>
            <w:tcBorders>
              <w:top w:val="single" w:color="auto" w:sz="12"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新能源汽车后桥壳总成的研究与产业化</w:t>
            </w:r>
          </w:p>
        </w:tc>
        <w:tc>
          <w:tcPr>
            <w:tcW w:w="4654" w:type="dxa"/>
            <w:tcBorders>
              <w:top w:val="single" w:color="auto" w:sz="12"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盐城环宇汽车零部件制造有限公司</w:t>
            </w:r>
          </w:p>
        </w:tc>
      </w:tr>
      <w:tr>
        <w:tblPrEx>
          <w:tblLayout w:type="fixed"/>
          <w:tblCellMar>
            <w:top w:w="0" w:type="dxa"/>
            <w:left w:w="108" w:type="dxa"/>
            <w:bottom w:w="0" w:type="dxa"/>
            <w:right w:w="108" w:type="dxa"/>
          </w:tblCellMar>
        </w:tblPrEx>
        <w:trPr>
          <w:cantSplit/>
          <w:trHeight w:val="678"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食品级不锈钢</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江苏德龙镍业有限公司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3</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降压控制阀的迷宫盘片结构设计</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江苏江恒阀业有限公司</w:t>
            </w:r>
          </w:p>
        </w:tc>
      </w:tr>
      <w:tr>
        <w:tblPrEx>
          <w:tblLayout w:type="fixed"/>
          <w:tblCellMar>
            <w:top w:w="0" w:type="dxa"/>
            <w:left w:w="108" w:type="dxa"/>
            <w:bottom w:w="0" w:type="dxa"/>
            <w:right w:w="108" w:type="dxa"/>
          </w:tblCellMar>
        </w:tblPrEx>
        <w:trPr>
          <w:cantSplit/>
          <w:trHeight w:val="981"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4</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富镁冶金固废机械力化学效应关键技术开发及其应用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江苏博拓新型建筑材料股份有限公司,盐城工学院,南京工业大学,江苏中鼎建材集团有限公司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5</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HE13型高压高比容电极箔制造技术</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江苏荣生电子有限公司,盐城工学院</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6</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超低排放超细面层聚酰亚胺纤维复合针刺毡</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江苏蓝天环保集团股份有限公司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7</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建筑电缆数字化成套挤塑装备关键技术及应用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江苏星基智能装备有限公司,南京星基数字科技有限公司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8</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智慧城市时空大数据关键技术及应用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江苏星月测绘科技股份有限公司</w:t>
            </w:r>
          </w:p>
        </w:tc>
      </w:tr>
      <w:tr>
        <w:tblPrEx>
          <w:tblLayout w:type="fixed"/>
          <w:tblCellMar>
            <w:top w:w="0" w:type="dxa"/>
            <w:left w:w="108" w:type="dxa"/>
            <w:bottom w:w="0" w:type="dxa"/>
            <w:right w:w="108" w:type="dxa"/>
          </w:tblCellMar>
        </w:tblPrEx>
        <w:trPr>
          <w:cantSplit/>
          <w:trHeight w:val="594"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9</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自装卸式垃圾车</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江苏悦达专用车有限公司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10</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1200吨超大负荷智能钻进水平定向钻机关键技术研发</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江苏谷登重型机械科技股份有限公司</w:t>
            </w:r>
          </w:p>
        </w:tc>
      </w:tr>
      <w:tr>
        <w:tblPrEx>
          <w:tblLayout w:type="fixed"/>
          <w:tblCellMar>
            <w:top w:w="0" w:type="dxa"/>
            <w:left w:w="108" w:type="dxa"/>
            <w:bottom w:w="0" w:type="dxa"/>
            <w:right w:w="108" w:type="dxa"/>
          </w:tblCellMar>
        </w:tblPrEx>
        <w:trPr>
          <w:cantSplit/>
          <w:trHeight w:val="826"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11</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夫西地酸的开发、注册及应用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江苏九阳生物制药有限公司</w:t>
            </w:r>
          </w:p>
        </w:tc>
      </w:tr>
      <w:tr>
        <w:tblPrEx>
          <w:tblLayout w:type="fixed"/>
          <w:tblCellMar>
            <w:top w:w="0" w:type="dxa"/>
            <w:left w:w="108" w:type="dxa"/>
            <w:bottom w:w="0" w:type="dxa"/>
            <w:right w:w="108" w:type="dxa"/>
          </w:tblCellMar>
        </w:tblPrEx>
        <w:trPr>
          <w:cantSplit/>
          <w:trHeight w:val="624"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12</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机场智能网联专用车辆及全息运控系统</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江苏天一航空工业股份有限公司,清华大学苏州汽车研究院（相城）</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13</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核级系列泵阀铸钢件制造</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江苏万恒铸业有限公司</w:t>
            </w:r>
          </w:p>
        </w:tc>
      </w:tr>
      <w:tr>
        <w:tblPrEx>
          <w:tblLayout w:type="fixed"/>
          <w:tblCellMar>
            <w:top w:w="0" w:type="dxa"/>
            <w:left w:w="108" w:type="dxa"/>
            <w:bottom w:w="0" w:type="dxa"/>
            <w:right w:w="108" w:type="dxa"/>
          </w:tblCellMar>
        </w:tblPrEx>
        <w:trPr>
          <w:cantSplit/>
          <w:trHeight w:val="1044"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14</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双面高效低成本钝化发射极和背表面晶硅太阳能电池研发及产业化技术</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江苏润阳新能源科技股份有限公司,苏州大学,盐城工学院</w:t>
            </w:r>
          </w:p>
        </w:tc>
      </w:tr>
      <w:tr>
        <w:tblPrEx>
          <w:tblLayout w:type="fixed"/>
          <w:tblCellMar>
            <w:top w:w="0" w:type="dxa"/>
            <w:left w:w="108" w:type="dxa"/>
            <w:bottom w:w="0" w:type="dxa"/>
            <w:right w:w="108" w:type="dxa"/>
          </w:tblCellMar>
        </w:tblPrEx>
        <w:trPr>
          <w:cantSplit/>
          <w:trHeight w:val="648"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15</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非常规油气资源开采大口径超高压压裂井口装置抗硫、耐蚀、降本关键技术创新与应用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江苏苏盐阀门机械有限公司,中国矿业大学,盐城工学院</w:t>
            </w:r>
          </w:p>
        </w:tc>
      </w:tr>
      <w:tr>
        <w:tblPrEx>
          <w:tblLayout w:type="fixed"/>
          <w:tblCellMar>
            <w:top w:w="0" w:type="dxa"/>
            <w:left w:w="108" w:type="dxa"/>
            <w:bottom w:w="0" w:type="dxa"/>
            <w:right w:w="108" w:type="dxa"/>
          </w:tblCellMar>
        </w:tblPrEx>
        <w:trPr>
          <w:cantSplit/>
          <w:trHeight w:val="762"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16</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大模数螺旋伞齿轮近净成形关键技术研发与产业化</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盐城金刚星精密锻造有限公司,盐城工学院</w:t>
            </w:r>
          </w:p>
        </w:tc>
      </w:tr>
      <w:tr>
        <w:tblPrEx>
          <w:tblLayout w:type="fixed"/>
          <w:tblCellMar>
            <w:top w:w="0" w:type="dxa"/>
            <w:left w:w="108" w:type="dxa"/>
            <w:bottom w:w="0" w:type="dxa"/>
            <w:right w:w="108" w:type="dxa"/>
          </w:tblCellMar>
        </w:tblPrEx>
        <w:trPr>
          <w:cantSplit/>
          <w:trHeight w:val="1144"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17</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核岛堆内构件用核级接头</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江苏科维仪表控制工程有限公司,中广核工程有限公司,深圳中广核工程设计有限公司,盐城工学院</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18</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长耐久高耐磨实心轮胎制造关键技术及产业化</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江苏托普轮胎股份有限公司,青岛科技大学</w:t>
            </w:r>
          </w:p>
        </w:tc>
      </w:tr>
      <w:tr>
        <w:tblPrEx>
          <w:tblLayout w:type="fixed"/>
          <w:tblCellMar>
            <w:top w:w="0" w:type="dxa"/>
            <w:left w:w="108" w:type="dxa"/>
            <w:bottom w:w="0" w:type="dxa"/>
            <w:right w:w="108" w:type="dxa"/>
          </w:tblCellMar>
        </w:tblPrEx>
        <w:trPr>
          <w:cantSplit/>
          <w:trHeight w:val="909"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19</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新型高效光伏组件工业互联网标杆工厂</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阜宁协鑫集成科技有限公司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20</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一种环保植物秸秆排水板一体化综合生产线</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江苏中联路基工程有限公司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21</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页岩气用耐油基螺杆钻具的关键技术研发及应用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盐城市新永佳石油机械制造有限公司,盐城工学院</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22</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系列，高强聚四氟乙烯环保滤料产业链开发及应用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江苏华跃纺织新材料科技股份有限公司</w:t>
            </w:r>
          </w:p>
        </w:tc>
      </w:tr>
      <w:tr>
        <w:tblPrEx>
          <w:tblLayout w:type="fixed"/>
          <w:tblCellMar>
            <w:top w:w="0" w:type="dxa"/>
            <w:left w:w="108" w:type="dxa"/>
            <w:bottom w:w="0" w:type="dxa"/>
            <w:right w:w="108" w:type="dxa"/>
          </w:tblCellMar>
        </w:tblPrEx>
        <w:trPr>
          <w:cantSplit/>
          <w:trHeight w:val="1191"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23</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粳稻田“保蛛控虱、精准防病”实用技术</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江苏沿海地区农业科学研究所,盐城市植物保护站,连云港市植物保护植物检疫站,泰州市植保植检站</w:t>
            </w:r>
          </w:p>
        </w:tc>
      </w:tr>
      <w:tr>
        <w:tblPrEx>
          <w:tblLayout w:type="fixed"/>
          <w:tblCellMar>
            <w:top w:w="0" w:type="dxa"/>
            <w:left w:w="108" w:type="dxa"/>
            <w:bottom w:w="0" w:type="dxa"/>
            <w:right w:w="108" w:type="dxa"/>
          </w:tblCellMar>
        </w:tblPrEx>
        <w:trPr>
          <w:cantSplit/>
          <w:trHeight w:val="1048"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24</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抗侵蚀超低导热纳米热障材料制备技术研发及其产业化应用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江苏中磊节能科技发展有限公司,武汉科技大学</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25</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速生木材清洁高得率制浆和造纸产业化关键技术</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江苏博汇纸业有限公司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26</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亚麻湿纺复合生物酶及二元染色生态处理技术研发与应用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江苏华信亚麻纺织有限公司,盐城工业职业技术学院</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27</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风力发电预制预应力混凝土塔架技术</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江苏金海新能源科技有限公司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28</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全自动化智能手术衣成型设备</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江苏德罗智能科技有限公司,盐城工学院</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29</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铁路车辆车轴超声波相控阵自动探伤机研发及产业化</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江苏赛福探伤设备制造有限公司,盐城工学院</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30</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致密性油气田井口同步回转增压装置</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江苏丰泰流体机械科技有限公司</w:t>
            </w:r>
          </w:p>
        </w:tc>
      </w:tr>
      <w:tr>
        <w:tblPrEx>
          <w:tblLayout w:type="fixed"/>
          <w:tblCellMar>
            <w:top w:w="0" w:type="dxa"/>
            <w:left w:w="108" w:type="dxa"/>
            <w:bottom w:w="0" w:type="dxa"/>
            <w:right w:w="108" w:type="dxa"/>
          </w:tblCellMar>
        </w:tblPrEx>
        <w:trPr>
          <w:cantSplit/>
          <w:trHeight w:val="737"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31</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核岛主设备承压锻件整体制造技术及其应用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上海新闵（东台）重型锻造有限公司,东南大学,上海交通大学</w:t>
            </w:r>
          </w:p>
        </w:tc>
      </w:tr>
      <w:tr>
        <w:tblPrEx>
          <w:tblLayout w:type="fixed"/>
          <w:tblCellMar>
            <w:top w:w="0" w:type="dxa"/>
            <w:left w:w="108" w:type="dxa"/>
            <w:bottom w:w="0" w:type="dxa"/>
            <w:right w:w="108" w:type="dxa"/>
          </w:tblCellMar>
        </w:tblPrEx>
        <w:trPr>
          <w:cantSplit/>
          <w:trHeight w:val="942"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32</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高精度医学检验定量微量采样装置关键技术的创新及应用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江苏科华医疗器械科技有限公司,江苏医药职业学院</w:t>
            </w:r>
          </w:p>
        </w:tc>
      </w:tr>
      <w:tr>
        <w:tblPrEx>
          <w:tblLayout w:type="fixed"/>
          <w:tblCellMar>
            <w:top w:w="0" w:type="dxa"/>
            <w:left w:w="108" w:type="dxa"/>
            <w:bottom w:w="0" w:type="dxa"/>
            <w:right w:w="108" w:type="dxa"/>
          </w:tblCellMar>
        </w:tblPrEx>
        <w:trPr>
          <w:cantSplit/>
          <w:trHeight w:val="2090" w:hRule="exact"/>
          <w:jc w:val="center"/>
        </w:trPr>
        <w:tc>
          <w:tcPr>
            <w:tcW w:w="63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spacing w:line="300" w:lineRule="exact"/>
              <w:jc w:val="center"/>
              <w:rPr>
                <w:rFonts w:ascii="方正仿宋_GBK" w:eastAsia="方正仿宋_GBK"/>
                <w:bCs/>
                <w:kern w:val="0"/>
                <w:sz w:val="24"/>
              </w:rPr>
            </w:pPr>
            <w:r>
              <w:rPr>
                <w:rFonts w:hint="eastAsia" w:ascii="方正仿宋_GBK" w:eastAsia="方正仿宋_GBK"/>
                <w:bCs/>
                <w:kern w:val="0"/>
                <w:sz w:val="24"/>
              </w:rPr>
              <w:t>33</w:t>
            </w:r>
          </w:p>
        </w:tc>
        <w:tc>
          <w:tcPr>
            <w:tcW w:w="416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高压大容量直挂式储能系统关键技术及工程应用</w:t>
            </w:r>
          </w:p>
        </w:tc>
        <w:tc>
          <w:tcPr>
            <w:tcW w:w="4654" w:type="dxa"/>
            <w:tcBorders>
              <w:top w:val="single" w:color="auto" w:sz="4" w:space="0"/>
              <w:left w:val="nil"/>
              <w:bottom w:val="single" w:color="auto" w:sz="4" w:space="0"/>
              <w:right w:val="single" w:color="auto" w:sz="12" w:space="0"/>
            </w:tcBorders>
            <w:shd w:val="clear" w:color="auto" w:fill="auto"/>
            <w:vAlign w:val="center"/>
          </w:tcPr>
          <w:p>
            <w:pPr>
              <w:rPr>
                <w:rFonts w:ascii="宋体" w:hAnsi="宋体" w:cs="宋体"/>
                <w:color w:val="000000"/>
                <w:sz w:val="22"/>
                <w:szCs w:val="22"/>
              </w:rPr>
            </w:pPr>
            <w:r>
              <w:rPr>
                <w:rFonts w:hint="eastAsia"/>
                <w:color w:val="000000"/>
                <w:sz w:val="22"/>
                <w:szCs w:val="22"/>
              </w:rPr>
              <w:t>国网江苏省电力有限公司,中国电力科学研究院有限公司,南京南瑞继保电气有限公司,上海交通大学,广州智光储能科技有限公司,南京理工大学,杭州科工电子科技股份有限公司,国网上海能源互联网研究院有限公司,南京国电南自新能源科技有限公司</w:t>
            </w:r>
          </w:p>
        </w:tc>
      </w:tr>
    </w:tbl>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p>
    <w:p>
      <w:pPr>
        <w:spacing w:line="264" w:lineRule="auto"/>
        <w:jc w:val="center"/>
        <w:rPr>
          <w:rFonts w:ascii="方正小标宋_GBK" w:eastAsia="方正小标宋_GBK"/>
          <w:sz w:val="36"/>
          <w:szCs w:val="36"/>
        </w:rPr>
      </w:pPr>
      <w:bookmarkStart w:id="0" w:name="_GoBack"/>
      <w:bookmarkEnd w:id="0"/>
    </w:p>
    <w:p/>
    <w:p>
      <w:pPr>
        <w:spacing w:line="264" w:lineRule="auto"/>
        <w:jc w:val="center"/>
        <w:rPr>
          <w:rFonts w:ascii="方正小标宋_GBK" w:eastAsia="方正小标宋_GBK"/>
          <w:sz w:val="32"/>
          <w:szCs w:val="32"/>
        </w:rPr>
      </w:pPr>
      <w:r>
        <w:rPr>
          <w:rFonts w:hint="eastAsia" w:ascii="方正小标宋_GBK" w:eastAsia="方正小标宋_GBK"/>
          <w:sz w:val="32"/>
          <w:szCs w:val="32"/>
        </w:rPr>
        <w:t>2023年度盐城市拟提名省企业技术创新奖名单</w:t>
      </w:r>
    </w:p>
    <w:p>
      <w:pPr>
        <w:spacing w:line="440" w:lineRule="exact"/>
        <w:jc w:val="center"/>
        <w:rPr>
          <w:rFonts w:ascii="方正小标宋_GBK" w:eastAsia="方正小标宋_GBK"/>
          <w:b/>
          <w:sz w:val="44"/>
          <w:szCs w:val="44"/>
        </w:rPr>
      </w:pPr>
    </w:p>
    <w:tbl>
      <w:tblPr>
        <w:tblStyle w:val="5"/>
        <w:tblW w:w="9079" w:type="dxa"/>
        <w:jc w:val="center"/>
        <w:tblInd w:w="-8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5"/>
        <w:gridCol w:w="64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2665" w:type="dxa"/>
            <w:shd w:val="clear" w:color="auto" w:fill="auto"/>
            <w:vAlign w:val="center"/>
          </w:tcPr>
          <w:p>
            <w:pPr>
              <w:jc w:val="center"/>
              <w:rPr>
                <w:rFonts w:ascii="方正黑体_GBK" w:hAnsi="仿宋" w:eastAsia="方正黑体_GBK"/>
                <w:sz w:val="30"/>
                <w:szCs w:val="30"/>
              </w:rPr>
            </w:pPr>
            <w:r>
              <w:rPr>
                <w:rFonts w:hint="eastAsia" w:ascii="方正黑体_GBK" w:hAnsi="仿宋" w:eastAsia="方正黑体_GBK"/>
                <w:sz w:val="30"/>
                <w:szCs w:val="30"/>
              </w:rPr>
              <w:t>序号</w:t>
            </w:r>
          </w:p>
        </w:tc>
        <w:tc>
          <w:tcPr>
            <w:tcW w:w="6414" w:type="dxa"/>
            <w:shd w:val="clear" w:color="auto" w:fill="auto"/>
            <w:vAlign w:val="center"/>
          </w:tcPr>
          <w:p>
            <w:pPr>
              <w:jc w:val="center"/>
              <w:rPr>
                <w:rFonts w:ascii="方正黑体_GBK" w:hAnsi="仿宋" w:eastAsia="方正黑体_GBK"/>
                <w:sz w:val="30"/>
                <w:szCs w:val="30"/>
              </w:rPr>
            </w:pPr>
            <w:r>
              <w:rPr>
                <w:rFonts w:hint="eastAsia" w:ascii="方正黑体_GBK" w:hAnsi="仿宋" w:eastAsia="方正黑体_GBK"/>
                <w:sz w:val="30"/>
                <w:szCs w:val="30"/>
              </w:rPr>
              <w:t>拟提名企业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2665" w:type="dxa"/>
            <w:shd w:val="clear" w:color="auto" w:fill="auto"/>
            <w:vAlign w:val="center"/>
          </w:tcPr>
          <w:p>
            <w:pPr>
              <w:jc w:val="center"/>
              <w:rPr>
                <w:rFonts w:ascii="方正黑体_GBK" w:hAnsi="仿宋" w:eastAsia="方正黑体_GBK"/>
                <w:sz w:val="24"/>
              </w:rPr>
            </w:pPr>
            <w:r>
              <w:rPr>
                <w:rFonts w:hint="eastAsia" w:ascii="方正黑体_GBK" w:hAnsi="仿宋" w:eastAsia="方正黑体_GBK"/>
                <w:sz w:val="24"/>
              </w:rPr>
              <w:t>1</w:t>
            </w:r>
          </w:p>
        </w:tc>
        <w:tc>
          <w:tcPr>
            <w:tcW w:w="6414" w:type="dxa"/>
            <w:shd w:val="clear" w:color="auto" w:fill="auto"/>
            <w:vAlign w:val="center"/>
          </w:tcPr>
          <w:p>
            <w:pPr>
              <w:jc w:val="center"/>
              <w:rPr>
                <w:sz w:val="24"/>
              </w:rPr>
            </w:pPr>
            <w:r>
              <w:fldChar w:fldCharType="begin"/>
            </w:r>
            <w:r>
              <w:instrText xml:space="preserve"> HYPERLINK "https://kjj.jssti.cn/XMSB/ctrlShow/All_JBXX.jsp?DJXH=48nEvh1veaxDwylEsmoQoViyVhPdTe6YchenzimoiYei0yUTNw=JSKJ&amp;XMBH=ST20228500042" \o "企业技术创新奖 — 江苏丰东热技术有限公司" </w:instrText>
            </w:r>
            <w:r>
              <w:fldChar w:fldCharType="separate"/>
            </w:r>
            <w:r>
              <w:rPr>
                <w:rFonts w:hint="eastAsia"/>
                <w:sz w:val="24"/>
              </w:rPr>
              <w:t> 江苏丰东热技术有限公司</w:t>
            </w:r>
            <w:r>
              <w:rPr>
                <w:rFonts w:hint="eastAsia"/>
                <w:sz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2665" w:type="dxa"/>
            <w:shd w:val="clear" w:color="auto" w:fill="auto"/>
            <w:vAlign w:val="center"/>
          </w:tcPr>
          <w:p>
            <w:pPr>
              <w:jc w:val="center"/>
              <w:rPr>
                <w:rFonts w:ascii="方正仿宋_GBK" w:hAnsi="仿宋" w:eastAsia="方正仿宋_GBK"/>
                <w:sz w:val="24"/>
              </w:rPr>
            </w:pPr>
            <w:r>
              <w:rPr>
                <w:rFonts w:hint="eastAsia" w:ascii="方正仿宋_GBK" w:hAnsi="仿宋" w:eastAsia="方正仿宋_GBK"/>
                <w:sz w:val="24"/>
              </w:rPr>
              <w:t>2</w:t>
            </w:r>
          </w:p>
        </w:tc>
        <w:tc>
          <w:tcPr>
            <w:tcW w:w="6414" w:type="dxa"/>
            <w:shd w:val="clear" w:color="auto" w:fill="auto"/>
            <w:vAlign w:val="center"/>
          </w:tcPr>
          <w:p>
            <w:pPr>
              <w:jc w:val="center"/>
              <w:rPr>
                <w:sz w:val="24"/>
              </w:rPr>
            </w:pPr>
            <w:r>
              <w:fldChar w:fldCharType="begin"/>
            </w:r>
            <w:r>
              <w:instrText xml:space="preserve"> HYPERLINK "https://kjj.jssti.cn/XMSB/ctrlShow/All_JBXX.jsp?XMBH=ST20238500062&amp;DJXH=48nEvh1veazcU1J30XBcEMA4AQcIYluP31AYbrfC2WU=JSKJ" \t "_blank" </w:instrText>
            </w:r>
            <w:r>
              <w:fldChar w:fldCharType="separate"/>
            </w:r>
            <w:r>
              <w:rPr>
                <w:sz w:val="24"/>
              </w:rPr>
              <w:br w:type="textWrapping"/>
            </w:r>
            <w:r>
              <w:rPr>
                <w:sz w:val="24"/>
              </w:rPr>
              <w:fldChar w:fldCharType="end"/>
            </w:r>
            <w:r>
              <w:rPr>
                <w:sz w:val="24"/>
              </w:rPr>
              <w:t>江苏东强股份有限公司</w:t>
            </w:r>
          </w:p>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exact"/>
          <w:jc w:val="center"/>
        </w:trPr>
        <w:tc>
          <w:tcPr>
            <w:tcW w:w="2665" w:type="dxa"/>
            <w:shd w:val="clear" w:color="auto" w:fill="auto"/>
            <w:vAlign w:val="center"/>
          </w:tcPr>
          <w:p>
            <w:pPr>
              <w:jc w:val="center"/>
              <w:rPr>
                <w:rFonts w:ascii="方正仿宋_GBK" w:hAnsi="仿宋" w:eastAsia="方正仿宋_GBK"/>
                <w:sz w:val="24"/>
              </w:rPr>
            </w:pPr>
            <w:r>
              <w:rPr>
                <w:rFonts w:hint="eastAsia" w:ascii="方正仿宋_GBK" w:hAnsi="仿宋" w:eastAsia="方正仿宋_GBK"/>
                <w:sz w:val="24"/>
              </w:rPr>
              <w:t>3</w:t>
            </w:r>
          </w:p>
        </w:tc>
        <w:tc>
          <w:tcPr>
            <w:tcW w:w="6414" w:type="dxa"/>
            <w:shd w:val="clear" w:color="auto" w:fill="auto"/>
            <w:vAlign w:val="center"/>
          </w:tcPr>
          <w:p>
            <w:pPr>
              <w:jc w:val="center"/>
              <w:rPr>
                <w:rFonts w:ascii="宋体" w:hAnsi="宋体" w:cs="宋体"/>
                <w:sz w:val="24"/>
              </w:rPr>
            </w:pPr>
            <w:r>
              <w:rPr>
                <w:rFonts w:hint="eastAsia"/>
                <w:sz w:val="24"/>
              </w:rPr>
              <w:t>中建材</w:t>
            </w:r>
            <w:r>
              <w:rPr>
                <w:sz w:val="24"/>
              </w:rPr>
              <w:t>环保研究院（江苏）有限公司</w:t>
            </w:r>
          </w:p>
        </w:tc>
      </w:tr>
    </w:tbl>
    <w:p>
      <w:pPr>
        <w:spacing w:line="264" w:lineRule="auto"/>
        <w:jc w:val="center"/>
        <w:rPr>
          <w:rFonts w:ascii="方正小标宋_GBK" w:eastAsia="方正小标宋_GBK"/>
          <w:sz w:val="36"/>
          <w:szCs w:val="36"/>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E48"/>
    <w:rsid w:val="00363038"/>
    <w:rsid w:val="003B33A0"/>
    <w:rsid w:val="00632C28"/>
    <w:rsid w:val="006A6E48"/>
    <w:rsid w:val="006F5C7C"/>
    <w:rsid w:val="007E4E7B"/>
    <w:rsid w:val="00993EEA"/>
    <w:rsid w:val="00D61740"/>
    <w:rsid w:val="00E02A38"/>
    <w:rsid w:val="55C4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374</Words>
  <Characters>2135</Characters>
  <Lines>17</Lines>
  <Paragraphs>5</Paragraphs>
  <TotalTime>69</TotalTime>
  <ScaleCrop>false</ScaleCrop>
  <LinksUpToDate>false</LinksUpToDate>
  <CharactersWithSpaces>2504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2024-02-27T07:34:00Z</dcterms:created>
  <dc:creator>User</dc:creator>
  <cp:lastModifiedBy>朝阳葵</cp:lastModifiedBy>
  <dcterms:modified xsi:type="dcterms:W3CDTF">2024-02-27T10:21:25Z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