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仿宋"/>
          <w:sz w:val="32"/>
          <w:szCs w:val="32"/>
        </w:rPr>
      </w:pPr>
      <w:r>
        <w:rPr>
          <w:rFonts w:hint="eastAsia" w:ascii="黑体" w:hAnsi="黑体" w:eastAsia="黑体" w:cs="仿宋"/>
          <w:sz w:val="32"/>
          <w:szCs w:val="32"/>
        </w:rPr>
        <w:t>附件1</w:t>
      </w:r>
    </w:p>
    <w:p>
      <w:pPr>
        <w:autoSpaceDE w:val="0"/>
        <w:autoSpaceDN w:val="0"/>
        <w:snapToGrid w:val="0"/>
        <w:spacing w:line="240" w:lineRule="exact"/>
        <w:rPr>
          <w:rFonts w:ascii="仿宋_GB2312" w:hAnsi="仿宋" w:eastAsia="仿宋_GB2312" w:cs="仿宋"/>
          <w:sz w:val="32"/>
          <w:szCs w:val="32"/>
        </w:rPr>
      </w:pPr>
    </w:p>
    <w:p>
      <w:pPr>
        <w:widowControl/>
        <w:spacing w:line="480" w:lineRule="atLeast"/>
        <w:jc w:val="center"/>
        <w:rPr>
          <w:rFonts w:ascii="方正小标宋_GBK" w:hAnsi="微软雅黑" w:eastAsia="方正小标宋_GBK" w:cs="宋体"/>
          <w:b/>
          <w:color w:val="333333"/>
          <w:kern w:val="0"/>
          <w:sz w:val="44"/>
          <w:szCs w:val="44"/>
        </w:rPr>
      </w:pPr>
      <w:bookmarkStart w:id="0" w:name="_GoBack"/>
      <w:r>
        <w:rPr>
          <w:rFonts w:hint="eastAsia" w:ascii="方正小标宋_GBK" w:hAnsi="微软雅黑" w:eastAsia="方正小标宋_GBK" w:cs="宋体"/>
          <w:b/>
          <w:color w:val="333333"/>
          <w:kern w:val="0"/>
          <w:sz w:val="44"/>
          <w:szCs w:val="44"/>
        </w:rPr>
        <w:t>泰州市2023年度拟提名江苏省科学技术项目奖名单</w:t>
      </w:r>
    </w:p>
    <w:bookmarkEnd w:id="0"/>
    <w:tbl>
      <w:tblPr>
        <w:tblStyle w:val="4"/>
        <w:tblpPr w:leftFromText="180" w:rightFromText="180" w:vertAnchor="text" w:horzAnchor="margin" w:tblpXSpec="center" w:tblpY="3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905"/>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9" w:type="dxa"/>
            <w:vAlign w:val="center"/>
          </w:tcPr>
          <w:p>
            <w:pPr>
              <w:autoSpaceDE w:val="0"/>
              <w:autoSpaceDN w:val="0"/>
              <w:snapToGrid w:val="0"/>
              <w:spacing w:line="240" w:lineRule="exact"/>
              <w:jc w:val="center"/>
              <w:rPr>
                <w:rFonts w:ascii="仿宋" w:hAnsi="仿宋" w:eastAsia="仿宋" w:cs="Arial"/>
                <w:b/>
                <w:bCs/>
                <w:color w:val="000000"/>
                <w:kern w:val="0"/>
                <w:sz w:val="24"/>
                <w:szCs w:val="20"/>
              </w:rPr>
            </w:pPr>
            <w:r>
              <w:rPr>
                <w:rFonts w:ascii="仿宋" w:hAnsi="仿宋" w:eastAsia="仿宋" w:cs="Arial"/>
                <w:b/>
                <w:bCs/>
                <w:color w:val="000000"/>
                <w:kern w:val="0"/>
                <w:sz w:val="24"/>
                <w:szCs w:val="20"/>
              </w:rPr>
              <w:t>序号</w:t>
            </w:r>
          </w:p>
        </w:tc>
        <w:tc>
          <w:tcPr>
            <w:tcW w:w="3905" w:type="dxa"/>
            <w:vAlign w:val="center"/>
          </w:tcPr>
          <w:p>
            <w:pPr>
              <w:autoSpaceDE w:val="0"/>
              <w:autoSpaceDN w:val="0"/>
              <w:snapToGrid w:val="0"/>
              <w:spacing w:line="240" w:lineRule="exact"/>
              <w:jc w:val="center"/>
              <w:rPr>
                <w:rFonts w:ascii="仿宋" w:hAnsi="仿宋" w:eastAsia="仿宋" w:cs="Arial"/>
                <w:b/>
                <w:bCs/>
                <w:color w:val="000000"/>
                <w:kern w:val="0"/>
                <w:sz w:val="24"/>
                <w:szCs w:val="20"/>
              </w:rPr>
            </w:pPr>
            <w:r>
              <w:rPr>
                <w:rFonts w:ascii="仿宋" w:hAnsi="仿宋" w:eastAsia="仿宋" w:cs="Arial"/>
                <w:b/>
                <w:bCs/>
                <w:color w:val="000000"/>
                <w:kern w:val="0"/>
                <w:sz w:val="24"/>
                <w:szCs w:val="20"/>
              </w:rPr>
              <w:t>项目名称</w:t>
            </w:r>
            <w:r>
              <w:rPr>
                <w:rFonts w:hint="eastAsia" w:ascii="仿宋" w:hAnsi="仿宋" w:eastAsia="仿宋" w:cs="Arial"/>
                <w:b/>
                <w:bCs/>
                <w:color w:val="000000"/>
                <w:kern w:val="0"/>
                <w:sz w:val="24"/>
                <w:szCs w:val="20"/>
              </w:rPr>
              <w:t>（暂定）</w:t>
            </w:r>
          </w:p>
        </w:tc>
        <w:tc>
          <w:tcPr>
            <w:tcW w:w="4536" w:type="dxa"/>
            <w:vAlign w:val="center"/>
          </w:tcPr>
          <w:p>
            <w:pPr>
              <w:autoSpaceDE w:val="0"/>
              <w:autoSpaceDN w:val="0"/>
              <w:snapToGrid w:val="0"/>
              <w:spacing w:line="240" w:lineRule="exact"/>
              <w:jc w:val="center"/>
              <w:rPr>
                <w:rFonts w:ascii="仿宋" w:hAnsi="仿宋" w:eastAsia="仿宋" w:cs="Arial"/>
                <w:b/>
                <w:bCs/>
                <w:color w:val="000000"/>
                <w:kern w:val="0"/>
                <w:sz w:val="24"/>
                <w:szCs w:val="20"/>
              </w:rPr>
            </w:pPr>
            <w:r>
              <w:rPr>
                <w:rFonts w:ascii="仿宋" w:hAnsi="仿宋" w:eastAsia="仿宋" w:cs="Arial"/>
                <w:b/>
                <w:bCs/>
                <w:color w:val="000000"/>
                <w:kern w:val="0"/>
                <w:sz w:val="24"/>
                <w:szCs w:val="20"/>
              </w:rPr>
              <w:t>第一完成单位</w:t>
            </w:r>
          </w:p>
        </w:tc>
        <w:tc>
          <w:tcPr>
            <w:tcW w:w="1701" w:type="dxa"/>
            <w:vAlign w:val="center"/>
          </w:tcPr>
          <w:p>
            <w:pPr>
              <w:autoSpaceDE w:val="0"/>
              <w:autoSpaceDN w:val="0"/>
              <w:snapToGrid w:val="0"/>
              <w:spacing w:line="240" w:lineRule="exact"/>
              <w:jc w:val="center"/>
              <w:rPr>
                <w:rFonts w:ascii="仿宋" w:hAnsi="仿宋" w:eastAsia="仿宋" w:cs="Arial"/>
                <w:b/>
                <w:bCs/>
                <w:color w:val="000000"/>
                <w:kern w:val="0"/>
                <w:sz w:val="24"/>
                <w:szCs w:val="20"/>
              </w:rPr>
            </w:pPr>
            <w:r>
              <w:rPr>
                <w:rFonts w:ascii="仿宋" w:hAnsi="仿宋" w:eastAsia="仿宋" w:cs="Arial"/>
                <w:b/>
                <w:bCs/>
                <w:color w:val="000000"/>
                <w:kern w:val="0"/>
                <w:sz w:val="24"/>
                <w:szCs w:val="20"/>
              </w:rPr>
              <w:t>市</w:t>
            </w:r>
            <w:r>
              <w:rPr>
                <w:rFonts w:hint="eastAsia" w:ascii="仿宋" w:hAnsi="仿宋" w:eastAsia="仿宋" w:cs="Arial"/>
                <w:b/>
                <w:bCs/>
                <w:color w:val="000000"/>
                <w:kern w:val="0"/>
                <w:sz w:val="24"/>
                <w:szCs w:val="20"/>
              </w:rPr>
              <w:t>（</w:t>
            </w:r>
            <w:r>
              <w:rPr>
                <w:rFonts w:ascii="仿宋" w:hAnsi="仿宋" w:eastAsia="仿宋" w:cs="Arial"/>
                <w:b/>
                <w:bCs/>
                <w:color w:val="000000"/>
                <w:kern w:val="0"/>
                <w:sz w:val="24"/>
                <w:szCs w:val="20"/>
              </w:rPr>
              <w:t>区</w:t>
            </w:r>
            <w:r>
              <w:rPr>
                <w:rFonts w:hint="eastAsia" w:ascii="仿宋" w:hAnsi="仿宋" w:eastAsia="仿宋" w:cs="Arial"/>
                <w:b/>
                <w:b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等离子刻蚀机核心部件PM模块研发及产业化</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江苏先锋精密科技股份有限公司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2</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核电反应堆冷却剂系统大口径厚壁高性能主管道近净成形关键技术与应用</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江苏标新工业有限公司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3</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全球离心机诊断中心工业互联网平台研发与产业化</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江苏赛德力制药机械制造有限公司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4</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自回热精馏系统节能关键技术研发与产业化</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江苏乐科节能科技股份有限公司、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5</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高效节能钙基湿法脱硫塔研发及产业化</w:t>
            </w:r>
          </w:p>
        </w:tc>
        <w:tc>
          <w:tcPr>
            <w:tcW w:w="4536"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江苏民生重工有限公司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6</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高功密行星齿轮传动装置低振动长寿命高可靠性实现方法与智能运维技术</w:t>
            </w:r>
          </w:p>
        </w:tc>
        <w:tc>
          <w:tcPr>
            <w:tcW w:w="4536" w:type="dxa"/>
            <w:vAlign w:val="center"/>
          </w:tcPr>
          <w:p>
            <w:pPr>
              <w:autoSpaceDE w:val="0"/>
              <w:autoSpaceDN w:val="0"/>
              <w:snapToGrid w:val="0"/>
              <w:spacing w:line="300" w:lineRule="exact"/>
              <w:ind w:firstLine="720" w:firstLineChars="3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江苏泰隆减速机股份有限公司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7</w:t>
            </w:r>
          </w:p>
        </w:tc>
        <w:tc>
          <w:tcPr>
            <w:tcW w:w="3905" w:type="dxa"/>
            <w:vAlign w:val="center"/>
          </w:tcPr>
          <w:p>
            <w:pPr>
              <w:autoSpaceDE w:val="0"/>
              <w:autoSpaceDN w:val="0"/>
              <w:snapToGrid w:val="0"/>
              <w:spacing w:line="300" w:lineRule="exact"/>
              <w:jc w:val="lef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微生物多糖胶体分子量可控发酵生产技术与产业化</w:t>
            </w:r>
          </w:p>
        </w:tc>
        <w:tc>
          <w:tcPr>
            <w:tcW w:w="4536" w:type="dxa"/>
            <w:vAlign w:val="center"/>
          </w:tcPr>
          <w:p>
            <w:pPr>
              <w:widowControl/>
              <w:spacing w:line="300" w:lineRule="exact"/>
              <w:ind w:firstLine="720" w:firstLineChars="300"/>
              <w:jc w:val="lef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泰兴市东圣生物科技有限公司</w:t>
            </w:r>
          </w:p>
        </w:tc>
        <w:tc>
          <w:tcPr>
            <w:tcW w:w="1701" w:type="dxa"/>
            <w:vAlign w:val="center"/>
          </w:tcPr>
          <w:p>
            <w:pPr>
              <w:spacing w:line="300" w:lineRule="exact"/>
              <w:jc w:val="center"/>
              <w:rPr>
                <w:rFonts w:ascii="Times New Roman" w:hAnsi="Times New Roman" w:eastAsia="宋体" w:cs="Times New Roman"/>
                <w:kern w:val="0"/>
                <w:sz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8</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特种高级脂肪胺及其衍生物助剂的合成技术及应用</w:t>
            </w:r>
          </w:p>
        </w:tc>
        <w:tc>
          <w:tcPr>
            <w:tcW w:w="4536" w:type="dxa"/>
            <w:vAlign w:val="center"/>
          </w:tcPr>
          <w:p>
            <w:pPr>
              <w:spacing w:line="300" w:lineRule="exact"/>
              <w:ind w:firstLine="720" w:firstLineChars="3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江苏万盛大伟化学有限公司</w:t>
            </w:r>
          </w:p>
        </w:tc>
        <w:tc>
          <w:tcPr>
            <w:tcW w:w="1701" w:type="dxa"/>
            <w:vAlign w:val="center"/>
          </w:tcPr>
          <w:p>
            <w:pPr>
              <w:spacing w:line="300" w:lineRule="exact"/>
              <w:jc w:val="center"/>
              <w:rPr>
                <w:rFonts w:ascii="Times New Roman" w:hAnsi="Times New Roman" w:eastAsia="宋体" w:cs="Times New Roman"/>
                <w:kern w:val="0"/>
                <w:sz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9</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193nmArF光刻胶用(甲基)可烯酸型脂环族环氧单体TTA15/TTA16合成工艺</w:t>
            </w:r>
          </w:p>
        </w:tc>
        <w:tc>
          <w:tcPr>
            <w:tcW w:w="4536" w:type="dxa"/>
            <w:vAlign w:val="center"/>
          </w:tcPr>
          <w:p>
            <w:pPr>
              <w:autoSpaceDE w:val="0"/>
              <w:autoSpaceDN w:val="0"/>
              <w:snapToGrid w:val="0"/>
              <w:spacing w:line="300" w:lineRule="exact"/>
              <w:ind w:firstLine="360" w:firstLineChars="15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江苏泰特尔新材料科技股份有限公司</w:t>
            </w:r>
          </w:p>
        </w:tc>
        <w:tc>
          <w:tcPr>
            <w:tcW w:w="1701" w:type="dxa"/>
            <w:vAlign w:val="center"/>
          </w:tcPr>
          <w:p>
            <w:pPr>
              <w:spacing w:line="300" w:lineRule="exact"/>
              <w:jc w:val="center"/>
              <w:rPr>
                <w:rFonts w:ascii="Times New Roman" w:hAnsi="Times New Roman" w:eastAsia="宋体" w:cs="Times New Roman"/>
                <w:kern w:val="0"/>
                <w:sz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10</w:t>
            </w:r>
          </w:p>
        </w:tc>
        <w:tc>
          <w:tcPr>
            <w:tcW w:w="3905" w:type="dxa"/>
            <w:vAlign w:val="center"/>
          </w:tcPr>
          <w:p>
            <w:pPr>
              <w:autoSpaceDE w:val="0"/>
              <w:autoSpaceDN w:val="0"/>
              <w:snapToGrid w:val="0"/>
              <w:spacing w:line="240" w:lineRule="exact"/>
              <w:rPr>
                <w:rFonts w:ascii="仿宋" w:hAnsi="仿宋" w:eastAsia="仿宋" w:cs="Arial"/>
                <w:bCs/>
                <w:color w:val="000000"/>
                <w:kern w:val="0"/>
                <w:sz w:val="24"/>
                <w:szCs w:val="20"/>
              </w:rPr>
            </w:pPr>
            <w:r>
              <w:rPr>
                <w:rFonts w:hint="eastAsia" w:ascii="仿宋" w:hAnsi="仿宋" w:eastAsia="仿宋" w:cs="Times New Roman"/>
                <w:sz w:val="24"/>
              </w:rPr>
              <w:t>车载超静音发电机组</w:t>
            </w:r>
          </w:p>
        </w:tc>
        <w:tc>
          <w:tcPr>
            <w:tcW w:w="4536" w:type="dxa"/>
            <w:vAlign w:val="center"/>
          </w:tcPr>
          <w:p>
            <w:pPr>
              <w:ind w:firstLine="600" w:firstLineChars="250"/>
              <w:rPr>
                <w:rFonts w:ascii="仿宋" w:hAnsi="仿宋" w:eastAsia="仿宋" w:cs="Arial"/>
                <w:bCs/>
                <w:color w:val="000000"/>
                <w:kern w:val="0"/>
                <w:sz w:val="24"/>
                <w:szCs w:val="20"/>
              </w:rPr>
            </w:pPr>
            <w:r>
              <w:rPr>
                <w:rFonts w:ascii="仿宋" w:hAnsi="仿宋" w:eastAsia="仿宋" w:cs="Arial"/>
                <w:bCs/>
                <w:color w:val="000000"/>
                <w:kern w:val="0"/>
                <w:sz w:val="24"/>
                <w:szCs w:val="20"/>
              </w:rPr>
              <w:t>江苏中奕和创智能科技有限公司</w:t>
            </w:r>
          </w:p>
        </w:tc>
        <w:tc>
          <w:tcPr>
            <w:tcW w:w="1701" w:type="dxa"/>
            <w:vAlign w:val="center"/>
          </w:tcPr>
          <w:p>
            <w:pPr>
              <w:spacing w:line="300" w:lineRule="exact"/>
              <w:jc w:val="center"/>
              <w:rPr>
                <w:rFonts w:ascii="Times New Roman" w:hAnsi="Times New Roman" w:eastAsia="宋体" w:cs="Times New Roman"/>
                <w:kern w:val="0"/>
                <w:sz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11</w:t>
            </w:r>
          </w:p>
        </w:tc>
        <w:tc>
          <w:tcPr>
            <w:tcW w:w="3905" w:type="dxa"/>
            <w:vAlign w:val="center"/>
          </w:tcPr>
          <w:p>
            <w:pPr>
              <w:autoSpaceDE w:val="0"/>
              <w:autoSpaceDN w:val="0"/>
              <w:snapToGrid w:val="0"/>
              <w:spacing w:line="240" w:lineRule="exact"/>
              <w:rPr>
                <w:rFonts w:ascii="仿宋_GB2312" w:hAnsi="仿宋_GB2312" w:eastAsia="仿宋_GB2312" w:cs="仿宋_GB2312"/>
                <w:color w:val="FF0000"/>
                <w:sz w:val="24"/>
              </w:rPr>
            </w:pPr>
            <w:r>
              <w:rPr>
                <w:rFonts w:hint="eastAsia" w:ascii="仿宋" w:hAnsi="仿宋" w:eastAsia="仿宋" w:cs="Arial"/>
                <w:bCs/>
                <w:color w:val="000000"/>
                <w:kern w:val="0"/>
                <w:sz w:val="24"/>
                <w:szCs w:val="20"/>
              </w:rPr>
              <w:t>车载型雷达配套冷却系统</w:t>
            </w:r>
          </w:p>
        </w:tc>
        <w:tc>
          <w:tcPr>
            <w:tcW w:w="4536" w:type="dxa"/>
            <w:vAlign w:val="center"/>
          </w:tcPr>
          <w:p>
            <w:pPr>
              <w:ind w:firstLine="600" w:firstLineChars="250"/>
              <w:rPr>
                <w:rFonts w:ascii="仿宋_GB2312" w:hAnsi="仿宋_GB2312" w:eastAsia="仿宋_GB2312" w:cs="仿宋_GB2312"/>
                <w:color w:val="FF0000"/>
                <w:sz w:val="24"/>
              </w:rPr>
            </w:pPr>
            <w:r>
              <w:rPr>
                <w:rFonts w:hint="eastAsia" w:ascii="仿宋" w:hAnsi="仿宋" w:eastAsia="仿宋" w:cs="Arial"/>
                <w:bCs/>
                <w:color w:val="000000"/>
                <w:kern w:val="0"/>
                <w:sz w:val="24"/>
                <w:szCs w:val="20"/>
              </w:rPr>
              <w:t>中天（江苏）防务装备有限公司</w:t>
            </w:r>
          </w:p>
        </w:tc>
        <w:tc>
          <w:tcPr>
            <w:tcW w:w="1701" w:type="dxa"/>
            <w:vAlign w:val="center"/>
          </w:tcPr>
          <w:p>
            <w:pPr>
              <w:spacing w:line="300" w:lineRule="exact"/>
              <w:jc w:val="center"/>
              <w:rPr>
                <w:rFonts w:ascii="Times New Roman" w:hAnsi="Times New Roman" w:eastAsia="宋体" w:cs="Times New Roman"/>
                <w:kern w:val="0"/>
                <w:sz w:val="20"/>
              </w:rPr>
            </w:pPr>
            <w:r>
              <w:rPr>
                <w:rFonts w:hint="eastAsia" w:ascii="仿宋" w:hAnsi="仿宋" w:eastAsia="仿宋" w:cs="Arial"/>
                <w:bCs/>
                <w:color w:val="000000"/>
                <w:kern w:val="0"/>
                <w:sz w:val="24"/>
                <w:szCs w:val="20"/>
              </w:rPr>
              <w:t>泰兴市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12</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精品蔬菜调味料全产业链生产关键技术与产业化应用</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顶能科技有限公司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w:t>
            </w:r>
            <w:r>
              <w:rPr>
                <w:rFonts w:hint="eastAsia" w:ascii="仿宋" w:hAnsi="仿宋" w:eastAsia="仿宋" w:cs="Arial"/>
                <w:bCs/>
                <w:color w:val="000000"/>
                <w:kern w:val="0"/>
                <w:sz w:val="24"/>
                <w:szCs w:val="20"/>
              </w:rPr>
              <w:t>3</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核电焊接与增材用高端合金丝材的研发与应用</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江苏兴海特钢有限公司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1</w:t>
            </w:r>
            <w:r>
              <w:rPr>
                <w:rFonts w:hint="eastAsia" w:ascii="仿宋" w:hAnsi="仿宋" w:eastAsia="仿宋" w:cs="Arial"/>
                <w:bCs/>
                <w:color w:val="000000"/>
                <w:kern w:val="0"/>
                <w:sz w:val="24"/>
                <w:szCs w:val="20"/>
              </w:rPr>
              <w:t>4</w:t>
            </w:r>
          </w:p>
        </w:tc>
        <w:tc>
          <w:tcPr>
            <w:tcW w:w="3905" w:type="dxa"/>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高性能双相不锈钢丝绳的关键制备技术及应用</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江苏亚盛金属制品有限公司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15</w:t>
            </w:r>
          </w:p>
        </w:tc>
        <w:tc>
          <w:tcPr>
            <w:tcW w:w="3905" w:type="dxa"/>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消防行业PFOS替代关键技术及产业化应用</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江苏锁龙消防科技股份有限公司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16</w:t>
            </w:r>
          </w:p>
        </w:tc>
        <w:tc>
          <w:tcPr>
            <w:tcW w:w="3905" w:type="dxa"/>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多层共挤一次性生物医用膜系统的关键技术及其产业化</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江苏博生医用新材料股份有限公司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兴化市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17</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ascii="仿宋" w:hAnsi="仿宋" w:eastAsia="仿宋" w:cs="Arial"/>
                <w:bCs/>
                <w:color w:val="000000"/>
                <w:kern w:val="0"/>
                <w:sz w:val="24"/>
                <w:szCs w:val="20"/>
              </w:rPr>
              <w:t>高效低成本P型双面电池表面处理关键技术开发与应用</w:t>
            </w:r>
          </w:p>
        </w:tc>
        <w:tc>
          <w:tcPr>
            <w:tcW w:w="4536" w:type="dxa"/>
            <w:vAlign w:val="center"/>
          </w:tcPr>
          <w:p>
            <w:pPr>
              <w:spacing w:line="300" w:lineRule="exact"/>
              <w:ind w:firstLine="840" w:firstLineChars="350"/>
              <w:rPr>
                <w:rFonts w:ascii="仿宋" w:hAnsi="仿宋" w:eastAsia="仿宋" w:cs="Arial"/>
                <w:bCs/>
                <w:color w:val="000000"/>
                <w:kern w:val="0"/>
                <w:sz w:val="24"/>
                <w:szCs w:val="20"/>
              </w:rPr>
            </w:pPr>
            <w:r>
              <w:rPr>
                <w:rFonts w:ascii="仿宋" w:hAnsi="仿宋" w:eastAsia="仿宋" w:cs="Arial"/>
                <w:bCs/>
                <w:color w:val="000000"/>
                <w:kern w:val="0"/>
                <w:sz w:val="24"/>
                <w:szCs w:val="20"/>
              </w:rPr>
              <w:t>泰州隆基乐叶光伏科技有限公司</w:t>
            </w:r>
          </w:p>
        </w:tc>
        <w:tc>
          <w:tcPr>
            <w:tcW w:w="1701" w:type="dxa"/>
            <w:vAlign w:val="center"/>
          </w:tcPr>
          <w:p>
            <w:pPr>
              <w:autoSpaceDE w:val="0"/>
              <w:autoSpaceDN w:val="0"/>
              <w:snapToGrid w:val="0"/>
              <w:spacing w:line="300" w:lineRule="exact"/>
              <w:ind w:firstLine="360" w:firstLineChars="150"/>
              <w:rPr>
                <w:rFonts w:ascii="仿宋" w:hAnsi="仿宋" w:eastAsia="仿宋" w:cs="Arial"/>
                <w:bCs/>
                <w:color w:val="000000"/>
                <w:kern w:val="0"/>
                <w:sz w:val="24"/>
                <w:szCs w:val="20"/>
              </w:rPr>
            </w:pPr>
            <w:r>
              <w:rPr>
                <w:rFonts w:ascii="仿宋" w:hAnsi="仿宋" w:eastAsia="仿宋" w:cs="Arial"/>
                <w:bCs/>
                <w:color w:val="000000"/>
                <w:kern w:val="0"/>
                <w:sz w:val="24"/>
                <w:szCs w:val="20"/>
              </w:rPr>
              <w:t>海陵区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18</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高功率储能系统关键技术及应用</w:t>
            </w:r>
          </w:p>
        </w:tc>
        <w:tc>
          <w:tcPr>
            <w:tcW w:w="4536" w:type="dxa"/>
            <w:vAlign w:val="center"/>
          </w:tcPr>
          <w:p>
            <w:pPr>
              <w:spacing w:line="300" w:lineRule="exact"/>
              <w:ind w:firstLine="720" w:firstLineChars="3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江苏春兰清洁能源研究院有限公司</w:t>
            </w:r>
          </w:p>
        </w:tc>
        <w:tc>
          <w:tcPr>
            <w:tcW w:w="1701" w:type="dxa"/>
            <w:vAlign w:val="center"/>
          </w:tcPr>
          <w:p>
            <w:pPr>
              <w:autoSpaceDE w:val="0"/>
              <w:autoSpaceDN w:val="0"/>
              <w:snapToGrid w:val="0"/>
              <w:spacing w:line="300" w:lineRule="exact"/>
              <w:ind w:firstLine="360" w:firstLineChars="15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海陵区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19</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高性能长循环固态锂离子电池储能系统关键技术研发及产业化</w:t>
            </w:r>
          </w:p>
        </w:tc>
        <w:tc>
          <w:tcPr>
            <w:tcW w:w="4536" w:type="dxa"/>
            <w:vAlign w:val="center"/>
          </w:tcPr>
          <w:p>
            <w:pPr>
              <w:autoSpaceDE w:val="0"/>
              <w:autoSpaceDN w:val="0"/>
              <w:snapToGrid w:val="0"/>
              <w:spacing w:line="300" w:lineRule="exact"/>
              <w:ind w:left="315" w:leftChars="150" w:firstLine="600" w:firstLineChars="25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双登集团股份有限公司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姜堰区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20</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全国产化 850nm 25G光通信VCSEL芯片</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华</w:t>
            </w:r>
            <w:r>
              <w:rPr>
                <w:rFonts w:ascii="仿宋" w:hAnsi="仿宋" w:eastAsia="仿宋" w:cs="Arial"/>
                <w:bCs/>
                <w:color w:val="000000"/>
                <w:kern w:val="0"/>
                <w:sz w:val="24"/>
                <w:szCs w:val="20"/>
              </w:rPr>
              <w:t>芯半导体科技有限公司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姜堰区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21</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ascii="仿宋" w:hAnsi="仿宋" w:eastAsia="仿宋" w:cs="Arial"/>
                <w:bCs/>
                <w:color w:val="000000"/>
                <w:kern w:val="0"/>
                <w:sz w:val="24"/>
                <w:szCs w:val="20"/>
              </w:rPr>
              <w:t>12英寸晶圆湿法刻蚀清洗设备的关键技术研发及产业化</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江苏亚电科技股份有限公司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姜堰区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22</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高速飞行列车用耐环境高压超高功率连接器及组件</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泰州市航宇电器有限公司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23</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用于5G通信半导体芯片集成超大功率高绝缘型引线框架及涂胶方法关键技术</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泰州友润电子科技股份有限公司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24</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术中神经监测导航系统的研发及产业化</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江苏百宁盈创医疗科技有限公司</w:t>
            </w:r>
          </w:p>
        </w:tc>
        <w:tc>
          <w:tcPr>
            <w:tcW w:w="1701"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25</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猪繁殖与呼吸综合征防控关键技术创新集成与应用</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华威特（江苏）生物制药有限公司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26</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JHY-USV75型智能搜救无人艇关键技术研发及产业化</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泰州市金海运船用设备有限责任公司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27</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基于国家一类新药技术的鼻腔喷雾系列产品研发及产业化</w:t>
            </w:r>
          </w:p>
        </w:tc>
        <w:tc>
          <w:tcPr>
            <w:tcW w:w="4536"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江苏长泰药业股份有限公司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28</w:t>
            </w:r>
          </w:p>
        </w:tc>
        <w:tc>
          <w:tcPr>
            <w:tcW w:w="3905" w:type="dxa"/>
            <w:vAlign w:val="center"/>
          </w:tcPr>
          <w:p>
            <w:pPr>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重组英夫利西单抗的关键技术研发及应用</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泰州迈博太科药业有限公司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29</w:t>
            </w:r>
          </w:p>
        </w:tc>
        <w:tc>
          <w:tcPr>
            <w:tcW w:w="3905" w:type="dxa"/>
            <w:vAlign w:val="center"/>
          </w:tcPr>
          <w:p>
            <w:pPr>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基于药品一致性评价的丙泊酚中/长链脂肪乳注射液的研发及产业化</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江苏盈科生物制药有限公司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30</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双晶型抗肿瘤药枸橼酸他莫昔芬的开发及产业化研究</w:t>
            </w:r>
          </w:p>
        </w:tc>
        <w:tc>
          <w:tcPr>
            <w:tcW w:w="4536"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扬子江药业集团江苏海慈生物药业有限公司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医药高新区（高港区）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31</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Mittag</w:t>
            </w:r>
            <w:r>
              <w:rPr>
                <w:rFonts w:ascii="仿宋" w:hAnsi="仿宋" w:eastAsia="仿宋" w:cs="Arial"/>
                <w:bCs/>
                <w:color w:val="000000"/>
                <w:kern w:val="0"/>
                <w:sz w:val="24"/>
                <w:szCs w:val="20"/>
              </w:rPr>
              <w:t>-</w:t>
            </w:r>
            <w:r>
              <w:rPr>
                <w:rFonts w:hint="eastAsia" w:ascii="仿宋" w:hAnsi="仿宋" w:eastAsia="仿宋" w:cs="Arial"/>
                <w:bCs/>
                <w:color w:val="000000"/>
                <w:kern w:val="0"/>
                <w:sz w:val="24"/>
                <w:szCs w:val="20"/>
              </w:rPr>
              <w:t>Leffler 理论与张量范畴不变量研究</w:t>
            </w:r>
          </w:p>
        </w:tc>
        <w:tc>
          <w:tcPr>
            <w:tcW w:w="4536" w:type="dxa"/>
            <w:vAlign w:val="center"/>
          </w:tcPr>
          <w:p>
            <w:pPr>
              <w:spacing w:line="300" w:lineRule="exact"/>
              <w:ind w:firstLine="1920" w:firstLineChars="8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泰州学院</w:t>
            </w:r>
          </w:p>
        </w:tc>
        <w:tc>
          <w:tcPr>
            <w:tcW w:w="1701"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32</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车联网车路协同环境下数据安全与隐私保护技术</w:t>
            </w:r>
          </w:p>
        </w:tc>
        <w:tc>
          <w:tcPr>
            <w:tcW w:w="4536" w:type="dxa"/>
            <w:vAlign w:val="center"/>
          </w:tcPr>
          <w:p>
            <w:pPr>
              <w:autoSpaceDE w:val="0"/>
              <w:autoSpaceDN w:val="0"/>
              <w:snapToGrid w:val="0"/>
              <w:spacing w:line="300" w:lineRule="exact"/>
              <w:ind w:firstLine="1920" w:firstLineChars="8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泰州学院</w:t>
            </w:r>
          </w:p>
        </w:tc>
        <w:tc>
          <w:tcPr>
            <w:tcW w:w="1701"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33</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支撑超大规模新能源发展的配电网网格化规划运行关键技术及应用</w:t>
            </w:r>
          </w:p>
        </w:tc>
        <w:tc>
          <w:tcPr>
            <w:tcW w:w="4536" w:type="dxa"/>
            <w:vAlign w:val="center"/>
          </w:tcPr>
          <w:p>
            <w:pPr>
              <w:spacing w:line="300" w:lineRule="exact"/>
              <w:ind w:firstLine="1080" w:firstLineChars="45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国网江苏省电力有限公司</w:t>
            </w:r>
          </w:p>
        </w:tc>
        <w:tc>
          <w:tcPr>
            <w:tcW w:w="1701"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34</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面向行业用户的网络安全态势分析关键技术研究与示范应用</w:t>
            </w:r>
          </w:p>
        </w:tc>
        <w:tc>
          <w:tcPr>
            <w:tcW w:w="4536" w:type="dxa"/>
            <w:vAlign w:val="center"/>
          </w:tcPr>
          <w:p>
            <w:pPr>
              <w:autoSpaceDE w:val="0"/>
              <w:autoSpaceDN w:val="0"/>
              <w:snapToGrid w:val="0"/>
              <w:spacing w:line="300" w:lineRule="exact"/>
              <w:ind w:left="315" w:leftChars="150" w:firstLine="1440" w:firstLineChars="600"/>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泰州市公安局</w:t>
            </w:r>
          </w:p>
        </w:tc>
        <w:tc>
          <w:tcPr>
            <w:tcW w:w="1701"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9" w:type="dxa"/>
            <w:vAlign w:val="center"/>
          </w:tcPr>
          <w:p>
            <w:pPr>
              <w:autoSpaceDE w:val="0"/>
              <w:autoSpaceDN w:val="0"/>
              <w:snapToGrid w:val="0"/>
              <w:spacing w:line="300" w:lineRule="exact"/>
              <w:jc w:val="center"/>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35</w:t>
            </w:r>
          </w:p>
        </w:tc>
        <w:tc>
          <w:tcPr>
            <w:tcW w:w="3905" w:type="dxa"/>
            <w:vAlign w:val="center"/>
          </w:tcPr>
          <w:p>
            <w:pPr>
              <w:autoSpaceDE w:val="0"/>
              <w:autoSpaceDN w:val="0"/>
              <w:snapToGrid w:val="0"/>
              <w:spacing w:line="300" w:lineRule="exact"/>
              <w:rPr>
                <w:rFonts w:ascii="仿宋" w:hAnsi="仿宋" w:eastAsia="仿宋" w:cs="Arial"/>
                <w:bCs/>
                <w:color w:val="000000"/>
                <w:kern w:val="0"/>
                <w:sz w:val="24"/>
                <w:szCs w:val="20"/>
              </w:rPr>
            </w:pPr>
            <w:r>
              <w:rPr>
                <w:rFonts w:hint="eastAsia" w:ascii="仿宋" w:hAnsi="仿宋" w:eastAsia="仿宋" w:cs="Arial"/>
                <w:bCs/>
                <w:color w:val="000000"/>
                <w:kern w:val="0"/>
                <w:sz w:val="24"/>
                <w:szCs w:val="20"/>
              </w:rPr>
              <w:t>基于潜在情绪识别分析关键技术的研究与应用</w:t>
            </w:r>
          </w:p>
        </w:tc>
        <w:tc>
          <w:tcPr>
            <w:tcW w:w="4536" w:type="dxa"/>
            <w:vAlign w:val="center"/>
          </w:tcPr>
          <w:p>
            <w:pPr>
              <w:pStyle w:val="2"/>
              <w:snapToGrid w:val="0"/>
              <w:spacing w:line="300" w:lineRule="exact"/>
              <w:ind w:right="301" w:firstLine="1200" w:firstLineChars="500"/>
              <w:rPr>
                <w:rFonts w:ascii="仿宋" w:hAnsi="仿宋" w:eastAsia="仿宋" w:cs="Arial"/>
                <w:bCs/>
                <w:color w:val="000000"/>
                <w:sz w:val="24"/>
                <w:szCs w:val="20"/>
                <w:lang w:eastAsia="zh-CN"/>
              </w:rPr>
            </w:pPr>
            <w:r>
              <w:rPr>
                <w:rFonts w:hint="eastAsia" w:ascii="仿宋" w:hAnsi="仿宋" w:eastAsia="仿宋" w:cs="Arial"/>
                <w:bCs/>
                <w:color w:val="000000"/>
                <w:sz w:val="24"/>
                <w:szCs w:val="20"/>
                <w:lang w:eastAsia="zh-CN"/>
              </w:rPr>
              <w:t>泰州市公安局姜堰分局</w:t>
            </w:r>
          </w:p>
        </w:tc>
        <w:tc>
          <w:tcPr>
            <w:tcW w:w="1701" w:type="dxa"/>
            <w:vAlign w:val="center"/>
          </w:tcPr>
          <w:p>
            <w:pPr>
              <w:spacing w:line="300" w:lineRule="exact"/>
              <w:jc w:val="center"/>
              <w:rPr>
                <w:rFonts w:ascii="仿宋" w:hAnsi="仿宋" w:eastAsia="仿宋" w:cs="Arial"/>
                <w:bCs/>
                <w:color w:val="000000"/>
                <w:kern w:val="0"/>
                <w:sz w:val="24"/>
                <w:szCs w:val="20"/>
              </w:rPr>
            </w:pPr>
            <w:r>
              <w:rPr>
                <w:rFonts w:ascii="仿宋" w:hAnsi="仿宋" w:eastAsia="仿宋" w:cs="Arial"/>
                <w:bCs/>
                <w:color w:val="000000"/>
                <w:kern w:val="0"/>
                <w:sz w:val="24"/>
                <w:szCs w:val="20"/>
              </w:rPr>
              <w:t>市直</w:t>
            </w:r>
          </w:p>
        </w:tc>
      </w:tr>
    </w:tbl>
    <w:p>
      <w:pPr>
        <w:rPr>
          <w:rFonts w:ascii="Times New Roman" w:hAnsi="Times New Roman" w:eastAsia="方正小标宋简体" w:cs="Times New Roman"/>
          <w:sz w:val="32"/>
          <w:szCs w:val="40"/>
        </w:rPr>
      </w:pPr>
    </w:p>
    <w:p>
      <w:pPr>
        <w:spacing w:line="600" w:lineRule="exact"/>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19156818"/>
    <w:rsid w:val="1915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8"/>
      <w:szCs w:val="28"/>
      <w:lang w:eastAsia="en-US"/>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2024-02-29T08:39:00Z</dcterms:created>
  <dc:creator>FanJJ</dc:creator>
  <cp:lastModifiedBy>FanJJ</cp:lastModifiedBy>
  <dcterms:modified xsi:type="dcterms:W3CDTF">2024-02-29T08:39:58Z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85412E676A0A48238D75C3DACA5C1948_11</vt:lpwstr>
  </property>
</Properties>
</file>