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Times New Roman"/>
          <w:lang w:val="en-US" w:eastAsia="zh-CN"/>
        </w:rPr>
      </w:pPr>
      <w:r>
        <w:rPr>
          <w:rFonts w:ascii="黑体" w:hAnsi="黑体" w:eastAsia="黑体" w:cs="Times New Roman"/>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29"/>
                              <w:shd w:val="clear"/>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59264;mso-width-relative:page;mso-height-relative:page;" filled="f" stroked="f" coordsize="21600,21600" o:gfxdata="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1+O7YAAAACwEAAA8AAAAAAAAAAQAgAAAAOAAA&#10;AGRycy9kb3ducmV2LnhtbFBLAQIUABQAAAAIAIdO4kDM3w308gEAANMDAAAOAAAAAAAAAAEAIAAA&#10;AD0BAABkcnMvZTJvRG9jLnhtbFBLBQYAAAAABgAGAFkBAAChBQAAAAA=&#10;">
                <v:fill on="f" focussize="0,0"/>
                <v:stroke on="f"/>
                <v:imagedata o:title=""/>
                <o:lock v:ext="edit" aspectratio="f"/>
                <v:textbox style="mso-fit-shape-to-text:t;">
                  <w:txbxContent>
                    <w:p>
                      <w:pPr>
                        <w:pStyle w:val="29"/>
                        <w:shd w:val="clear"/>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rPr>
        <w:t xml:space="preserve">ICS </w:t>
      </w:r>
      <w:r>
        <w:rPr>
          <w:rFonts w:hint="eastAsia" w:ascii="黑体" w:hAnsi="黑体" w:eastAsia="黑体" w:cs="Times New Roman"/>
          <w:lang w:val="en-US" w:eastAsia="zh-CN"/>
        </w:rPr>
        <w:t>35</w:t>
      </w:r>
      <w:r>
        <w:rPr>
          <w:rFonts w:ascii="黑体" w:hAnsi="黑体" w:eastAsia="黑体" w:cs="Times New Roman"/>
        </w:rPr>
        <w:t>.</w:t>
      </w:r>
      <w:r>
        <w:rPr>
          <w:rFonts w:hint="eastAsia" w:ascii="黑体" w:hAnsi="黑体" w:eastAsia="黑体" w:cs="Times New Roman"/>
          <w:lang w:val="en-US" w:eastAsia="zh-CN"/>
        </w:rPr>
        <w:t>240</w:t>
      </w:r>
      <w:r>
        <w:rPr>
          <w:rFonts w:ascii="黑体" w:hAnsi="黑体" w:eastAsia="黑体" w:cs="Times New Roman"/>
        </w:rPr>
        <w:t>.</w:t>
      </w:r>
      <w:r>
        <w:rPr>
          <w:rFonts w:hint="eastAsia" w:ascii="黑体" w:hAnsi="黑体" w:eastAsia="黑体" w:cs="Times New Roman"/>
          <w:lang w:val="en-US" w:eastAsia="zh-CN"/>
        </w:rPr>
        <w:t>01</w:t>
      </w:r>
    </w:p>
    <w:p>
      <w:pPr>
        <w:rPr>
          <w:rFonts w:ascii="黑体" w:hAnsi="黑体" w:eastAsia="黑体" w:cs="Times New Roman"/>
        </w:rPr>
      </w:pPr>
      <w:r>
        <w:rPr>
          <w:rFonts w:ascii="黑体" w:hAnsi="黑体" w:eastAsia="黑体" w:cs="Times New Roman"/>
        </w:rPr>
        <w:t xml:space="preserve">CCS </w:t>
      </w:r>
      <w:r>
        <w:rPr>
          <w:rFonts w:hint="eastAsia" w:ascii="黑体" w:hAnsi="黑体" w:eastAsia="黑体" w:cs="Times New Roman"/>
          <w:lang w:val="en-US" w:eastAsia="zh-CN"/>
        </w:rPr>
        <w:t>L</w:t>
      </w:r>
      <w:r>
        <w:rPr>
          <w:rFonts w:ascii="黑体" w:hAnsi="黑体" w:eastAsia="黑体" w:cs="Times New Roman"/>
        </w:rPr>
        <w:t xml:space="preserve"> </w:t>
      </w:r>
      <w:r>
        <w:rPr>
          <w:rFonts w:hint="eastAsia" w:ascii="黑体" w:hAnsi="黑体" w:eastAsia="黑体" w:cs="Times New Roman"/>
          <w:lang w:val="en-US" w:eastAsia="zh-CN"/>
        </w:rPr>
        <w:t>70</w:t>
      </w:r>
      <w:r>
        <w:rPr>
          <w:rFonts w:ascii="黑体" w:hAnsi="黑体" w:eastAsia="黑体" w:cs="Times New Roman"/>
        </w:rPr>
        <w:t xml:space="preserve"> </w:t>
      </w:r>
    </w:p>
    <w:p>
      <w:pPr>
        <w:rPr>
          <w:rFonts w:ascii="黑体" w:hAnsi="黑体" w:eastAsia="黑体"/>
        </w:rPr>
      </w:pPr>
    </w:p>
    <w:p>
      <w:pPr>
        <w:autoSpaceDE w:val="0"/>
        <w:autoSpaceDN w:val="0"/>
        <w:adjustRightInd w:val="0"/>
        <w:jc w:val="distribute"/>
        <w:rPr>
          <w:rFonts w:ascii="方正小标宋_GBK" w:eastAsia="方正小标宋_GBK" w:cs="Dotum,Bold"/>
          <w:bCs/>
          <w:snapToGrid w:val="0"/>
          <w:kern w:val="0"/>
          <w:sz w:val="52"/>
          <w:szCs w:val="52"/>
        </w:rPr>
      </w:pP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topMargin">
                  <wp:posOffset>1181100</wp:posOffset>
                </wp:positionV>
                <wp:extent cx="6120130" cy="615950"/>
                <wp:effectExtent l="0" t="0" r="13970" b="12700"/>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7.25pt;margin-top:93pt;height:48.5pt;width:481.9pt;mso-position-horizontal-relative:page;mso-position-vertical-relative:page;z-index:251662336;mso-width-relative:page;mso-height-relative:page;" filled="f" stroked="t" coordsize="21600,21600" o:gfxdata="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fvVzw1wAAAAoBAAAPAAAAAAAAAAEAIAAAADgA&#10;AABkcnMvZG93bnJldi54bWxQSwECFAAUAAAACACHTuJAI3tgmi0CAABQBAAADgAAAAAAAAABACAA&#10;AAA8AQAAZHJzL2Uyb0RvYy54bWxQSwUGAAAAAAYABgBZAQAA2wUAAAAA&#10;">
                <v:fill on="f"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rPr>
      </w:pPr>
      <w:r>
        <w:rPr>
          <w:rFonts w:hint="eastAsia" w:ascii="黑体" w:hAnsi="黑体" w:eastAsia="黑体"/>
        </w:rPr>
        <w:t xml:space="preserve">                                                                   </w:t>
      </w:r>
      <w:r>
        <w:rPr>
          <w:rFonts w:hint="eastAsia" w:ascii="黑体" w:hAnsi="黑体" w:eastAsia="黑体"/>
          <w:kern w:val="0"/>
          <w:sz w:val="28"/>
          <w:szCs w:val="28"/>
        </w:rPr>
        <w:t xml:space="preserve">  </w:t>
      </w:r>
    </w:p>
    <w:p>
      <w:pPr>
        <w:autoSpaceDE w:val="0"/>
        <w:autoSpaceDN w:val="0"/>
        <w:adjustRightInd w:val="0"/>
        <w:spacing w:line="3686" w:lineRule="exact"/>
        <w:jc w:val="center"/>
        <w:rPr>
          <w:rFonts w:ascii="黑体" w:hAnsi="黑体" w:eastAsia="黑体"/>
        </w:rPr>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rightMargin">
                  <wp:posOffset>-1781175</wp:posOffset>
                </wp:positionH>
                <wp:positionV relativeFrom="topMargin">
                  <wp:posOffset>2238375</wp:posOffset>
                </wp:positionV>
                <wp:extent cx="1927225" cy="304800"/>
                <wp:effectExtent l="0" t="0" r="15875" b="19050"/>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12.5pt;margin-top:176.25pt;height:24pt;width:151.75pt;mso-position-horizontal-relative:page;mso-position-vertical-relative:page;z-index:251663360;mso-width-relative:page;mso-height-relative:page;" filled="f" stroked="t" coordsize="21600,21600" o:gfxdata="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JP3endkAAAALAQAADwAAAAAAAAABACAA&#10;AAA4AAAAZHJzL2Rvd25yZXYueG1sUEsBAhQAFAAAAAgAh07iQGvIlXcvAgAAUAQAAA4AAAAAAAAA&#10;AQAgAAAAPgEAAGRycy9lMm9Eb2MueG1sUEsFBgAAAAAGAAYAWQEAAN8FAAAAAA==&#10;">
                <v:fill on="f" focussize="0,0"/>
                <v:stroke weight="0pt" color="#FFFFFF [3228]" miterlimit="8" joinstyle="miter"/>
                <v:imagedata o:title=""/>
                <o:lock v:ext="edit" aspectratio="f"/>
                <v:textbo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v:textbox>
              </v:shape>
            </w:pict>
          </mc:Fallback>
        </mc:AlternateContent>
      </w: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基层市场监管 数字化监管平台</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建设指南</w:t>
                            </w:r>
                          </w:p>
                          <w:p>
                            <w:pPr>
                              <w:jc w:val="center"/>
                              <w:rPr>
                                <w:rFonts w:hint="eastAsia" w:ascii="黑体" w:hAnsi="黑体" w:eastAsia="黑体" w:cs="黑体"/>
                                <w:kern w:val="0"/>
                                <w:sz w:val="28"/>
                                <w:szCs w:val="21"/>
                                <w:lang w:val="en-US" w:eastAsia="zh-CN"/>
                              </w:rPr>
                            </w:pPr>
                            <w:r>
                              <w:rPr>
                                <w:rFonts w:hint="eastAsia" w:ascii="黑体" w:hAnsi="黑体" w:eastAsia="黑体" w:cs="黑体"/>
                                <w:kern w:val="0"/>
                                <w:sz w:val="28"/>
                                <w:szCs w:val="21"/>
                                <w:lang w:val="en-US" w:eastAsia="zh-CN"/>
                              </w:rPr>
                              <w:t>County-level market supervision —— Guidelines for the construction of digital supervision platform</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1312;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基层市场监管 数字化监管平台</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建设指南</w:t>
                      </w:r>
                    </w:p>
                    <w:p>
                      <w:pPr>
                        <w:jc w:val="center"/>
                        <w:rPr>
                          <w:rFonts w:hint="eastAsia" w:ascii="黑体" w:hAnsi="黑体" w:eastAsia="黑体" w:cs="黑体"/>
                          <w:kern w:val="0"/>
                          <w:sz w:val="28"/>
                          <w:szCs w:val="21"/>
                          <w:lang w:val="en-US" w:eastAsia="zh-CN"/>
                        </w:rPr>
                      </w:pPr>
                      <w:r>
                        <w:rPr>
                          <w:rFonts w:hint="eastAsia" w:ascii="黑体" w:hAnsi="黑体" w:eastAsia="黑体" w:cs="黑体"/>
                          <w:kern w:val="0"/>
                          <w:sz w:val="28"/>
                          <w:szCs w:val="21"/>
                          <w:lang w:val="en-US" w:eastAsia="zh-CN"/>
                        </w:rPr>
                        <w:t>County-level market supervision —— Guidelines for the construction of digital supervision platform</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 xml:space="preserve">                                                                                          </w:t>
      </w:r>
    </w:p>
    <w:p>
      <w:pPr>
        <w:pStyle w:val="2"/>
      </w:pPr>
    </w:p>
    <w:p>
      <w:pPr>
        <w:pStyle w:val="2"/>
      </w:pPr>
    </w:p>
    <w:p>
      <w:pPr>
        <w:pStyle w:val="2"/>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28"/>
          <w:szCs w:val="28"/>
        </w:rPr>
      </w:pPr>
      <w:r>
        <w:rPr>
          <w:rFonts w:hint="default" w:ascii="黑体" w:hAnsi="黑体" w:eastAsia="黑体"/>
          <w:sz w:val="28"/>
          <w:szCs w:val="28"/>
          <w:lang w:val="en-US"/>
        </w:rPr>
        <mc:AlternateContent>
          <mc:Choice Requires="wps">
            <w:drawing>
              <wp:anchor distT="0" distB="0" distL="114300" distR="114300" simplePos="0" relativeHeight="251664384"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MgXH1gAAAAw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lang w:val="en-US" w:eastAsia="zh-CN"/>
        </w:rPr>
        <w:t>2024</w:t>
      </w:r>
      <w:r>
        <w:rPr>
          <w:rFonts w:hint="eastAsia" w:ascii="黑体" w:hAnsi="黑体" w:eastAsia="黑体"/>
          <w:sz w:val="28"/>
          <w:szCs w:val="28"/>
        </w:rPr>
        <w:t xml:space="preserve">-XX-XX发布                                       </w:t>
      </w:r>
      <w:r>
        <w:rPr>
          <w:rFonts w:hint="eastAsia" w:ascii="黑体" w:hAnsi="黑体" w:eastAsia="黑体"/>
          <w:sz w:val="28"/>
          <w:szCs w:val="28"/>
          <w:lang w:val="en-US" w:eastAsia="zh-CN"/>
        </w:rPr>
        <w:t>2024</w:t>
      </w:r>
      <w:r>
        <w:rPr>
          <w:rFonts w:hint="eastAsia" w:ascii="黑体" w:hAnsi="黑体" w:eastAsia="黑体"/>
          <w:sz w:val="28"/>
          <w:szCs w:val="28"/>
        </w:rPr>
        <w:t>-XX-XX实施</w:t>
      </w:r>
    </w:p>
    <w:p>
      <w:pPr>
        <w:spacing w:line="1247" w:lineRule="exact"/>
        <w:jc w:val="center"/>
        <w:outlineLvl w:val="0"/>
        <w:rPr>
          <w:rFonts w:hint="eastAsia" w:ascii="黑体" w:hAnsi="黑体" w:eastAsia="黑体"/>
          <w:sz w:val="28"/>
          <w:szCs w:val="28"/>
        </w:rPr>
      </w:pPr>
      <w:bookmarkStart w:id="0" w:name="_Toc10124"/>
      <w:bookmarkStart w:id="1" w:name="_Toc21006"/>
      <w:bookmarkStart w:id="2" w:name="_Toc18385"/>
      <w:bookmarkStart w:id="3" w:name="_Toc3547"/>
      <w:r>
        <w:rPr>
          <w:rFonts w:hint="eastAsia" w:ascii="方正小标宋_GBK" w:eastAsia="方正小标宋_GBK"/>
          <w:sz w:val="44"/>
          <w:szCs w:val="44"/>
        </w:rPr>
        <w:t>苏州市市场监督管理局</w:t>
      </w:r>
      <w:r>
        <w:rPr>
          <w:rFonts w:hint="eastAsia" w:ascii="方正小标宋_GBK" w:hAnsi="宋体" w:eastAsia="方正小标宋_GBK" w:cs="SimSun,Bold"/>
          <w:bCs/>
          <w:snapToGrid w:val="0"/>
          <w:kern w:val="0"/>
          <w:sz w:val="44"/>
          <w:szCs w:val="52"/>
        </w:rPr>
        <w:t xml:space="preserve">  </w:t>
      </w:r>
      <w:r>
        <w:rPr>
          <w:rFonts w:hint="eastAsia" w:ascii="黑体" w:hAnsi="黑体" w:eastAsia="黑体"/>
          <w:sz w:val="28"/>
          <w:szCs w:val="28"/>
        </w:rPr>
        <w:t>发 布</w:t>
      </w:r>
      <w:bookmarkEnd w:id="0"/>
      <w:bookmarkEnd w:id="1"/>
      <w:bookmarkEnd w:id="2"/>
      <w:bookmarkEnd w:id="3"/>
    </w:p>
    <w:p>
      <w:pPr>
        <w:pStyle w:val="2"/>
      </w:pPr>
    </w:p>
    <w:p>
      <w:pPr>
        <w:rPr>
          <w:rFonts w:ascii="黑体" w:hAnsi="黑体" w:eastAsia="黑体"/>
          <w:sz w:val="28"/>
          <w:szCs w:val="28"/>
        </w:rPr>
        <w:sectPr>
          <w:pgSz w:w="11906" w:h="16838"/>
          <w:pgMar w:top="567" w:right="851" w:bottom="1134" w:left="1418" w:header="0" w:footer="0" w:gutter="0"/>
          <w:pgNumType w:fmt="upperRoman"/>
          <w:cols w:space="425" w:num="1"/>
          <w:docGrid w:type="lines" w:linePitch="312" w:charSpace="0"/>
        </w:sectPr>
      </w:pPr>
    </w:p>
    <w:p>
      <w:pPr>
        <w:snapToGrid w:val="0"/>
        <w:spacing w:before="567" w:after="680"/>
        <w:jc w:val="center"/>
        <w:rPr>
          <w:rFonts w:ascii="黑体" w:hAnsi="黑体" w:eastAsia="黑体"/>
          <w:sz w:val="32"/>
          <w:szCs w:val="32"/>
        </w:rPr>
      </w:pPr>
      <w:r>
        <w:rPr>
          <w:rFonts w:hint="eastAsia" w:ascii="黑体" w:hAnsi="黑体" w:eastAsia="黑体"/>
          <w:sz w:val="32"/>
          <w:szCs w:val="32"/>
        </w:rPr>
        <w:t>目</w:t>
      </w:r>
      <w:r>
        <w:rPr>
          <w:rFonts w:hint="eastAsia" w:ascii="黑体" w:hAnsi="黑体" w:eastAsia="黑体"/>
          <w:bCs/>
          <w:sz w:val="32"/>
          <w:szCs w:val="32"/>
        </w:rPr>
        <w:t xml:space="preserve">    </w:t>
      </w:r>
      <w:r>
        <w:rPr>
          <w:rFonts w:hint="eastAsia" w:ascii="黑体" w:hAnsi="黑体" w:eastAsia="黑体"/>
          <w:sz w:val="32"/>
          <w:szCs w:val="32"/>
        </w:rPr>
        <w:t>次</w:t>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TOC \o "1-3" \h \z \u </w:instrText>
      </w:r>
      <w:r>
        <w:rPr>
          <w:rFonts w:hint="eastAsia" w:ascii="宋体" w:hAnsi="宋体" w:eastAsia="宋体" w:cs="宋体"/>
          <w:szCs w:val="21"/>
        </w:rPr>
        <w:fldChar w:fldCharType="separate"/>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_Toc1520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前言</w:t>
      </w:r>
      <w:r>
        <w:rPr>
          <w:rFonts w:hint="eastAsia" w:ascii="宋体" w:hAnsi="宋体" w:eastAsia="宋体" w:cs="宋体"/>
          <w:lang w:val="en-US" w:eastAsia="zh-CN"/>
        </w:rPr>
        <w:tab/>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PAGEREF _Toc1520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II</w:t>
      </w:r>
      <w:r>
        <w:rPr>
          <w:rFonts w:hint="eastAsia" w:ascii="宋体" w:hAnsi="宋体" w:eastAsia="宋体" w:cs="宋体"/>
          <w:lang w:val="en-US" w:eastAsia="zh-CN"/>
        </w:rPr>
        <w:fldChar w:fldCharType="end"/>
      </w:r>
      <w:r>
        <w:rPr>
          <w:rFonts w:hint="eastAsia" w:ascii="宋体" w:hAnsi="宋体" w:eastAsia="宋体" w:cs="宋体"/>
          <w:lang w:val="en-US" w:eastAsia="zh-CN"/>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_Toc23518 </w:instrText>
      </w:r>
      <w:r>
        <w:rPr>
          <w:rFonts w:hint="eastAsia" w:ascii="宋体" w:hAnsi="宋体" w:eastAsia="宋体" w:cs="宋体"/>
          <w:szCs w:val="21"/>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_Toc23518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_Toc9157 </w:instrText>
      </w:r>
      <w:r>
        <w:rPr>
          <w:rFonts w:hint="eastAsia" w:ascii="宋体" w:hAnsi="宋体" w:eastAsia="宋体" w:cs="宋体"/>
          <w:szCs w:val="21"/>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_Toc9157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_Toc21419 </w:instrText>
      </w:r>
      <w:r>
        <w:rPr>
          <w:rFonts w:hint="eastAsia" w:ascii="宋体" w:hAnsi="宋体" w:eastAsia="宋体" w:cs="宋体"/>
          <w:szCs w:val="21"/>
        </w:rPr>
        <w:fldChar w:fldCharType="separate"/>
      </w:r>
      <w:r>
        <w:rPr>
          <w:rFonts w:hint="eastAsia" w:ascii="宋体" w:hAnsi="宋体" w:eastAsia="宋体" w:cs="宋体"/>
          <w:i w:val="0"/>
          <w:szCs w:val="21"/>
        </w:rPr>
        <w:t xml:space="preserve">3 </w:t>
      </w:r>
      <w:r>
        <w:rPr>
          <w:rFonts w:hint="eastAsia" w:ascii="宋体" w:hAnsi="宋体" w:eastAsia="宋体" w:cs="宋体"/>
          <w:i w:val="0"/>
          <w:szCs w:val="21"/>
          <w:lang w:val="en-US" w:eastAsia="zh-CN"/>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_Toc21419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_Toc16151 </w:instrText>
      </w:r>
      <w:r>
        <w:rPr>
          <w:rFonts w:hint="eastAsia" w:ascii="宋体" w:hAnsi="宋体" w:eastAsia="宋体" w:cs="宋体"/>
          <w:szCs w:val="21"/>
        </w:rPr>
        <w:fldChar w:fldCharType="separate"/>
      </w:r>
      <w:r>
        <w:rPr>
          <w:rFonts w:hint="eastAsia" w:ascii="宋体" w:hAnsi="宋体" w:eastAsia="宋体" w:cs="宋体"/>
          <w:i w:val="0"/>
        </w:rPr>
        <w:t xml:space="preserve">4 </w:t>
      </w:r>
      <w:r>
        <w:rPr>
          <w:rFonts w:hint="eastAsia" w:ascii="宋体" w:hAnsi="宋体" w:eastAsia="宋体" w:cs="宋体"/>
          <w:i w:val="0"/>
          <w:lang w:val="en-US" w:eastAsia="zh-CN"/>
        </w:rPr>
        <w:t xml:space="preserve"> </w:t>
      </w:r>
      <w:r>
        <w:rPr>
          <w:rFonts w:hint="eastAsia" w:ascii="宋体" w:hAnsi="宋体" w:eastAsia="宋体" w:cs="宋体"/>
        </w:rPr>
        <w:t>建设原则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_Toc16151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_Toc5549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融合共享</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_Toc5549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_Toc26830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4.2</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高效创新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_Toc26830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_Toc18034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4.3</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安全可靠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_Toc18034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_Toc21857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操作便捷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_Toc21857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_Toc27181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可扩展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_Toc27181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_Toc31595 </w:instrText>
      </w:r>
      <w:r>
        <w:rPr>
          <w:rFonts w:hint="eastAsia" w:ascii="宋体" w:hAnsi="宋体" w:eastAsia="宋体" w:cs="宋体"/>
          <w:szCs w:val="21"/>
        </w:rPr>
        <w:fldChar w:fldCharType="separate"/>
      </w:r>
      <w:r>
        <w:rPr>
          <w:rFonts w:hint="eastAsia" w:ascii="宋体" w:hAnsi="宋体" w:eastAsia="宋体" w:cs="宋体"/>
          <w:i w:val="0"/>
        </w:rPr>
        <w:t xml:space="preserve">5 </w:t>
      </w:r>
      <w:r>
        <w:rPr>
          <w:rFonts w:hint="eastAsia" w:ascii="宋体" w:hAnsi="宋体" w:eastAsia="宋体" w:cs="宋体"/>
          <w:i w:val="0"/>
          <w:lang w:val="en-US" w:eastAsia="zh-CN"/>
        </w:rPr>
        <w:t xml:space="preserve"> </w:t>
      </w:r>
      <w:r>
        <w:rPr>
          <w:rFonts w:hint="eastAsia" w:ascii="宋体" w:hAnsi="宋体" w:eastAsia="宋体" w:cs="宋体"/>
        </w:rPr>
        <w:t>总体架构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_Toc31595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_Toc23423 </w:instrText>
      </w:r>
      <w:r>
        <w:rPr>
          <w:rFonts w:hint="eastAsia" w:ascii="宋体" w:hAnsi="宋体" w:eastAsia="宋体" w:cs="宋体"/>
          <w:szCs w:val="21"/>
        </w:rPr>
        <w:fldChar w:fldCharType="separate"/>
      </w:r>
      <w:r>
        <w:rPr>
          <w:rFonts w:hint="eastAsia" w:ascii="宋体" w:hAnsi="宋体" w:eastAsia="宋体" w:cs="宋体"/>
          <w:i w:val="0"/>
        </w:rPr>
        <w:t xml:space="preserve">6 </w:t>
      </w:r>
      <w:r>
        <w:rPr>
          <w:rFonts w:hint="eastAsia" w:ascii="宋体" w:hAnsi="宋体" w:eastAsia="宋体" w:cs="宋体"/>
          <w:i w:val="0"/>
          <w:lang w:val="en-US" w:eastAsia="zh-CN"/>
        </w:rPr>
        <w:t xml:space="preserve"> </w:t>
      </w:r>
      <w:r>
        <w:rPr>
          <w:rFonts w:hint="eastAsia" w:ascii="宋体" w:hAnsi="宋体" w:eastAsia="宋体" w:cs="宋体"/>
        </w:rPr>
        <w:t>应用支撑层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_Toc23423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_Toc14283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政务信息网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_Toc14283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_Toc17790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地理信息系统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_Toc17790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_Toc11280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前端感知网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_Toc11280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_Toc8969 </w:instrText>
      </w:r>
      <w:r>
        <w:rPr>
          <w:rFonts w:hint="eastAsia" w:ascii="宋体" w:hAnsi="宋体" w:eastAsia="宋体" w:cs="宋体"/>
          <w:szCs w:val="21"/>
        </w:rPr>
        <w:fldChar w:fldCharType="separate"/>
      </w:r>
      <w:r>
        <w:rPr>
          <w:rFonts w:hint="eastAsia" w:ascii="宋体" w:hAnsi="宋体" w:eastAsia="宋体" w:cs="宋体"/>
          <w:i w:val="0"/>
        </w:rPr>
        <w:t xml:space="preserve">7 </w:t>
      </w:r>
      <w:r>
        <w:rPr>
          <w:rFonts w:hint="eastAsia" w:ascii="宋体" w:hAnsi="宋体" w:eastAsia="宋体" w:cs="宋体"/>
          <w:i w:val="0"/>
          <w:lang w:val="en-US" w:eastAsia="zh-CN"/>
        </w:rPr>
        <w:t xml:space="preserve"> </w:t>
      </w:r>
      <w:r>
        <w:rPr>
          <w:rFonts w:hint="eastAsia" w:ascii="宋体" w:hAnsi="宋体" w:eastAsia="宋体" w:cs="宋体"/>
        </w:rPr>
        <w:t>数据融合层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_Toc8969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_Toc28928 </w:instrText>
      </w:r>
      <w:r>
        <w:rPr>
          <w:rFonts w:hint="eastAsia" w:ascii="宋体" w:hAnsi="宋体" w:eastAsia="宋体" w:cs="宋体"/>
          <w:szCs w:val="21"/>
        </w:rPr>
        <w:fldChar w:fldCharType="separate"/>
      </w:r>
      <w:r>
        <w:rPr>
          <w:rFonts w:hint="eastAsia" w:ascii="宋体" w:hAnsi="宋体" w:eastAsia="宋体" w:cs="宋体"/>
          <w:i w:val="0"/>
        </w:rPr>
        <w:t>8</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rPr>
        <w:t>融合监管层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_Toc28928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_Toc5546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融合监管活动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_Toc5546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_Toc18028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线索归集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_Toc18028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_Toc16258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指挥调度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_Toc16258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_Toc833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执行处置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_Toc27300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8.6</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监督考核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_Toc27300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_Toc10362 </w:instrText>
      </w:r>
      <w:r>
        <w:rPr>
          <w:rFonts w:hint="eastAsia" w:ascii="宋体" w:hAnsi="宋体" w:eastAsia="宋体" w:cs="宋体"/>
          <w:szCs w:val="21"/>
        </w:rPr>
        <w:fldChar w:fldCharType="separate"/>
      </w:r>
      <w:r>
        <w:rPr>
          <w:rFonts w:hint="eastAsia" w:ascii="宋体" w:hAnsi="宋体" w:eastAsia="宋体" w:cs="宋体"/>
          <w:i w:val="0"/>
        </w:rPr>
        <w:t xml:space="preserve">9 </w:t>
      </w:r>
      <w:r>
        <w:rPr>
          <w:rFonts w:hint="eastAsia" w:ascii="宋体" w:hAnsi="宋体" w:eastAsia="宋体" w:cs="宋体"/>
          <w:i w:val="0"/>
          <w:lang w:val="en-US" w:eastAsia="zh-CN"/>
        </w:rPr>
        <w:t xml:space="preserve"> </w:t>
      </w:r>
      <w:r>
        <w:rPr>
          <w:rFonts w:hint="eastAsia" w:ascii="宋体" w:hAnsi="宋体" w:eastAsia="宋体" w:cs="宋体"/>
        </w:rPr>
        <w:t>扩展应用层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_Toc10362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_Toc25495 </w:instrText>
      </w:r>
      <w:r>
        <w:rPr>
          <w:rFonts w:hint="eastAsia" w:ascii="宋体" w:hAnsi="宋体" w:eastAsia="宋体" w:cs="宋体"/>
          <w:szCs w:val="21"/>
        </w:rPr>
        <w:fldChar w:fldCharType="separate"/>
      </w:r>
      <w:r>
        <w:rPr>
          <w:rFonts w:hint="eastAsia" w:ascii="宋体" w:hAnsi="宋体" w:eastAsia="宋体" w:cs="宋体"/>
          <w:i w:val="0"/>
        </w:rPr>
        <w:t xml:space="preserve">10 </w:t>
      </w:r>
      <w:r>
        <w:rPr>
          <w:rFonts w:hint="eastAsia" w:ascii="宋体" w:hAnsi="宋体" w:eastAsia="宋体" w:cs="宋体"/>
          <w:i w:val="0"/>
          <w:lang w:val="en-US" w:eastAsia="zh-CN"/>
        </w:rPr>
        <w:t xml:space="preserve"> </w:t>
      </w:r>
      <w:r>
        <w:rPr>
          <w:rFonts w:hint="eastAsia" w:ascii="宋体" w:hAnsi="宋体" w:eastAsia="宋体" w:cs="宋体"/>
        </w:rPr>
        <w:t>交互层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_Toc25495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_Toc23874 </w:instrText>
      </w:r>
      <w:r>
        <w:rPr>
          <w:rFonts w:hint="eastAsia" w:ascii="宋体" w:hAnsi="宋体" w:eastAsia="宋体" w:cs="宋体"/>
          <w:szCs w:val="21"/>
        </w:rPr>
        <w:fldChar w:fldCharType="separate"/>
      </w:r>
      <w:r>
        <w:rPr>
          <w:rFonts w:hint="eastAsia" w:ascii="宋体" w:hAnsi="宋体" w:eastAsia="宋体" w:cs="宋体"/>
          <w:i w:val="0"/>
        </w:rPr>
        <w:t xml:space="preserve">11 </w:t>
      </w:r>
      <w:r>
        <w:rPr>
          <w:rFonts w:hint="eastAsia" w:ascii="宋体" w:hAnsi="宋体" w:eastAsia="宋体" w:cs="宋体"/>
          <w:i w:val="0"/>
          <w:lang w:val="en-US" w:eastAsia="zh-CN"/>
        </w:rPr>
        <w:t xml:space="preserve"> </w:t>
      </w:r>
      <w:r>
        <w:rPr>
          <w:rFonts w:hint="eastAsia" w:ascii="宋体" w:hAnsi="宋体" w:eastAsia="宋体" w:cs="宋体"/>
        </w:rPr>
        <w:t>安全管理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_Toc23874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_Toc6444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安全保护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_Toc6444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_Toc11484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数据备份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_Toc11484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_Toc5357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11.3</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隐私保护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_Toc5357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_Toc18183 </w:instrText>
      </w:r>
      <w:r>
        <w:rPr>
          <w:rFonts w:hint="eastAsia" w:ascii="宋体" w:hAnsi="宋体" w:eastAsia="宋体" w:cs="宋体"/>
          <w:szCs w:val="21"/>
        </w:rPr>
        <w:fldChar w:fldCharType="separate"/>
      </w:r>
      <w:r>
        <w:rPr>
          <w:rFonts w:hint="eastAsia" w:ascii="宋体" w:hAnsi="宋体" w:eastAsia="宋体" w:cs="宋体"/>
          <w:i w:val="0"/>
        </w:rPr>
        <w:t>12</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rPr>
        <w:t>持续改进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_Toc18183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1"/>
        </w:rPr>
        <w:fldChar w:fldCharType="end"/>
      </w:r>
    </w:p>
    <w:p>
      <w:pPr>
        <w:snapToGrid w:val="0"/>
        <w:jc w:val="left"/>
        <w:rPr>
          <w:rFonts w:ascii="宋体" w:hAnsi="宋体" w:eastAsia="宋体" w:cs="宋体"/>
          <w:szCs w:val="21"/>
        </w:rPr>
      </w:pPr>
      <w:r>
        <w:rPr>
          <w:rFonts w:hint="eastAsia" w:ascii="宋体" w:hAnsi="宋体" w:eastAsia="宋体" w:cs="宋体"/>
          <w:szCs w:val="21"/>
        </w:rPr>
        <w:fldChar w:fldCharType="end"/>
      </w:r>
    </w:p>
    <w:p>
      <w:pPr>
        <w:pStyle w:val="2"/>
        <w:rPr>
          <w:rFonts w:ascii="宋体" w:hAnsi="宋体" w:eastAsia="宋体" w:cs="宋体"/>
          <w:szCs w:val="21"/>
        </w:rPr>
      </w:pPr>
    </w:p>
    <w:p>
      <w:pPr>
        <w:pStyle w:val="2"/>
        <w:rPr>
          <w:rFonts w:ascii="宋体" w:hAnsi="宋体" w:eastAsia="宋体" w:cs="宋体"/>
          <w:szCs w:val="21"/>
        </w:rPr>
      </w:pPr>
    </w:p>
    <w:p>
      <w:pPr>
        <w:pStyle w:val="2"/>
        <w:rPr>
          <w:rFonts w:ascii="宋体" w:hAnsi="宋体" w:eastAsia="宋体" w:cs="宋体"/>
          <w:szCs w:val="21"/>
        </w:rPr>
      </w:pPr>
    </w:p>
    <w:p>
      <w:pPr>
        <w:pStyle w:val="17"/>
        <w:tabs>
          <w:tab w:val="right" w:leader="dot" w:pos="9354"/>
          <w:tab w:val="clear" w:pos="9344"/>
        </w:tabs>
        <w:adjustRightInd/>
        <w:spacing w:line="240" w:lineRule="auto"/>
        <w:ind w:left="420" w:leftChars="200"/>
        <w:rPr>
          <w:rFonts w:hint="eastAsia" w:ascii="宋体" w:hAnsi="宋体" w:eastAsia="宋体" w:cs="宋体"/>
          <w:szCs w:val="21"/>
        </w:rPr>
        <w:sectPr>
          <w:headerReference r:id="rId3" w:type="default"/>
          <w:footerReference r:id="rId5" w:type="default"/>
          <w:headerReference r:id="rId4" w:type="even"/>
          <w:footerReference r:id="rId6" w:type="even"/>
          <w:pgSz w:w="11906" w:h="16838"/>
          <w:pgMar w:top="1417" w:right="1134" w:bottom="1134" w:left="1418" w:header="1417" w:footer="1134" w:gutter="0"/>
          <w:pgNumType w:fmt="upperRoman" w:start="1"/>
          <w:cols w:space="425" w:num="1"/>
          <w:docGrid w:type="lines" w:linePitch="312" w:charSpace="0"/>
        </w:sectPr>
      </w:pPr>
    </w:p>
    <w:p>
      <w:pPr>
        <w:pStyle w:val="2"/>
        <w:sectPr>
          <w:footerReference r:id="rId7" w:type="default"/>
          <w:footerReference r:id="rId8" w:type="even"/>
          <w:pgSz w:w="11906" w:h="16838"/>
          <w:pgMar w:top="1417" w:right="1134" w:bottom="1134" w:left="1418" w:header="1417" w:footer="1134" w:gutter="0"/>
          <w:pgNumType w:fmt="upperRoman" w:start="2"/>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val="0"/>
        <w:spacing w:before="567" w:after="680"/>
        <w:ind w:firstLine="0" w:firstLineChars="0"/>
        <w:jc w:val="center"/>
        <w:textAlignment w:val="auto"/>
        <w:outlineLvl w:val="0"/>
        <w:rPr>
          <w:rFonts w:ascii="宋体" w:hAnsi="宋体" w:eastAsia="宋体" w:cs="宋体"/>
          <w:kern w:val="0"/>
          <w:szCs w:val="21"/>
        </w:rPr>
      </w:pPr>
      <w:bookmarkStart w:id="4" w:name="_Toc1520"/>
      <w:r>
        <w:rPr>
          <w:rFonts w:hint="eastAsia" w:ascii="黑体" w:hAnsi="黑体" w:eastAsia="黑体" w:cs="黑体"/>
          <w:kern w:val="0"/>
          <w:sz w:val="32"/>
          <w:szCs w:val="32"/>
          <w:lang w:val="en-US" w:eastAsia="zh-CN"/>
        </w:rPr>
        <w:t>前    言</w:t>
      </w:r>
      <w:bookmarkEnd w:id="4"/>
    </w:p>
    <w:p>
      <w:pPr>
        <w:shd w:val="clear"/>
        <w:adjustRightInd/>
        <w:snapToGrid w:val="0"/>
        <w:spacing w:line="24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本文件按照GB/T 1.1—2020《标准化工作导则  第1部分：标准化文件的结构和起草规则》的规定起草。</w:t>
      </w:r>
    </w:p>
    <w:p>
      <w:pPr>
        <w:shd w:val="clear"/>
        <w:adjustRightInd/>
        <w:snapToGrid w:val="0"/>
        <w:spacing w:line="24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eastAsia="zh-CN"/>
        </w:rPr>
        <w:t>请注意本文件的某</w:t>
      </w:r>
      <w:r>
        <w:rPr>
          <w:rFonts w:hint="eastAsia" w:ascii="宋体" w:hAnsi="宋体" w:eastAsia="宋体" w:cs="宋体"/>
          <w:kern w:val="0"/>
          <w:szCs w:val="21"/>
          <w:lang w:val="en-US" w:eastAsia="zh-CN"/>
        </w:rPr>
        <w:t>些内容可能涉及专利。本文件的发布机构不承担识别专利的责任。</w:t>
      </w:r>
    </w:p>
    <w:p>
      <w:pPr>
        <w:shd w:val="clear"/>
        <w:adjustRightInd/>
        <w:snapToGrid w:val="0"/>
        <w:spacing w:line="24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本文件由</w:t>
      </w:r>
      <w:r>
        <w:rPr>
          <w:rFonts w:hint="eastAsia" w:ascii="宋体" w:hAnsi="宋体" w:eastAsia="宋体" w:cs="宋体"/>
          <w:kern w:val="0"/>
          <w:szCs w:val="21"/>
          <w:lang w:eastAsia="zh-CN"/>
        </w:rPr>
        <w:t>苏州市</w:t>
      </w:r>
      <w:r>
        <w:rPr>
          <w:rFonts w:hint="eastAsia" w:ascii="宋体" w:hAnsi="宋体" w:eastAsia="宋体" w:cs="宋体"/>
          <w:kern w:val="0"/>
          <w:szCs w:val="21"/>
        </w:rPr>
        <w:t>市场监督管理局提出</w:t>
      </w:r>
      <w:r>
        <w:rPr>
          <w:rFonts w:hint="eastAsia" w:ascii="宋体" w:hAnsi="宋体" w:eastAsia="宋体" w:cs="宋体"/>
          <w:kern w:val="0"/>
          <w:szCs w:val="21"/>
          <w:lang w:eastAsia="zh-CN"/>
        </w:rPr>
        <w:t>并归口</w:t>
      </w:r>
      <w:r>
        <w:rPr>
          <w:rFonts w:hint="eastAsia" w:ascii="宋体" w:hAnsi="宋体" w:eastAsia="宋体" w:cs="宋体"/>
          <w:kern w:val="0"/>
          <w:szCs w:val="21"/>
        </w:rPr>
        <w:t>。</w:t>
      </w:r>
    </w:p>
    <w:p>
      <w:pPr>
        <w:shd w:val="clear"/>
        <w:adjustRightInd/>
        <w:snapToGrid w:val="0"/>
        <w:spacing w:line="240" w:lineRule="auto"/>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rPr>
        <w:t>本文件起草单位：太仓市市场监督管理局</w:t>
      </w:r>
      <w:r>
        <w:rPr>
          <w:rFonts w:hint="eastAsia" w:ascii="宋体" w:hAnsi="宋体" w:eastAsia="宋体" w:cs="宋体"/>
          <w:kern w:val="0"/>
          <w:szCs w:val="21"/>
          <w:lang w:eastAsia="zh-CN"/>
        </w:rPr>
        <w:t>、南京优玛软件科技有限公司、苏州健雄职业技术学院、中德标准化合作苏州创新中心。</w:t>
      </w:r>
    </w:p>
    <w:p>
      <w:pPr>
        <w:shd w:val="clear"/>
        <w:adjustRightInd/>
        <w:snapToGrid w:val="0"/>
        <w:spacing w:line="240" w:lineRule="auto"/>
        <w:ind w:firstLine="420" w:firstLineChars="200"/>
        <w:sectPr>
          <w:footerReference r:id="rId10" w:type="default"/>
          <w:headerReference r:id="rId9" w:type="even"/>
          <w:footerReference r:id="rId11" w:type="even"/>
          <w:pgSz w:w="11906" w:h="16838"/>
          <w:pgMar w:top="1417" w:right="1134" w:bottom="1134" w:left="1418" w:header="1417" w:footer="1134" w:gutter="0"/>
          <w:pgNumType w:fmt="upperRoman" w:start="2"/>
          <w:cols w:space="425" w:num="1"/>
          <w:docGrid w:type="lines" w:linePitch="312" w:charSpace="0"/>
        </w:sectPr>
      </w:pPr>
      <w:r>
        <w:rPr>
          <w:rFonts w:hint="eastAsia" w:ascii="宋体" w:hAnsi="宋体" w:eastAsia="宋体" w:cs="宋体"/>
          <w:kern w:val="0"/>
          <w:szCs w:val="21"/>
        </w:rPr>
        <w:t>本文件主要起草人：</w:t>
      </w:r>
      <w:r>
        <w:rPr>
          <w:rFonts w:hint="eastAsia" w:ascii="宋体" w:hAnsi="宋体" w:eastAsia="宋体" w:cs="宋体"/>
          <w:kern w:val="0"/>
          <w:szCs w:val="21"/>
          <w:lang w:eastAsia="zh-CN"/>
        </w:rPr>
        <w:t>杨伟东、杨俊峰、贾瑞、曾晓华、黄振刚、王晓阳、颜明珠、陈兰心、白露、丁伟欣。</w:t>
      </w:r>
    </w:p>
    <w:p>
      <w:pPr>
        <w:pStyle w:val="2"/>
      </w:pPr>
    </w:p>
    <w:p>
      <w:pPr>
        <w:widowControl/>
        <w:rPr>
          <w:rFonts w:ascii="黑体" w:hAnsi="黑体" w:eastAsia="黑体"/>
          <w:bCs/>
          <w:sz w:val="32"/>
          <w:szCs w:val="32"/>
        </w:rPr>
        <w:sectPr>
          <w:footerReference r:id="rId13" w:type="default"/>
          <w:headerReference r:id="rId12" w:type="even"/>
          <w:footerReference r:id="rId14" w:type="even"/>
          <w:pgSz w:w="11906" w:h="16838"/>
          <w:pgMar w:top="1417" w:right="1134" w:bottom="1134" w:left="1418" w:header="1417" w:footer="1134" w:gutter="0"/>
          <w:pgNumType w:fmt="upperRoman" w:start="2"/>
          <w:cols w:space="425" w:num="1"/>
          <w:docGrid w:type="lines" w:linePitch="312" w:charSpace="0"/>
        </w:sectPr>
      </w:pPr>
      <w:bookmarkStart w:id="5" w:name="SectionMark4"/>
    </w:p>
    <w:bookmarkEnd w:id="5"/>
    <w:p>
      <w:pPr>
        <w:widowControl/>
        <w:spacing w:before="567" w:after="680"/>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基层市场监管 数字化监管平台建设指南</w:t>
      </w:r>
    </w:p>
    <w:p>
      <w:pPr>
        <w:pStyle w:val="66"/>
        <w:spacing w:before="312" w:after="312"/>
        <w:rPr>
          <w:rFonts w:hint="eastAsia"/>
        </w:rPr>
      </w:pPr>
      <w:bookmarkStart w:id="6" w:name="_Toc29254"/>
      <w:bookmarkStart w:id="7" w:name="_Toc26648465"/>
      <w:bookmarkStart w:id="8" w:name="_Toc156761465"/>
      <w:bookmarkStart w:id="9" w:name="_Toc139015479"/>
      <w:bookmarkStart w:id="10" w:name="_Toc24884211"/>
      <w:bookmarkStart w:id="11" w:name="_Toc26986771"/>
      <w:bookmarkStart w:id="12" w:name="_Toc26718930"/>
      <w:bookmarkStart w:id="13" w:name="_Toc24884218"/>
      <w:bookmarkStart w:id="14" w:name="_Toc17233333"/>
      <w:bookmarkStart w:id="15" w:name="_Toc17233325"/>
      <w:bookmarkStart w:id="16" w:name="_Toc26986530"/>
      <w:bookmarkStart w:id="17" w:name="_Toc23518"/>
      <w:r>
        <w:rPr>
          <w:rFonts w:hint="eastAsia"/>
        </w:rPr>
        <w:t>范围</w:t>
      </w:r>
      <w:bookmarkEnd w:id="6"/>
      <w:bookmarkEnd w:id="7"/>
      <w:bookmarkEnd w:id="8"/>
      <w:bookmarkEnd w:id="9"/>
      <w:bookmarkEnd w:id="10"/>
      <w:bookmarkEnd w:id="11"/>
      <w:bookmarkEnd w:id="12"/>
      <w:bookmarkEnd w:id="13"/>
      <w:bookmarkEnd w:id="14"/>
      <w:bookmarkEnd w:id="15"/>
      <w:bookmarkEnd w:id="16"/>
      <w:bookmarkEnd w:id="17"/>
    </w:p>
    <w:p>
      <w:pPr>
        <w:pStyle w:val="51"/>
      </w:pPr>
      <w:bookmarkStart w:id="18" w:name="_Toc17233326"/>
      <w:bookmarkStart w:id="19" w:name="_Toc24884212"/>
      <w:bookmarkStart w:id="20" w:name="_Toc26648466"/>
      <w:bookmarkStart w:id="21" w:name="_Toc26986531"/>
      <w:bookmarkStart w:id="22" w:name="_Toc24884219"/>
      <w:bookmarkStart w:id="23" w:name="_Toc26986772"/>
      <w:bookmarkStart w:id="24" w:name="_Toc26718931"/>
      <w:bookmarkStart w:id="25" w:name="_Toc17233334"/>
      <w:bookmarkStart w:id="26" w:name="_Toc139015480"/>
      <w:r>
        <w:rPr>
          <w:rFonts w:hint="eastAsia"/>
        </w:rPr>
        <w:t>本文件提供了基层市场监管数字化监管平台的建设原则、总体架构、应用支撑层、数据融合层、融合监管层、扩展应用层、交互层、安全管理、持续改进的指导和建议。</w:t>
      </w:r>
    </w:p>
    <w:p>
      <w:pPr>
        <w:pStyle w:val="51"/>
      </w:pPr>
      <w:r>
        <w:rPr>
          <w:rFonts w:hint="eastAsia"/>
        </w:rPr>
        <w:t>本文件适用于基层市场监管部门开展数字化监管平台建设，并为参与平台建设的企业、第三方服务商、科研院所等提供参考。</w:t>
      </w:r>
    </w:p>
    <w:p>
      <w:pPr>
        <w:pStyle w:val="66"/>
        <w:spacing w:before="312" w:after="312"/>
      </w:pPr>
      <w:bookmarkStart w:id="27" w:name="_Toc23384"/>
      <w:bookmarkStart w:id="28" w:name="_Toc9157"/>
      <w:bookmarkStart w:id="29" w:name="_Toc156761466"/>
      <w:r>
        <w:rPr>
          <w:rFonts w:hint="eastAsia"/>
        </w:rPr>
        <w:t>规范性引用文件</w:t>
      </w:r>
      <w:bookmarkEnd w:id="18"/>
      <w:bookmarkEnd w:id="19"/>
      <w:bookmarkEnd w:id="20"/>
      <w:bookmarkEnd w:id="21"/>
      <w:bookmarkEnd w:id="22"/>
      <w:bookmarkEnd w:id="23"/>
      <w:bookmarkEnd w:id="24"/>
      <w:bookmarkEnd w:id="25"/>
      <w:bookmarkEnd w:id="26"/>
      <w:bookmarkEnd w:id="27"/>
      <w:bookmarkEnd w:id="28"/>
      <w:bookmarkEnd w:id="29"/>
    </w:p>
    <w:p>
      <w:pPr>
        <w:pStyle w:val="51"/>
      </w:pPr>
      <w:bookmarkStart w:id="30" w:name="_Toc139015481"/>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1"/>
      </w:pPr>
      <w:r>
        <w:fldChar w:fldCharType="begin"/>
      </w:r>
      <w:r>
        <w:instrText xml:space="preserve"> HYPERLINK "https://nic.usc.edu.cn/info/1107/1722.htm" \t "https://cn.bing.com/_blank" </w:instrText>
      </w:r>
      <w:r>
        <w:fldChar w:fldCharType="separate"/>
      </w:r>
      <w:r>
        <w:rPr>
          <w:rFonts w:hint="eastAsia"/>
        </w:rPr>
        <w:t>GB/T 22239-2019</w:t>
      </w:r>
      <w:r>
        <w:rPr>
          <w:rFonts w:hint="eastAsia"/>
          <w:lang w:val="en-US" w:eastAsia="zh-CN"/>
        </w:rPr>
        <w:t xml:space="preserve">  </w:t>
      </w:r>
      <w:r>
        <w:rPr>
          <w:rFonts w:hint="eastAsia"/>
        </w:rPr>
        <w:t xml:space="preserve">信息安全技术 </w:t>
      </w:r>
      <w:r>
        <w:rPr>
          <w:rFonts w:hint="eastAsia"/>
          <w:lang w:val="en-US" w:eastAsia="zh-CN"/>
        </w:rPr>
        <w:t xml:space="preserve"> </w:t>
      </w:r>
      <w:r>
        <w:rPr>
          <w:rFonts w:hint="eastAsia"/>
        </w:rPr>
        <w:t>网络安全等级保护基本要求</w:t>
      </w:r>
      <w:r>
        <w:rPr>
          <w:rFonts w:hint="eastAsia"/>
        </w:rPr>
        <w:fldChar w:fldCharType="end"/>
      </w:r>
    </w:p>
    <w:p>
      <w:pPr>
        <w:pStyle w:val="51"/>
      </w:pPr>
      <w:r>
        <w:rPr>
          <w:rFonts w:hint="eastAsia"/>
        </w:rPr>
        <w:t xml:space="preserve">GB/T 29765-2021 </w:t>
      </w:r>
      <w:r>
        <w:rPr>
          <w:rFonts w:hint="eastAsia"/>
          <w:lang w:val="en-US" w:eastAsia="zh-CN"/>
        </w:rPr>
        <w:t xml:space="preserve"> </w:t>
      </w:r>
      <w:r>
        <w:rPr>
          <w:rFonts w:hint="eastAsia"/>
        </w:rPr>
        <w:t xml:space="preserve">信息安全技术 </w:t>
      </w:r>
      <w:r>
        <w:rPr>
          <w:rFonts w:hint="eastAsia"/>
          <w:lang w:val="en-US" w:eastAsia="zh-CN"/>
        </w:rPr>
        <w:t xml:space="preserve"> </w:t>
      </w:r>
      <w:r>
        <w:rPr>
          <w:rFonts w:hint="eastAsia"/>
        </w:rPr>
        <w:t>数据备份与恢复产品技术要求与测试评价方法</w:t>
      </w:r>
    </w:p>
    <w:p>
      <w:pPr>
        <w:pStyle w:val="51"/>
      </w:pPr>
      <w:r>
        <w:rPr>
          <w:rFonts w:hint="eastAsia"/>
        </w:rPr>
        <w:t xml:space="preserve">GB/T 34678-2017 </w:t>
      </w:r>
      <w:r>
        <w:rPr>
          <w:rFonts w:hint="eastAsia"/>
          <w:lang w:val="en-US" w:eastAsia="zh-CN"/>
        </w:rPr>
        <w:t xml:space="preserve"> </w:t>
      </w:r>
      <w:r>
        <w:rPr>
          <w:rFonts w:hint="eastAsia"/>
        </w:rPr>
        <w:t xml:space="preserve">智慧城市 </w:t>
      </w:r>
      <w:r>
        <w:rPr>
          <w:rFonts w:hint="eastAsia"/>
          <w:lang w:val="en-US" w:eastAsia="zh-CN"/>
        </w:rPr>
        <w:t xml:space="preserve"> </w:t>
      </w:r>
      <w:r>
        <w:rPr>
          <w:rFonts w:hint="eastAsia"/>
        </w:rPr>
        <w:t>技术参考模型</w:t>
      </w:r>
    </w:p>
    <w:p>
      <w:pPr>
        <w:pStyle w:val="51"/>
      </w:pPr>
      <w:r>
        <w:rPr>
          <w:rFonts w:hint="eastAsia"/>
        </w:rPr>
        <w:t>GB/T 35273-2020</w:t>
      </w:r>
      <w:r>
        <w:rPr>
          <w:rFonts w:hint="eastAsia"/>
          <w:lang w:val="en-US" w:eastAsia="zh-CN"/>
        </w:rPr>
        <w:t xml:space="preserve"> </w:t>
      </w:r>
      <w:r>
        <w:rPr>
          <w:rFonts w:hint="eastAsia"/>
        </w:rPr>
        <w:t xml:space="preserve"> 信息安全技术</w:t>
      </w:r>
      <w:r>
        <w:rPr>
          <w:rFonts w:hint="eastAsia"/>
          <w:lang w:val="en-US" w:eastAsia="zh-CN"/>
        </w:rPr>
        <w:t xml:space="preserve"> </w:t>
      </w:r>
      <w:r>
        <w:rPr>
          <w:rFonts w:hint="eastAsia"/>
        </w:rPr>
        <w:t xml:space="preserve"> 个人信息安全规范</w:t>
      </w:r>
    </w:p>
    <w:p>
      <w:pPr>
        <w:pStyle w:val="66"/>
        <w:spacing w:before="312" w:after="312"/>
        <w:rPr>
          <w:szCs w:val="21"/>
        </w:rPr>
      </w:pPr>
      <w:bookmarkStart w:id="31" w:name="_Toc21419"/>
      <w:bookmarkStart w:id="32" w:name="_Toc156761467"/>
      <w:bookmarkStart w:id="33" w:name="_Toc27789"/>
      <w:r>
        <w:rPr>
          <w:rFonts w:hint="eastAsia"/>
          <w:szCs w:val="21"/>
        </w:rPr>
        <w:t>术语和定义</w:t>
      </w:r>
      <w:bookmarkEnd w:id="30"/>
      <w:bookmarkEnd w:id="31"/>
      <w:bookmarkEnd w:id="32"/>
      <w:bookmarkEnd w:id="33"/>
    </w:p>
    <w:p>
      <w:pPr>
        <w:pStyle w:val="67"/>
        <w:ind w:firstLine="420"/>
      </w:pPr>
      <w:bookmarkStart w:id="34" w:name="_Toc26986532"/>
      <w:bookmarkEnd w:id="34"/>
      <w:sdt>
        <w:sdtPr>
          <w:rPr>
            <w:rFonts w:hint="eastAsia"/>
          </w:rPr>
          <w:id w:val="-1909835108"/>
          <w:placeholder>
            <w:docPart w:val="{2357433f-6ee4-475e-81da-cdf78509bc5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r>
            <w:rPr>
              <w:rFonts w:hint="eastAsia"/>
            </w:rPr>
            <w:t>下列术语和定义适用于本文件。</w:t>
          </w:r>
        </w:sdtContent>
      </w:sdt>
    </w:p>
    <w:p>
      <w:pPr>
        <w:pStyle w:val="63"/>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数字化监管平台</w:t>
      </w:r>
      <w:r>
        <w:rPr>
          <w:rFonts w:hint="eastAsia" w:ascii="黑体" w:hAnsi="黑体" w:eastAsia="黑体"/>
          <w:lang w:val="en-US" w:eastAsia="zh-CN"/>
        </w:rPr>
        <w:t xml:space="preserve"> </w:t>
      </w:r>
      <w:r>
        <w:rPr>
          <w:rFonts w:hint="eastAsia" w:ascii="黑体" w:hAnsi="黑体" w:eastAsia="黑体"/>
        </w:rPr>
        <w:t xml:space="preserve"> digital supervision platform</w:t>
      </w:r>
    </w:p>
    <w:p>
      <w:pPr>
        <w:pStyle w:val="6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pPr>
      <w:r>
        <w:rPr>
          <w:rFonts w:hint="eastAsia"/>
        </w:rPr>
        <w:t>基层市场监管部门为实现对其业务的全过程数字化管理而建立的信息系统，该系统基于感知、传输、计算、存储等信息基础设施，通过汇聚、治理、应用相关数据，实现对业务的全过程数字化管理。</w:t>
      </w:r>
    </w:p>
    <w:p>
      <w:pPr>
        <w:pStyle w:val="67"/>
        <w:ind w:firstLine="0" w:firstLineChars="0"/>
        <w:rPr>
          <w:rFonts w:ascii="黑体" w:hAnsi="黑体" w:eastAsia="黑体"/>
          <w:sz w:val="22"/>
          <w:szCs w:val="22"/>
        </w:rPr>
      </w:pPr>
      <w:r>
        <w:rPr>
          <w:rFonts w:hint="eastAsia" w:ascii="黑体" w:hAnsi="黑体" w:eastAsia="黑体"/>
          <w:sz w:val="22"/>
          <w:szCs w:val="22"/>
        </w:rPr>
        <w:t>3.2</w:t>
      </w:r>
    </w:p>
    <w:p>
      <w:pPr>
        <w:pStyle w:val="63"/>
        <w:numPr>
          <w:ilvl w:val="0"/>
          <w:numId w:val="0"/>
        </w:numPr>
        <w:ind w:left="420"/>
        <w:rPr>
          <w:rFonts w:ascii="黑体" w:hAnsi="黑体" w:eastAsia="黑体"/>
        </w:rPr>
      </w:pPr>
      <w:r>
        <w:rPr>
          <w:rFonts w:hint="eastAsia" w:ascii="黑体" w:hAnsi="黑体" w:eastAsia="黑体"/>
        </w:rPr>
        <w:t xml:space="preserve">数据驱动 </w:t>
      </w:r>
      <w:r>
        <w:rPr>
          <w:rFonts w:hint="eastAsia" w:ascii="黑体" w:hAnsi="黑体" w:eastAsia="黑体"/>
          <w:lang w:val="en-US" w:eastAsia="zh-CN"/>
        </w:rPr>
        <w:t xml:space="preserve"> </w:t>
      </w:r>
      <w:r>
        <w:rPr>
          <w:rFonts w:hint="eastAsia" w:ascii="黑体" w:hAnsi="黑体" w:eastAsia="黑体"/>
        </w:rPr>
        <w:t>data driven</w:t>
      </w:r>
    </w:p>
    <w:p>
      <w:pPr>
        <w:pStyle w:val="67"/>
        <w:ind w:firstLine="409" w:firstLineChars="195"/>
      </w:pPr>
      <w:r>
        <w:rPr>
          <w:rFonts w:hint="eastAsia"/>
        </w:rPr>
        <w:t>对基层市场监管业务活动中的数据进行采集，将采集到的数据通过数据分析、数据挖掘等方式进行整合、提炼，再运用到业务活动中，形成循环正向反馈，实现利用数据对业务活动作出决策及优化的过程。</w:t>
      </w:r>
    </w:p>
    <w:p>
      <w:pPr>
        <w:pStyle w:val="67"/>
        <w:ind w:firstLine="0" w:firstLineChars="0"/>
        <w:rPr>
          <w:rFonts w:ascii="黑体" w:hAnsi="黑体" w:eastAsia="黑体"/>
          <w:sz w:val="22"/>
          <w:szCs w:val="22"/>
        </w:rPr>
      </w:pPr>
      <w:r>
        <w:rPr>
          <w:rFonts w:hint="eastAsia" w:ascii="黑体" w:hAnsi="黑体" w:eastAsia="黑体"/>
          <w:sz w:val="22"/>
          <w:szCs w:val="22"/>
        </w:rPr>
        <w:t>3.3</w:t>
      </w:r>
    </w:p>
    <w:p>
      <w:pPr>
        <w:pStyle w:val="63"/>
        <w:numPr>
          <w:ilvl w:val="0"/>
          <w:numId w:val="0"/>
        </w:numPr>
        <w:ind w:left="420"/>
        <w:rPr>
          <w:rFonts w:ascii="黑体" w:hAnsi="黑体" w:eastAsia="黑体"/>
        </w:rPr>
      </w:pPr>
      <w:r>
        <w:rPr>
          <w:rFonts w:hint="eastAsia" w:ascii="黑体" w:hAnsi="黑体" w:eastAsia="黑体"/>
        </w:rPr>
        <w:t xml:space="preserve">融合监管 </w:t>
      </w:r>
      <w:r>
        <w:rPr>
          <w:rFonts w:hint="eastAsia" w:ascii="黑体" w:hAnsi="黑体" w:eastAsia="黑体"/>
          <w:lang w:val="en-US" w:eastAsia="zh-CN"/>
        </w:rPr>
        <w:t xml:space="preserve"> </w:t>
      </w:r>
      <w:r>
        <w:rPr>
          <w:rFonts w:hint="eastAsia" w:ascii="黑体" w:hAnsi="黑体" w:eastAsia="黑体"/>
        </w:rPr>
        <w:t>integrated supervision</w:t>
      </w:r>
    </w:p>
    <w:p>
      <w:pPr>
        <w:pStyle w:val="67"/>
        <w:ind w:firstLine="409" w:firstLineChars="195"/>
      </w:pPr>
      <w:r>
        <w:rPr>
          <w:rFonts w:hint="eastAsia"/>
        </w:rPr>
        <w:t>利用数字化监管平台，将基层市场监管业务中的投诉举报、监管、执法、监督考核等相关活动进行一体化运转，实现市场监管体系完善和效能提升的过程。</w:t>
      </w:r>
    </w:p>
    <w:p>
      <w:pPr>
        <w:pStyle w:val="66"/>
        <w:spacing w:before="312" w:after="312"/>
      </w:pPr>
      <w:bookmarkStart w:id="35" w:name="_Toc156761468"/>
      <w:bookmarkStart w:id="36" w:name="_Toc16151"/>
      <w:bookmarkStart w:id="37" w:name="_Toc9628"/>
      <w:r>
        <w:rPr>
          <w:rFonts w:hint="eastAsia"/>
        </w:rPr>
        <w:t>建设原则</w:t>
      </w:r>
      <w:bookmarkEnd w:id="35"/>
      <w:bookmarkEnd w:id="36"/>
      <w:bookmarkEnd w:id="37"/>
    </w:p>
    <w:p>
      <w:pPr>
        <w:pStyle w:val="65"/>
        <w:spacing w:before="156" w:after="156"/>
      </w:pPr>
      <w:bookmarkStart w:id="38" w:name="_Toc5549"/>
      <w:bookmarkStart w:id="39" w:name="_Toc156761469"/>
      <w:bookmarkStart w:id="40" w:name="_Toc32410"/>
      <w:r>
        <w:rPr>
          <w:rFonts w:hint="eastAsia"/>
        </w:rPr>
        <w:t>融合共享</w:t>
      </w:r>
      <w:bookmarkEnd w:id="38"/>
      <w:bookmarkEnd w:id="39"/>
      <w:bookmarkEnd w:id="40"/>
    </w:p>
    <w:p>
      <w:pPr>
        <w:pStyle w:val="67"/>
        <w:ind w:firstLine="420"/>
      </w:pPr>
      <w:r>
        <w:rPr>
          <w:rFonts w:hint="eastAsia"/>
        </w:rPr>
        <w:t>利用已有的基础设施，打通基于数字化监管平台（简称“平台”）的业务数据和市场主体基础数据，融合基层市场监管部门业务活动，实现平台与政务信息系统数据资源的整合共享。</w:t>
      </w:r>
    </w:p>
    <w:p>
      <w:pPr>
        <w:pStyle w:val="65"/>
        <w:spacing w:before="156" w:after="156"/>
      </w:pPr>
      <w:bookmarkStart w:id="41" w:name="_Toc156761470"/>
      <w:bookmarkStart w:id="42" w:name="_Toc18578"/>
      <w:bookmarkStart w:id="43" w:name="_Toc26830"/>
      <w:r>
        <w:rPr>
          <w:rFonts w:hint="eastAsia"/>
        </w:rPr>
        <w:t>高效创新</w:t>
      </w:r>
      <w:bookmarkEnd w:id="41"/>
      <w:bookmarkEnd w:id="42"/>
      <w:bookmarkEnd w:id="43"/>
    </w:p>
    <w:p>
      <w:pPr>
        <w:pStyle w:val="67"/>
        <w:ind w:firstLine="420"/>
      </w:pPr>
      <w:r>
        <w:rPr>
          <w:rFonts w:hint="eastAsia"/>
        </w:rPr>
        <w:t>发挥数据的基础资源作用，构建整体协同的数据资源体系，以数据汇聚融合、共享开放和开发利用，推动实现数据驱动下的业务流程优化、监管效率提升、实施方式创新。</w:t>
      </w:r>
    </w:p>
    <w:p>
      <w:pPr>
        <w:pStyle w:val="65"/>
        <w:spacing w:before="156" w:after="156"/>
      </w:pPr>
      <w:bookmarkStart w:id="44" w:name="_Toc139015485"/>
      <w:bookmarkStart w:id="45" w:name="_Toc1921"/>
      <w:bookmarkStart w:id="46" w:name="_Toc156761471"/>
      <w:bookmarkStart w:id="47" w:name="_Toc18034"/>
      <w:r>
        <w:rPr>
          <w:rFonts w:hint="eastAsia"/>
        </w:rPr>
        <w:t>安全</w:t>
      </w:r>
      <w:bookmarkEnd w:id="44"/>
      <w:r>
        <w:rPr>
          <w:rFonts w:hint="eastAsia"/>
        </w:rPr>
        <w:t>可靠</w:t>
      </w:r>
      <w:bookmarkEnd w:id="45"/>
      <w:bookmarkEnd w:id="46"/>
      <w:bookmarkEnd w:id="47"/>
    </w:p>
    <w:p>
      <w:pPr>
        <w:pStyle w:val="67"/>
        <w:ind w:firstLine="420"/>
      </w:pPr>
      <w:r>
        <w:rPr>
          <w:rFonts w:hint="eastAsia"/>
        </w:rPr>
        <w:t>确保设备、系统和用户接入平台及信息传输过程的安全性，具备系统容错和系统恢复、数据备份能力，支持负载均衡。</w:t>
      </w:r>
    </w:p>
    <w:p>
      <w:pPr>
        <w:pStyle w:val="65"/>
        <w:spacing w:before="156" w:after="156"/>
      </w:pPr>
      <w:bookmarkStart w:id="48" w:name="_Toc21857"/>
      <w:bookmarkStart w:id="49" w:name="_Toc156761472"/>
      <w:bookmarkStart w:id="50" w:name="_Toc24865"/>
      <w:r>
        <w:rPr>
          <w:rFonts w:hint="eastAsia"/>
        </w:rPr>
        <w:t>操作便捷</w:t>
      </w:r>
      <w:bookmarkEnd w:id="48"/>
      <w:bookmarkEnd w:id="49"/>
      <w:bookmarkEnd w:id="50"/>
    </w:p>
    <w:p>
      <w:pPr>
        <w:pStyle w:val="67"/>
        <w:ind w:firstLine="420"/>
      </w:pPr>
      <w:r>
        <w:rPr>
          <w:rFonts w:hint="eastAsia"/>
        </w:rPr>
        <w:t>具有简洁、清晰、友好的中文人机交互界面，操作简单、灵活、易学易用，便于管理和维护。</w:t>
      </w:r>
    </w:p>
    <w:p>
      <w:pPr>
        <w:pStyle w:val="65"/>
        <w:spacing w:before="156" w:after="156"/>
      </w:pPr>
      <w:bookmarkStart w:id="51" w:name="_Toc2602"/>
      <w:bookmarkStart w:id="52" w:name="_Toc27181"/>
      <w:bookmarkStart w:id="53" w:name="_Toc156761473"/>
      <w:r>
        <w:rPr>
          <w:rFonts w:hint="eastAsia"/>
        </w:rPr>
        <w:t>可扩展</w:t>
      </w:r>
      <w:bookmarkEnd w:id="51"/>
      <w:bookmarkEnd w:id="52"/>
      <w:bookmarkEnd w:id="53"/>
    </w:p>
    <w:p>
      <w:pPr>
        <w:pStyle w:val="67"/>
        <w:ind w:firstLine="420"/>
      </w:pPr>
      <w:r>
        <w:rPr>
          <w:rFonts w:hint="eastAsia"/>
        </w:rPr>
        <w:t>平台可在监管领域及管理功能上进行扩展应用。</w:t>
      </w:r>
    </w:p>
    <w:p>
      <w:pPr>
        <w:pStyle w:val="66"/>
        <w:spacing w:before="312" w:after="312"/>
      </w:pPr>
      <w:bookmarkStart w:id="54" w:name="_Toc156761474"/>
      <w:bookmarkStart w:id="55" w:name="_Toc16832"/>
      <w:bookmarkStart w:id="56" w:name="_Toc31595"/>
      <w:r>
        <w:rPr>
          <w:rFonts w:hint="eastAsia"/>
        </w:rPr>
        <w:t>总体架构</w:t>
      </w:r>
      <w:bookmarkEnd w:id="54"/>
      <w:bookmarkEnd w:id="55"/>
      <w:bookmarkEnd w:id="56"/>
    </w:p>
    <w:p>
      <w:pPr>
        <w:pStyle w:val="67"/>
        <w:ind w:firstLine="420"/>
      </w:pPr>
      <w:r>
        <w:rPr>
          <w:rFonts w:hint="eastAsia"/>
        </w:rPr>
        <w:t>平台宜设置应用支撑层、数据融合层、融合监管层、扩展应用层及交互层，平台架构如图1所示，各层具体为：</w:t>
      </w:r>
    </w:p>
    <w:p>
      <w:pPr>
        <w:pStyle w:val="77"/>
      </w:pPr>
      <w:r>
        <w:rPr>
          <w:rFonts w:hint="eastAsia"/>
        </w:rPr>
        <w:t>应用支撑层通过政务信息网、地理信息系统、前端感知网等提供平台所需数据；</w:t>
      </w:r>
    </w:p>
    <w:p>
      <w:pPr>
        <w:pStyle w:val="77"/>
      </w:pPr>
      <w:r>
        <w:rPr>
          <w:rFonts w:hint="eastAsia"/>
        </w:rPr>
        <w:t>数据融合层开展数据采集和汇聚、数据整合和处理、数据挖掘分析等活动，以满足融合监管活动对数据的需求；</w:t>
      </w:r>
    </w:p>
    <w:p>
      <w:pPr>
        <w:pStyle w:val="77"/>
      </w:pPr>
      <w:r>
        <w:rPr>
          <w:rFonts w:hint="eastAsia"/>
        </w:rPr>
        <w:t>融合监管层主要包括对基层市场监管线索归集、综合研判、指挥调度、执行处置、监督考核等业务活动的数字化管理；</w:t>
      </w:r>
    </w:p>
    <w:p>
      <w:pPr>
        <w:pStyle w:val="77"/>
      </w:pPr>
      <w:r>
        <w:rPr>
          <w:rFonts w:hint="eastAsia"/>
        </w:rPr>
        <w:t>扩展应用层提供食品、药品、特种设备等监管应用场景；</w:t>
      </w:r>
    </w:p>
    <w:p>
      <w:pPr>
        <w:pStyle w:val="77"/>
      </w:pPr>
      <w:r>
        <w:rPr>
          <w:rFonts w:hint="eastAsia"/>
        </w:rPr>
        <w:t>交互层为基层市场监管人员、监管对象提供不同应用和访问方式。</w:t>
      </w:r>
    </w:p>
    <w:p>
      <w:pPr>
        <w:pStyle w:val="67"/>
        <w:ind w:firstLine="420"/>
        <w:rPr>
          <w:rFonts w:hint="eastAsia"/>
        </w:rPr>
      </w:pPr>
      <w:r>
        <w:rPr>
          <w:rFonts w:hint="eastAsia"/>
        </w:rPr>
        <w:t>安全保障体系和标准体系为平台建设的管理体系</w:t>
      </w:r>
      <w:r>
        <w:rPr>
          <w:rFonts w:hint="eastAsia"/>
          <w:lang w:eastAsia="zh-CN"/>
        </w:rPr>
        <w:t>，</w:t>
      </w:r>
      <w:r>
        <w:rPr>
          <w:rFonts w:hint="eastAsia"/>
        </w:rPr>
        <w:t>以国家电子政务标准体系建设指南和市场监管信息化标准体系为指导，确保安全可靠、规范统一。</w:t>
      </w:r>
    </w:p>
    <w:p>
      <w:pPr>
        <w:pStyle w:val="66"/>
        <w:spacing w:before="312" w:after="312"/>
      </w:pPr>
      <w:bookmarkStart w:id="57" w:name="_Toc23423"/>
      <w:bookmarkStart w:id="58" w:name="_Toc156761475"/>
      <w:bookmarkStart w:id="59" w:name="_Toc17821"/>
      <w:r>
        <w:rPr>
          <w:rFonts w:hint="eastAsia"/>
        </w:rPr>
        <w:t>应用支撑层</w:t>
      </w:r>
      <w:bookmarkEnd w:id="57"/>
      <w:bookmarkEnd w:id="58"/>
      <w:bookmarkEnd w:id="59"/>
    </w:p>
    <w:p>
      <w:pPr>
        <w:pStyle w:val="65"/>
        <w:spacing w:before="156" w:after="156"/>
      </w:pPr>
      <w:bookmarkStart w:id="60" w:name="_Toc139015490"/>
      <w:bookmarkStart w:id="61" w:name="_Toc12828"/>
      <w:bookmarkStart w:id="62" w:name="_Toc14283"/>
      <w:bookmarkStart w:id="63" w:name="_Toc156761476"/>
      <w:r>
        <w:rPr>
          <w:rFonts w:hint="eastAsia"/>
        </w:rPr>
        <w:t>政务信息</w:t>
      </w:r>
      <w:bookmarkEnd w:id="60"/>
      <w:r>
        <w:rPr>
          <w:rFonts w:hint="eastAsia"/>
        </w:rPr>
        <w:t>网</w:t>
      </w:r>
      <w:bookmarkEnd w:id="61"/>
      <w:bookmarkEnd w:id="62"/>
      <w:bookmarkEnd w:id="63"/>
    </w:p>
    <w:p>
      <w:pPr>
        <w:pStyle w:val="67"/>
        <w:ind w:firstLine="420"/>
        <w:rPr>
          <w:rFonts w:hint="eastAsia" w:eastAsia="宋体"/>
          <w:lang w:eastAsia="zh-CN"/>
        </w:rPr>
      </w:pPr>
      <w:r>
        <w:rPr>
          <w:rFonts w:hint="eastAsia"/>
        </w:rPr>
        <w:t>基层市场监管部门宜通过政务外网、互联网等网络平台，归集上级政府部门、本级政府部门及本部门相关业务数据，作为基层市场监管的核心数据来源，为平台提供数据支持，包括但不限于</w:t>
      </w:r>
      <w:r>
        <w:rPr>
          <w:rFonts w:hint="eastAsia"/>
          <w:lang w:eastAsia="zh-CN"/>
        </w:rPr>
        <w:t>：</w:t>
      </w:r>
    </w:p>
    <w:p>
      <w:pPr>
        <w:pStyle w:val="67"/>
        <w:ind w:firstLine="420"/>
      </w:pPr>
      <w:r>
        <w:rPr>
          <w:rFonts w:hint="eastAsia"/>
        </w:rPr>
        <w:t>——基层市场监管部门的职能信息、人员信息等基础信息及业务活动信息；</w:t>
      </w:r>
    </w:p>
    <w:p>
      <w:pPr>
        <w:pStyle w:val="67"/>
        <w:ind w:firstLine="420"/>
      </w:pPr>
      <w:r>
        <w:rPr>
          <w:rFonts w:hint="eastAsia"/>
        </w:rPr>
        <w:t>——基层市场监管部门监管对象的登记信息、许可信息、信用信息、人员信息等；</w:t>
      </w:r>
    </w:p>
    <w:p>
      <w:pPr>
        <w:pStyle w:val="67"/>
        <w:ind w:firstLine="420"/>
      </w:pPr>
      <w:r>
        <w:rPr>
          <w:rFonts w:hint="eastAsia"/>
        </w:rPr>
        <w:t>——其他部门相关政务资源信息。</w:t>
      </w:r>
    </w:p>
    <w:p>
      <w:pPr>
        <w:pStyle w:val="67"/>
        <w:ind w:left="0" w:leftChars="0" w:firstLine="0" w:firstLineChars="0"/>
        <w:rPr>
          <w:rFonts w:hint="eastAsia"/>
        </w:rPr>
      </w:pPr>
    </w:p>
    <w:p>
      <w:pPr>
        <w:pStyle w:val="67"/>
        <w:ind w:firstLine="0" w:firstLineChars="0"/>
        <w:jc w:val="center"/>
      </w:pPr>
      <w:r>
        <w:rPr>
          <w:rFonts w:hint="eastAsia"/>
        </w:rPr>
        <w:drawing>
          <wp:inline distT="0" distB="0" distL="114300" distR="114300">
            <wp:extent cx="5931535" cy="2652395"/>
            <wp:effectExtent l="0" t="0" r="12065" b="14605"/>
            <wp:docPr id="1" name="图片 1" descr="e935aba2c944408bbcb9e1a9fc2083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935aba2c944408bbcb9e1a9fc2083f"/>
                    <pic:cNvPicPr>
                      <a:picLocks noChangeAspect="true"/>
                    </pic:cNvPicPr>
                  </pic:nvPicPr>
                  <pic:blipFill>
                    <a:blip r:embed="rId20"/>
                    <a:stretch>
                      <a:fillRect/>
                    </a:stretch>
                  </pic:blipFill>
                  <pic:spPr>
                    <a:xfrm>
                      <a:off x="0" y="0"/>
                      <a:ext cx="5931535" cy="2652395"/>
                    </a:xfrm>
                    <a:prstGeom prst="rect">
                      <a:avLst/>
                    </a:prstGeom>
                  </pic:spPr>
                </pic:pic>
              </a:graphicData>
            </a:graphic>
          </wp:inline>
        </w:drawing>
      </w:r>
    </w:p>
    <w:p>
      <w:pPr>
        <w:pStyle w:val="78"/>
        <w:keepNext w:val="0"/>
        <w:keepLines w:val="0"/>
        <w:pageBreakBefore w:val="0"/>
        <w:widowControl/>
        <w:kinsoku/>
        <w:wordWrap/>
        <w:overflowPunct/>
        <w:topLinePunct w:val="0"/>
        <w:autoSpaceDE/>
        <w:autoSpaceDN/>
        <w:bidi w:val="0"/>
        <w:adjustRightInd/>
        <w:snapToGrid/>
        <w:spacing w:before="156" w:after="156"/>
        <w:ind w:left="0"/>
        <w:textAlignment w:val="auto"/>
      </w:pPr>
      <w:r>
        <w:rPr>
          <w:rFonts w:hint="eastAsia"/>
        </w:rPr>
        <w:t>平台架构图</w:t>
      </w:r>
    </w:p>
    <w:p>
      <w:pPr>
        <w:pStyle w:val="65"/>
        <w:spacing w:before="156" w:after="156"/>
      </w:pPr>
      <w:bookmarkStart w:id="64" w:name="_Toc139015491"/>
      <w:bookmarkStart w:id="65" w:name="_Toc11280"/>
      <w:bookmarkStart w:id="66" w:name="_Toc156761478"/>
      <w:bookmarkStart w:id="67" w:name="_Toc17668"/>
      <w:r>
        <w:rPr>
          <w:rFonts w:hint="eastAsia"/>
        </w:rPr>
        <w:t>前端感知网</w:t>
      </w:r>
      <w:bookmarkEnd w:id="64"/>
      <w:bookmarkEnd w:id="65"/>
      <w:bookmarkEnd w:id="66"/>
      <w:bookmarkEnd w:id="67"/>
      <w:r>
        <w:rPr>
          <w:rFonts w:hint="eastAsia"/>
        </w:rPr>
        <w:tab/>
      </w:r>
    </w:p>
    <w:p>
      <w:pPr>
        <w:pStyle w:val="67"/>
        <w:ind w:firstLine="420"/>
        <w:rPr>
          <w:rFonts w:hint="eastAsia" w:eastAsia="宋体"/>
          <w:lang w:eastAsia="zh-CN"/>
        </w:rPr>
      </w:pPr>
      <w:r>
        <w:rPr>
          <w:rFonts w:hint="eastAsia"/>
        </w:rPr>
        <w:t>基层市场监管部门宜在特种设备、食品、药品等领域布设视频监控、温度监控等前端感知设备，在互联网监管领域建立各类监测系统，实时获取数字化监管对象的数据，包括但不限于</w:t>
      </w:r>
      <w:bookmarkStart w:id="68" w:name="_Toc139015493"/>
      <w:r>
        <w:rPr>
          <w:rFonts w:hint="eastAsia"/>
          <w:lang w:eastAsia="zh-CN"/>
        </w:rPr>
        <w:t>：</w:t>
      </w:r>
    </w:p>
    <w:p>
      <w:pPr>
        <w:pStyle w:val="77"/>
      </w:pPr>
      <w:r>
        <w:rPr>
          <w:rFonts w:hint="eastAsia"/>
        </w:rPr>
        <w:t>前端设备所采集的音视频数据、温湿度数据等；</w:t>
      </w:r>
    </w:p>
    <w:p>
      <w:pPr>
        <w:pStyle w:val="77"/>
      </w:pPr>
      <w:r>
        <w:rPr>
          <w:rFonts w:hint="eastAsia"/>
        </w:rPr>
        <w:t>基层市场监管部门监管对象在互联网投放的宣传广告信息、物价信息等。</w:t>
      </w:r>
    </w:p>
    <w:p>
      <w:pPr>
        <w:pStyle w:val="66"/>
        <w:spacing w:before="312" w:after="312"/>
      </w:pPr>
      <w:bookmarkStart w:id="69" w:name="_Toc28169"/>
      <w:bookmarkStart w:id="70" w:name="_Toc8969"/>
      <w:bookmarkStart w:id="71" w:name="_Toc156761479"/>
      <w:r>
        <w:rPr>
          <w:rFonts w:hint="eastAsia"/>
        </w:rPr>
        <w:t>数据</w:t>
      </w:r>
      <w:bookmarkEnd w:id="68"/>
      <w:r>
        <w:rPr>
          <w:rFonts w:hint="eastAsia"/>
        </w:rPr>
        <w:t>融合层</w:t>
      </w:r>
      <w:bookmarkEnd w:id="69"/>
      <w:bookmarkEnd w:id="70"/>
      <w:bookmarkEnd w:id="71"/>
    </w:p>
    <w:p>
      <w:pPr>
        <w:pStyle w:val="67"/>
        <w:ind w:firstLine="420"/>
      </w:pPr>
      <w:r>
        <w:rPr>
          <w:rFonts w:hint="eastAsia"/>
        </w:rPr>
        <w:t>宜根据基层市场监管业务需要，对政务信息网、地理信息系统、前端感知网等提供的数据，按照GB/T 34678-2017中8.4.3的规定进行数据融合，为平台各类应用提供数据支撑。</w:t>
      </w:r>
    </w:p>
    <w:p>
      <w:pPr>
        <w:pStyle w:val="66"/>
        <w:spacing w:before="312" w:after="312"/>
      </w:pPr>
      <w:bookmarkStart w:id="72" w:name="_Toc156761480"/>
      <w:bookmarkStart w:id="73" w:name="_Toc28928"/>
      <w:bookmarkStart w:id="74" w:name="_Toc15978"/>
      <w:bookmarkStart w:id="75" w:name="_Toc139015494"/>
      <w:r>
        <w:rPr>
          <w:rFonts w:hint="eastAsia"/>
        </w:rPr>
        <w:t>融合监管层</w:t>
      </w:r>
      <w:bookmarkEnd w:id="72"/>
      <w:bookmarkEnd w:id="73"/>
      <w:bookmarkEnd w:id="74"/>
      <w:bookmarkEnd w:id="75"/>
    </w:p>
    <w:p>
      <w:pPr>
        <w:pStyle w:val="65"/>
        <w:spacing w:before="156" w:after="156"/>
      </w:pPr>
      <w:bookmarkStart w:id="76" w:name="_Toc21032"/>
      <w:bookmarkStart w:id="77" w:name="_Toc5546"/>
      <w:bookmarkStart w:id="78" w:name="_Toc156761481"/>
      <w:r>
        <w:rPr>
          <w:rFonts w:hint="eastAsia"/>
        </w:rPr>
        <w:t>融合监管</w:t>
      </w:r>
      <w:bookmarkEnd w:id="76"/>
      <w:r>
        <w:rPr>
          <w:rFonts w:hint="eastAsia"/>
        </w:rPr>
        <w:t>活动</w:t>
      </w:r>
      <w:bookmarkEnd w:id="77"/>
      <w:bookmarkEnd w:id="78"/>
    </w:p>
    <w:p>
      <w:pPr>
        <w:pStyle w:val="67"/>
        <w:ind w:firstLine="420"/>
        <w:rPr>
          <w:rFonts w:hint="eastAsia"/>
        </w:rPr>
      </w:pPr>
      <w:r>
        <w:rPr>
          <w:rFonts w:hint="eastAsia"/>
        </w:rPr>
        <w:t>利用数据驱动，实现对线索归集、综合研判、指挥调度、执行处置等基层市场监管活动的全过程数字化管理和数字化监督考核,如图2所示。</w:t>
      </w:r>
    </w:p>
    <w:p>
      <w:pPr>
        <w:pStyle w:val="65"/>
        <w:spacing w:before="156" w:after="156"/>
      </w:pPr>
      <w:bookmarkStart w:id="79" w:name="_Toc4798"/>
      <w:bookmarkStart w:id="80" w:name="_Toc156761482"/>
      <w:bookmarkStart w:id="81" w:name="_Toc18028"/>
      <w:r>
        <w:rPr>
          <w:rFonts w:hint="eastAsia"/>
        </w:rPr>
        <w:t>线索</w:t>
      </w:r>
      <w:bookmarkEnd w:id="79"/>
      <w:r>
        <w:rPr>
          <w:rFonts w:hint="eastAsia"/>
        </w:rPr>
        <w:t>归集</w:t>
      </w:r>
      <w:bookmarkEnd w:id="80"/>
      <w:bookmarkEnd w:id="81"/>
    </w:p>
    <w:p>
      <w:pPr>
        <w:pStyle w:val="69"/>
        <w:spacing w:before="156" w:after="156"/>
      </w:pPr>
      <w:bookmarkStart w:id="82" w:name="_Toc6974"/>
      <w:bookmarkStart w:id="83" w:name="_Toc14484"/>
      <w:r>
        <w:rPr>
          <w:rFonts w:hint="eastAsia"/>
        </w:rPr>
        <w:t>线索收集</w:t>
      </w:r>
      <w:bookmarkEnd w:id="82"/>
      <w:bookmarkEnd w:id="83"/>
    </w:p>
    <w:p>
      <w:pPr>
        <w:pStyle w:val="77"/>
        <w:numPr>
          <w:ilvl w:val="0"/>
          <w:numId w:val="0"/>
        </w:numPr>
        <w:ind w:left="851" w:hanging="426"/>
      </w:pPr>
      <w:r>
        <w:rPr>
          <w:rFonts w:hint="eastAsia"/>
        </w:rPr>
        <w:t>宜通过各类渠道收集与基层市场监管业务相关的线索，包括但不限于：</w:t>
      </w:r>
    </w:p>
    <w:p>
      <w:pPr>
        <w:pStyle w:val="77"/>
      </w:pPr>
      <w:r>
        <w:rPr>
          <w:rFonts w:hint="eastAsia"/>
        </w:rPr>
        <w:t>应用支撑层归集数据产生的线索；</w:t>
      </w:r>
    </w:p>
    <w:p>
      <w:pPr>
        <w:pStyle w:val="77"/>
      </w:pPr>
      <w:r>
        <w:rPr>
          <w:rFonts w:hint="eastAsia"/>
        </w:rPr>
        <w:t>12315、12345热线平台等线上渠道收集的群众诉求；</w:t>
      </w:r>
    </w:p>
    <w:p>
      <w:pPr>
        <w:pStyle w:val="77"/>
      </w:pPr>
      <w:r>
        <w:rPr>
          <w:rFonts w:hint="eastAsia"/>
        </w:rPr>
        <w:t>群众现场反映、来信反映、上级部门交办等线下渠道收集的群众诉求；</w:t>
      </w:r>
    </w:p>
    <w:p>
      <w:pPr>
        <w:pStyle w:val="77"/>
      </w:pPr>
      <w:r>
        <w:rPr>
          <w:rFonts w:hint="eastAsia"/>
        </w:rPr>
        <w:t>平台综合研判分析产生的线索；</w:t>
      </w:r>
    </w:p>
    <w:p>
      <w:pPr>
        <w:pStyle w:val="77"/>
      </w:pPr>
      <w:r>
        <w:rPr>
          <w:rFonts w:hint="eastAsia"/>
        </w:rPr>
        <w:t>平台执行处置、监督考核活动中产生的线索。</w:t>
      </w:r>
    </w:p>
    <w:p>
      <w:pPr>
        <w:pStyle w:val="67"/>
        <w:ind w:left="0" w:leftChars="0" w:firstLine="0" w:firstLineChars="0"/>
        <w:rPr>
          <w:rFonts w:hint="eastAsia"/>
        </w:rPr>
      </w:pPr>
      <w:bookmarkStart w:id="141" w:name="_GoBack"/>
      <w:bookmarkEnd w:id="141"/>
    </w:p>
    <w:p>
      <w:pPr>
        <w:pStyle w:val="67"/>
        <w:ind w:firstLine="420"/>
        <w:jc w:val="center"/>
      </w:pPr>
      <w:r>
        <w:drawing>
          <wp:inline distT="0" distB="0" distL="114300" distR="114300">
            <wp:extent cx="4703445" cy="2813050"/>
            <wp:effectExtent l="0" t="0" r="1905" b="6350"/>
            <wp:docPr id="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true"/>
                    </pic:cNvPicPr>
                  </pic:nvPicPr>
                  <pic:blipFill>
                    <a:blip r:embed="rId21"/>
                    <a:srcRect t="2447" b="1624"/>
                    <a:stretch>
                      <a:fillRect/>
                    </a:stretch>
                  </pic:blipFill>
                  <pic:spPr>
                    <a:xfrm>
                      <a:off x="0" y="0"/>
                      <a:ext cx="4703445" cy="2813050"/>
                    </a:xfrm>
                    <a:prstGeom prst="rect">
                      <a:avLst/>
                    </a:prstGeom>
                    <a:noFill/>
                    <a:ln>
                      <a:noFill/>
                    </a:ln>
                  </pic:spPr>
                </pic:pic>
              </a:graphicData>
            </a:graphic>
          </wp:inline>
        </w:drawing>
      </w:r>
    </w:p>
    <w:p>
      <w:pPr>
        <w:pStyle w:val="78"/>
        <w:keepNext w:val="0"/>
        <w:keepLines w:val="0"/>
        <w:pageBreakBefore w:val="0"/>
        <w:widowControl/>
        <w:kinsoku/>
        <w:wordWrap/>
        <w:overflowPunct/>
        <w:topLinePunct w:val="0"/>
        <w:autoSpaceDE/>
        <w:autoSpaceDN/>
        <w:bidi w:val="0"/>
        <w:adjustRightInd/>
        <w:snapToGrid/>
        <w:spacing w:before="156" w:after="156"/>
        <w:ind w:left="0"/>
        <w:textAlignment w:val="auto"/>
      </w:pPr>
      <w:r>
        <w:rPr>
          <w:rFonts w:hint="eastAsia"/>
        </w:rPr>
        <w:t>融合监管活动示意图</w:t>
      </w:r>
    </w:p>
    <w:p>
      <w:pPr>
        <w:pStyle w:val="69"/>
        <w:spacing w:before="156" w:after="156"/>
      </w:pPr>
      <w:bookmarkStart w:id="84" w:name="_Toc29377"/>
      <w:bookmarkStart w:id="85" w:name="_Toc8427"/>
      <w:r>
        <w:rPr>
          <w:rFonts w:hint="eastAsia"/>
        </w:rPr>
        <w:t>线索处理</w:t>
      </w:r>
      <w:bookmarkEnd w:id="84"/>
      <w:bookmarkEnd w:id="85"/>
    </w:p>
    <w:p>
      <w:pPr>
        <w:pStyle w:val="67"/>
        <w:ind w:firstLine="420"/>
      </w:pPr>
      <w:r>
        <w:rPr>
          <w:rFonts w:hint="eastAsia"/>
        </w:rPr>
        <w:t>宜根据线索类型、涉及监管对象等特征对线索进行归集，并按照业务规范和需求在平台流转：</w:t>
      </w:r>
    </w:p>
    <w:p>
      <w:pPr>
        <w:pStyle w:val="67"/>
        <w:ind w:firstLine="420"/>
      </w:pPr>
      <w:r>
        <w:rPr>
          <w:rFonts w:hint="eastAsia"/>
        </w:rPr>
        <w:t>——可直接处置的线索，本模块自行处理；</w:t>
      </w:r>
    </w:p>
    <w:p>
      <w:pPr>
        <w:pStyle w:val="67"/>
        <w:ind w:firstLine="420"/>
      </w:pPr>
      <w:r>
        <w:rPr>
          <w:rFonts w:hint="eastAsia"/>
        </w:rPr>
        <w:t>——可明确处置方式的线索通过指挥调度流转至监管、执法模块进行处置；</w:t>
      </w:r>
    </w:p>
    <w:p>
      <w:pPr>
        <w:pStyle w:val="67"/>
        <w:ind w:firstLine="420"/>
      </w:pPr>
      <w:r>
        <w:rPr>
          <w:rFonts w:hint="eastAsia"/>
        </w:rPr>
        <w:t>——需进一步确定处置方式的线索交由综合研判模块进行研判，确定处置方式。</w:t>
      </w:r>
    </w:p>
    <w:p>
      <w:pPr>
        <w:pStyle w:val="69"/>
        <w:spacing w:before="156" w:after="156"/>
        <w:rPr>
          <w:rFonts w:hint="eastAsia"/>
        </w:rPr>
      </w:pPr>
      <w:bookmarkStart w:id="86" w:name="_Toc30845"/>
      <w:bookmarkStart w:id="87" w:name="_Toc23029"/>
      <w:r>
        <w:rPr>
          <w:rFonts w:hint="eastAsia"/>
          <w:lang w:val="en-US" w:eastAsia="zh-CN"/>
        </w:rPr>
        <w:t>结果流转</w:t>
      </w:r>
    </w:p>
    <w:p>
      <w:pPr>
        <w:pStyle w:val="67"/>
        <w:ind w:firstLine="420"/>
        <w:rPr>
          <w:rFonts w:hint="eastAsia"/>
        </w:rPr>
      </w:pPr>
      <w:r>
        <w:rPr>
          <w:rFonts w:hint="eastAsia"/>
        </w:rPr>
        <w:t>宜将归集后的线索内容、处理过程、结果流转至综合研判环节，作为研判依据。</w:t>
      </w:r>
      <w:bookmarkEnd w:id="86"/>
      <w:bookmarkEnd w:id="87"/>
    </w:p>
    <w:p>
      <w:pPr>
        <w:pStyle w:val="65"/>
        <w:spacing w:before="156" w:after="156"/>
      </w:pPr>
      <w:bookmarkStart w:id="88" w:name="_Toc156761483"/>
      <w:bookmarkStart w:id="89" w:name="_Toc22509"/>
      <w:bookmarkStart w:id="90" w:name="_Toc139015495"/>
      <w:bookmarkStart w:id="91" w:name="_Toc32314"/>
      <w:bookmarkStart w:id="92" w:name="_Toc25684"/>
      <w:r>
        <w:rPr>
          <w:rFonts w:hint="eastAsia"/>
        </w:rPr>
        <w:t>综合研判</w:t>
      </w:r>
      <w:bookmarkEnd w:id="88"/>
      <w:bookmarkEnd w:id="89"/>
      <w:bookmarkEnd w:id="90"/>
      <w:bookmarkEnd w:id="91"/>
      <w:bookmarkEnd w:id="92"/>
    </w:p>
    <w:p>
      <w:pPr>
        <w:pStyle w:val="69"/>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eastAsia="宋体"/>
        </w:rPr>
      </w:pPr>
      <w:bookmarkStart w:id="93" w:name="_Toc32615"/>
      <w:bookmarkStart w:id="94" w:name="_Toc10674"/>
      <w:r>
        <w:rPr>
          <w:rFonts w:hint="eastAsia" w:ascii="宋体" w:eastAsia="宋体"/>
        </w:rPr>
        <w:t>宜运用数据分析方法和工具对归集到的线索进行研判，确定线索处置方式或得出结论。</w:t>
      </w:r>
      <w:bookmarkEnd w:id="93"/>
      <w:bookmarkEnd w:id="94"/>
    </w:p>
    <w:p>
      <w:pPr>
        <w:pStyle w:val="69"/>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eastAsia="宋体"/>
        </w:rPr>
      </w:pPr>
      <w:bookmarkStart w:id="95" w:name="_Toc12426"/>
      <w:bookmarkStart w:id="96" w:name="_Toc23897"/>
      <w:r>
        <w:rPr>
          <w:rFonts w:hint="eastAsia" w:ascii="宋体" w:eastAsia="宋体"/>
        </w:rPr>
        <w:t>宜将综合研判结果反馈至线索归集环节。</w:t>
      </w:r>
      <w:bookmarkEnd w:id="95"/>
      <w:bookmarkEnd w:id="96"/>
    </w:p>
    <w:p>
      <w:pPr>
        <w:pStyle w:val="69"/>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宋体" w:eastAsia="宋体"/>
        </w:rPr>
      </w:pPr>
      <w:bookmarkStart w:id="97" w:name="_Toc31639"/>
      <w:bookmarkStart w:id="98" w:name="_Toc25491"/>
      <w:r>
        <w:rPr>
          <w:rFonts w:hint="eastAsia" w:ascii="宋体" w:eastAsia="宋体"/>
        </w:rPr>
        <w:t>宜对研判结果及其产生的影响进行定期分析，根据分析结果进一步优化数据分析方法和工具。</w:t>
      </w:r>
      <w:bookmarkEnd w:id="97"/>
      <w:bookmarkEnd w:id="98"/>
    </w:p>
    <w:p>
      <w:pPr>
        <w:pStyle w:val="65"/>
        <w:spacing w:before="156" w:after="156"/>
      </w:pPr>
      <w:bookmarkStart w:id="99" w:name="_Toc16258"/>
      <w:bookmarkStart w:id="100" w:name="_Toc4603"/>
      <w:bookmarkStart w:id="101" w:name="_Toc156761484"/>
      <w:r>
        <w:rPr>
          <w:rFonts w:hint="eastAsia"/>
        </w:rPr>
        <w:t>指挥调度</w:t>
      </w:r>
      <w:bookmarkEnd w:id="99"/>
      <w:bookmarkEnd w:id="100"/>
      <w:bookmarkEnd w:id="101"/>
    </w:p>
    <w:p>
      <w:pPr>
        <w:pStyle w:val="67"/>
        <w:ind w:firstLine="420"/>
      </w:pPr>
      <w:r>
        <w:rPr>
          <w:rFonts w:hint="eastAsia"/>
        </w:rPr>
        <w:t>宜根据线索的处置方式将线索流转至相应的执行处置模块：</w:t>
      </w:r>
    </w:p>
    <w:p>
      <w:pPr>
        <w:pStyle w:val="67"/>
        <w:ind w:firstLine="420"/>
      </w:pPr>
      <w:r>
        <w:rPr>
          <w:rFonts w:hint="eastAsia"/>
        </w:rPr>
        <w:t>——需开展监督检查的线索，转至监管模块开展检查；</w:t>
      </w:r>
    </w:p>
    <w:p>
      <w:pPr>
        <w:pStyle w:val="67"/>
        <w:ind w:firstLine="420"/>
      </w:pPr>
      <w:r>
        <w:rPr>
          <w:rFonts w:hint="eastAsia"/>
        </w:rPr>
        <w:t>——需进行核查的举报等线索转至执法模块进行案源登记、核查。</w:t>
      </w:r>
    </w:p>
    <w:p>
      <w:pPr>
        <w:pStyle w:val="65"/>
        <w:spacing w:before="156" w:after="156"/>
      </w:pPr>
      <w:bookmarkStart w:id="102" w:name="_Toc833"/>
      <w:bookmarkStart w:id="103" w:name="_Toc156761485"/>
      <w:bookmarkStart w:id="104" w:name="_Toc31308"/>
      <w:r>
        <w:rPr>
          <w:rFonts w:hint="eastAsia"/>
        </w:rPr>
        <w:t>执行处置</w:t>
      </w:r>
      <w:bookmarkEnd w:id="102"/>
      <w:bookmarkEnd w:id="103"/>
      <w:bookmarkEnd w:id="104"/>
    </w:p>
    <w:p>
      <w:pPr>
        <w:pStyle w:val="69"/>
        <w:spacing w:before="156" w:after="156"/>
      </w:pPr>
      <w:bookmarkStart w:id="105" w:name="_Toc19827"/>
      <w:bookmarkStart w:id="106" w:name="_Toc7756"/>
      <w:r>
        <w:rPr>
          <w:rFonts w:hint="eastAsia"/>
        </w:rPr>
        <w:t>监管</w:t>
      </w:r>
      <w:bookmarkEnd w:id="105"/>
      <w:bookmarkEnd w:id="106"/>
    </w:p>
    <w:p>
      <w:pPr>
        <w:pStyle w:val="79"/>
        <w:spacing w:before="156" w:after="156"/>
      </w:pPr>
      <w:r>
        <w:rPr>
          <w:rFonts w:hint="eastAsia"/>
        </w:rPr>
        <w:t>事项管理</w:t>
      </w:r>
    </w:p>
    <w:p>
      <w:pPr>
        <w:pStyle w:val="67"/>
        <w:ind w:firstLine="420"/>
      </w:pPr>
      <w:r>
        <w:rPr>
          <w:rFonts w:hint="eastAsia"/>
        </w:rPr>
        <w:t>根据基层市场监管部门的职能，建立法律法规库并制定检查事项清单，宜至少包括以下功能：</w:t>
      </w:r>
    </w:p>
    <w:p>
      <w:pPr>
        <w:pStyle w:val="67"/>
        <w:ind w:firstLine="420"/>
      </w:pPr>
      <w:r>
        <w:rPr>
          <w:rFonts w:hint="eastAsia"/>
        </w:rPr>
        <w:t>——清单化、标签化管理检查事项；</w:t>
      </w:r>
    </w:p>
    <w:p>
      <w:pPr>
        <w:pStyle w:val="67"/>
        <w:ind w:firstLine="420"/>
      </w:pPr>
      <w:r>
        <w:rPr>
          <w:rFonts w:hint="eastAsia"/>
        </w:rPr>
        <w:t>——对违法行为的严重程度进行分级并明确相应处置方式。</w:t>
      </w:r>
    </w:p>
    <w:p>
      <w:pPr>
        <w:pStyle w:val="79"/>
        <w:spacing w:before="156" w:after="156"/>
      </w:pPr>
      <w:r>
        <w:rPr>
          <w:rFonts w:hint="eastAsia"/>
        </w:rPr>
        <w:t>任务制定</w:t>
      </w:r>
    </w:p>
    <w:p>
      <w:pPr>
        <w:pStyle w:val="67"/>
        <w:ind w:firstLine="420"/>
      </w:pPr>
      <w:r>
        <w:rPr>
          <w:rFonts w:hint="eastAsia"/>
        </w:rPr>
        <w:t>宜根据指令生成相应监管任务，可按需设置监管方式、监管事项、监管对象等要素，并通过平台下发至对应实施部门或人员。</w:t>
      </w:r>
    </w:p>
    <w:p>
      <w:pPr>
        <w:pStyle w:val="79"/>
        <w:spacing w:before="156" w:after="156"/>
      </w:pPr>
      <w:r>
        <w:rPr>
          <w:rFonts w:hint="eastAsia"/>
        </w:rPr>
        <w:t>任务实施</w:t>
      </w:r>
    </w:p>
    <w:p>
      <w:pPr>
        <w:pStyle w:val="67"/>
        <w:ind w:firstLine="420"/>
      </w:pPr>
      <w:r>
        <w:rPr>
          <w:rFonts w:hint="eastAsia"/>
        </w:rPr>
        <w:t>宜按照规范要求设置监管任务实施流程，并根据检查内容匹配相应处置方式，自动生成相应法律文书；发现案源线索需进一步核查的，将线索流转至执法模块。</w:t>
      </w:r>
    </w:p>
    <w:p>
      <w:pPr>
        <w:pStyle w:val="79"/>
        <w:spacing w:before="156" w:after="156"/>
      </w:pPr>
      <w:r>
        <w:rPr>
          <w:rFonts w:hint="eastAsia"/>
          <w:lang w:val="en-US" w:eastAsia="zh-CN"/>
        </w:rPr>
        <w:t>结果反馈</w:t>
      </w:r>
    </w:p>
    <w:p>
      <w:pPr>
        <w:pStyle w:val="67"/>
        <w:ind w:firstLine="420"/>
        <w:rPr>
          <w:rFonts w:hint="eastAsia"/>
          <w:lang w:val="en-US" w:eastAsia="zh-CN"/>
        </w:rPr>
      </w:pPr>
      <w:r>
        <w:rPr>
          <w:rFonts w:hint="eastAsia"/>
          <w:lang w:val="en-US" w:eastAsia="zh-CN"/>
        </w:rPr>
        <w:t>宜将监管过程结果反馈至线索归集环节。</w:t>
      </w:r>
    </w:p>
    <w:p>
      <w:pPr>
        <w:pStyle w:val="69"/>
        <w:spacing w:before="156" w:after="156"/>
      </w:pPr>
      <w:bookmarkStart w:id="107" w:name="_Toc12441"/>
      <w:bookmarkStart w:id="108" w:name="_Toc8895"/>
      <w:r>
        <w:rPr>
          <w:rFonts w:hint="eastAsia"/>
        </w:rPr>
        <w:t>执法</w:t>
      </w:r>
      <w:bookmarkEnd w:id="107"/>
      <w:bookmarkEnd w:id="108"/>
    </w:p>
    <w:p>
      <w:pPr>
        <w:pStyle w:val="79"/>
        <w:spacing w:before="156" w:after="156"/>
      </w:pPr>
      <w:r>
        <w:rPr>
          <w:rFonts w:hint="eastAsia"/>
        </w:rPr>
        <w:t>案源登记</w:t>
      </w:r>
    </w:p>
    <w:p>
      <w:pPr>
        <w:pStyle w:val="67"/>
        <w:ind w:firstLine="420"/>
      </w:pPr>
      <w:r>
        <w:rPr>
          <w:rFonts w:hint="eastAsia"/>
        </w:rPr>
        <w:t>对各来源的案源信息进行登记，包括但不限于：</w:t>
      </w:r>
    </w:p>
    <w:p>
      <w:pPr>
        <w:pStyle w:val="67"/>
        <w:ind w:firstLine="420"/>
      </w:pPr>
      <w:r>
        <w:rPr>
          <w:rFonts w:hint="eastAsia"/>
        </w:rPr>
        <w:t>——通过线索归集形成的案源；</w:t>
      </w:r>
    </w:p>
    <w:p>
      <w:pPr>
        <w:pStyle w:val="67"/>
        <w:ind w:firstLine="420"/>
      </w:pPr>
      <w:r>
        <w:rPr>
          <w:rFonts w:hint="eastAsia"/>
        </w:rPr>
        <w:t>——监管过程产生的案源。</w:t>
      </w:r>
    </w:p>
    <w:p>
      <w:pPr>
        <w:pStyle w:val="79"/>
        <w:spacing w:before="156" w:after="156"/>
      </w:pPr>
      <w:r>
        <w:rPr>
          <w:rFonts w:hint="eastAsia"/>
        </w:rPr>
        <w:t>案件处理</w:t>
      </w:r>
    </w:p>
    <w:p>
      <w:pPr>
        <w:pStyle w:val="67"/>
        <w:ind w:firstLine="420"/>
      </w:pPr>
      <w:r>
        <w:rPr>
          <w:rFonts w:hint="eastAsia"/>
        </w:rPr>
        <w:t>对登记的案源按照程序规定进行处理，宜具有以下功能：</w:t>
      </w:r>
    </w:p>
    <w:p>
      <w:pPr>
        <w:pStyle w:val="67"/>
        <w:ind w:firstLine="420"/>
      </w:pPr>
      <w:r>
        <w:rPr>
          <w:rFonts w:hint="eastAsia"/>
        </w:rPr>
        <w:t>——统一规范案件的处理流程，实现全流程跟踪闭环管理；</w:t>
      </w:r>
    </w:p>
    <w:p>
      <w:pPr>
        <w:pStyle w:val="67"/>
        <w:ind w:firstLine="420"/>
      </w:pPr>
      <w:r>
        <w:rPr>
          <w:rFonts w:hint="eastAsia"/>
        </w:rPr>
        <w:t>——统一规范案件处理过程的案卷资料，自动生成电子文书；</w:t>
      </w:r>
    </w:p>
    <w:p>
      <w:pPr>
        <w:pStyle w:val="67"/>
        <w:ind w:firstLine="420"/>
      </w:pPr>
      <w:r>
        <w:rPr>
          <w:rFonts w:hint="eastAsia"/>
        </w:rPr>
        <w:t>——支持线上审批、电子签章、线上缴款等功能。</w:t>
      </w:r>
    </w:p>
    <w:p>
      <w:pPr>
        <w:pStyle w:val="79"/>
        <w:spacing w:before="156" w:after="156"/>
      </w:pPr>
      <w:r>
        <w:rPr>
          <w:rFonts w:hint="eastAsia"/>
          <w:lang w:val="en-US" w:eastAsia="zh-CN"/>
        </w:rPr>
        <w:t>结果反馈</w:t>
      </w:r>
    </w:p>
    <w:p>
      <w:pPr>
        <w:pStyle w:val="67"/>
        <w:ind w:firstLine="420"/>
        <w:rPr>
          <w:rFonts w:hint="eastAsia"/>
        </w:rPr>
      </w:pPr>
      <w:r>
        <w:rPr>
          <w:rFonts w:hint="eastAsia"/>
        </w:rPr>
        <w:t>宜将执法过程结果反馈至线索归集环节。</w:t>
      </w:r>
    </w:p>
    <w:p>
      <w:pPr>
        <w:pStyle w:val="65"/>
        <w:spacing w:before="156" w:after="156"/>
      </w:pPr>
      <w:bookmarkStart w:id="109" w:name="_Toc9228"/>
      <w:bookmarkStart w:id="110" w:name="_Toc27300"/>
      <w:bookmarkStart w:id="111" w:name="_Toc156761486"/>
      <w:r>
        <w:rPr>
          <w:rFonts w:hint="eastAsia"/>
        </w:rPr>
        <w:t>监督考核</w:t>
      </w:r>
      <w:bookmarkEnd w:id="109"/>
      <w:bookmarkEnd w:id="110"/>
      <w:bookmarkEnd w:id="111"/>
    </w:p>
    <w:p>
      <w:pPr>
        <w:pStyle w:val="69"/>
        <w:spacing w:before="156" w:after="156"/>
      </w:pPr>
      <w:bookmarkStart w:id="112" w:name="_Toc27863"/>
      <w:bookmarkStart w:id="113" w:name="_Toc20808"/>
      <w:r>
        <w:rPr>
          <w:rFonts w:hint="eastAsia"/>
        </w:rPr>
        <w:t>监督</w:t>
      </w:r>
      <w:bookmarkEnd w:id="112"/>
      <w:bookmarkEnd w:id="113"/>
    </w:p>
    <w:p>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eastAsia="宋体"/>
        </w:rPr>
      </w:pPr>
      <w:r>
        <w:rPr>
          <w:rFonts w:hint="eastAsia" w:ascii="宋体" w:eastAsia="宋体"/>
        </w:rPr>
        <w:t>宜对基层市场监管人员的考勤、纪律等情况进行监督，生成监督结果。</w:t>
      </w:r>
    </w:p>
    <w:p>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eastAsia="宋体"/>
        </w:rPr>
      </w:pPr>
      <w:r>
        <w:rPr>
          <w:rFonts w:hint="eastAsia" w:ascii="宋体" w:eastAsia="宋体"/>
        </w:rPr>
        <w:t>宜通过定期抽查、专项督查和自动监测等方式，对线索归集、综合研判、指挥调度、执行处置的过程和结果进行监督，生成监督结果。</w:t>
      </w:r>
    </w:p>
    <w:p>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eastAsia="宋体"/>
        </w:rPr>
      </w:pPr>
      <w:r>
        <w:rPr>
          <w:rFonts w:hint="eastAsia" w:ascii="宋体" w:eastAsia="宋体"/>
        </w:rPr>
        <w:t>宜将监督结果反馈至线索归集环节。</w:t>
      </w:r>
    </w:p>
    <w:p>
      <w:pPr>
        <w:pStyle w:val="69"/>
        <w:spacing w:before="156" w:after="156"/>
      </w:pPr>
      <w:bookmarkStart w:id="114" w:name="_Toc24916"/>
      <w:bookmarkStart w:id="115" w:name="_Toc15506"/>
      <w:r>
        <w:rPr>
          <w:rFonts w:hint="eastAsia"/>
        </w:rPr>
        <w:t>考核</w:t>
      </w:r>
      <w:bookmarkEnd w:id="114"/>
      <w:bookmarkEnd w:id="115"/>
    </w:p>
    <w:p>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eastAsia="宋体"/>
        </w:rPr>
      </w:pPr>
      <w:r>
        <w:rPr>
          <w:rFonts w:hint="eastAsia" w:ascii="宋体" w:eastAsia="宋体"/>
        </w:rPr>
        <w:t>宜建立评价要素和评价指标，对基层市场监管人员的工作情况进行评价，生成个人及部门的评价数据，包括但不限于：</w:t>
      </w:r>
    </w:p>
    <w:p>
      <w:pPr>
        <w:pStyle w:val="67"/>
        <w:ind w:firstLine="420"/>
      </w:pPr>
      <w:r>
        <w:rPr>
          <w:rFonts w:hint="eastAsia"/>
        </w:rPr>
        <w:t>——线索归集情况；</w:t>
      </w:r>
    </w:p>
    <w:p>
      <w:pPr>
        <w:pStyle w:val="67"/>
        <w:ind w:firstLine="420"/>
      </w:pPr>
      <w:r>
        <w:rPr>
          <w:rFonts w:hint="eastAsia"/>
        </w:rPr>
        <w:t>——综合研判情况；</w:t>
      </w:r>
    </w:p>
    <w:p>
      <w:pPr>
        <w:pStyle w:val="67"/>
        <w:ind w:firstLine="420"/>
      </w:pPr>
      <w:r>
        <w:rPr>
          <w:rFonts w:hint="eastAsia"/>
        </w:rPr>
        <w:t>——指挥调度情况；</w:t>
      </w:r>
    </w:p>
    <w:p>
      <w:pPr>
        <w:pStyle w:val="67"/>
        <w:ind w:firstLine="420"/>
      </w:pPr>
      <w:r>
        <w:rPr>
          <w:rFonts w:hint="eastAsia"/>
        </w:rPr>
        <w:t>——监管、执法任务完成情况；</w:t>
      </w:r>
    </w:p>
    <w:p>
      <w:pPr>
        <w:pStyle w:val="67"/>
        <w:ind w:firstLine="420"/>
      </w:pPr>
      <w:r>
        <w:rPr>
          <w:rFonts w:hint="eastAsia"/>
        </w:rPr>
        <w:t>——监督情况；</w:t>
      </w:r>
    </w:p>
    <w:p>
      <w:pPr>
        <w:pStyle w:val="67"/>
        <w:ind w:firstLine="420"/>
      </w:pPr>
      <w:r>
        <w:rPr>
          <w:rFonts w:hint="eastAsia"/>
        </w:rPr>
        <w:t>——规章制度执行情况；</w:t>
      </w:r>
    </w:p>
    <w:p>
      <w:pPr>
        <w:pStyle w:val="67"/>
        <w:ind w:firstLine="420"/>
      </w:pPr>
      <w:r>
        <w:rPr>
          <w:rFonts w:hint="eastAsia"/>
        </w:rPr>
        <w:t>——特色工作开展情况。</w:t>
      </w:r>
    </w:p>
    <w:p>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eastAsia="宋体"/>
        </w:rPr>
      </w:pPr>
      <w:r>
        <w:rPr>
          <w:rFonts w:hint="eastAsia" w:ascii="宋体" w:eastAsia="宋体"/>
        </w:rPr>
        <w:t>宜将考核结果反馈至线索归集环节。</w:t>
      </w:r>
    </w:p>
    <w:p>
      <w:pPr>
        <w:pStyle w:val="66"/>
        <w:spacing w:before="312" w:after="312"/>
      </w:pPr>
      <w:bookmarkStart w:id="116" w:name="_Toc139015498"/>
      <w:bookmarkStart w:id="117" w:name="_Toc156761487"/>
      <w:bookmarkStart w:id="118" w:name="_Toc22118"/>
      <w:bookmarkStart w:id="119" w:name="_Toc10362"/>
      <w:r>
        <w:rPr>
          <w:rFonts w:hint="eastAsia"/>
        </w:rPr>
        <w:t>扩展应用层</w:t>
      </w:r>
      <w:bookmarkEnd w:id="116"/>
      <w:bookmarkEnd w:id="117"/>
      <w:bookmarkEnd w:id="118"/>
      <w:bookmarkEnd w:id="119"/>
    </w:p>
    <w:p>
      <w:pPr>
        <w:pStyle w:val="67"/>
        <w:ind w:firstLine="420"/>
      </w:pPr>
      <w:r>
        <w:rPr>
          <w:rFonts w:hint="eastAsia"/>
        </w:rPr>
        <w:t>为提高监管效能，宜结合业务活动、政务信息网、前端感知网等多种来源数据，针对不同监管业务需求，形成独立的应用场景，实现数据驱动，促进业务活动优化，包括但不限于：</w:t>
      </w:r>
    </w:p>
    <w:p>
      <w:pPr>
        <w:pStyle w:val="67"/>
        <w:ind w:firstLine="420"/>
      </w:pPr>
      <w:r>
        <w:rPr>
          <w:rFonts w:hint="eastAsia"/>
        </w:rPr>
        <w:t>——食品安全监管场景；</w:t>
      </w:r>
    </w:p>
    <w:p>
      <w:pPr>
        <w:pStyle w:val="67"/>
        <w:ind w:firstLine="420"/>
      </w:pPr>
      <w:r>
        <w:rPr>
          <w:rFonts w:hint="eastAsia"/>
        </w:rPr>
        <w:t>——特种设备监管场景；</w:t>
      </w:r>
    </w:p>
    <w:p>
      <w:pPr>
        <w:pStyle w:val="67"/>
        <w:ind w:firstLine="420"/>
      </w:pPr>
      <w:r>
        <w:rPr>
          <w:rFonts w:hint="eastAsia"/>
        </w:rPr>
        <w:t>——药品安全监管场景。</w:t>
      </w:r>
    </w:p>
    <w:p>
      <w:pPr>
        <w:pStyle w:val="66"/>
        <w:spacing w:before="312" w:after="312"/>
      </w:pPr>
      <w:bookmarkStart w:id="120" w:name="_Toc27003"/>
      <w:bookmarkStart w:id="121" w:name="_Toc25495"/>
      <w:bookmarkStart w:id="122" w:name="_Toc139015499"/>
      <w:bookmarkStart w:id="123" w:name="_Toc156761488"/>
      <w:r>
        <w:rPr>
          <w:rFonts w:hint="eastAsia"/>
        </w:rPr>
        <w:t>交互层</w:t>
      </w:r>
      <w:bookmarkEnd w:id="120"/>
      <w:bookmarkEnd w:id="121"/>
      <w:bookmarkEnd w:id="122"/>
      <w:bookmarkEnd w:id="123"/>
    </w:p>
    <w:p>
      <w:pPr>
        <w:pStyle w:val="67"/>
        <w:ind w:firstLine="420"/>
      </w:pPr>
      <w:r>
        <w:rPr>
          <w:rFonts w:hint="eastAsia"/>
        </w:rPr>
        <w:t>宜直接面对用户，提供包括但不限于PC端、移动端、自助终端、大屏等多种终端访问方式实现不同功能，满足不同用户的不同需求。</w:t>
      </w:r>
    </w:p>
    <w:p>
      <w:pPr>
        <w:pStyle w:val="66"/>
        <w:spacing w:before="312" w:after="312"/>
      </w:pPr>
      <w:bookmarkStart w:id="124" w:name="_Toc23874"/>
      <w:bookmarkStart w:id="125" w:name="_Toc18178"/>
      <w:bookmarkStart w:id="126" w:name="_Toc139015500"/>
      <w:bookmarkStart w:id="127" w:name="_Toc156761489"/>
      <w:r>
        <w:rPr>
          <w:rFonts w:hint="eastAsia"/>
        </w:rPr>
        <w:t>安全管理</w:t>
      </w:r>
      <w:bookmarkEnd w:id="124"/>
      <w:bookmarkEnd w:id="125"/>
      <w:bookmarkEnd w:id="126"/>
      <w:bookmarkEnd w:id="127"/>
    </w:p>
    <w:p>
      <w:pPr>
        <w:pStyle w:val="65"/>
        <w:spacing w:before="156" w:after="156"/>
      </w:pPr>
      <w:bookmarkStart w:id="128" w:name="_Toc6444"/>
      <w:bookmarkStart w:id="129" w:name="_Toc156761490"/>
      <w:bookmarkStart w:id="130" w:name="_Toc27277"/>
      <w:r>
        <w:rPr>
          <w:rFonts w:hint="eastAsia"/>
        </w:rPr>
        <w:t>安全保护</w:t>
      </w:r>
      <w:bookmarkEnd w:id="128"/>
      <w:bookmarkEnd w:id="129"/>
      <w:bookmarkEnd w:id="130"/>
    </w:p>
    <w:p>
      <w:pPr>
        <w:pStyle w:val="67"/>
        <w:ind w:firstLine="420"/>
      </w:pPr>
      <w:r>
        <w:rPr>
          <w:rFonts w:hint="eastAsia"/>
        </w:rPr>
        <w:t>宜根据实际需求，按照GB/T 22239-2019对设备、云计算、移动互联、物联网等进行相应安全等级保护。</w:t>
      </w:r>
    </w:p>
    <w:p>
      <w:pPr>
        <w:pStyle w:val="65"/>
        <w:spacing w:before="156" w:after="156"/>
      </w:pPr>
      <w:bookmarkStart w:id="131" w:name="_Toc11484"/>
      <w:bookmarkStart w:id="132" w:name="_Toc2619"/>
      <w:bookmarkStart w:id="133" w:name="_Toc156761491"/>
      <w:r>
        <w:rPr>
          <w:rFonts w:hint="eastAsia"/>
        </w:rPr>
        <w:t>数据备份</w:t>
      </w:r>
      <w:bookmarkEnd w:id="131"/>
      <w:bookmarkEnd w:id="132"/>
      <w:bookmarkEnd w:id="133"/>
    </w:p>
    <w:p>
      <w:pPr>
        <w:pStyle w:val="67"/>
        <w:ind w:firstLine="420"/>
      </w:pPr>
      <w:r>
        <w:rPr>
          <w:rFonts w:hint="eastAsia"/>
        </w:rPr>
        <w:t>宜按照GB/T 29765-2021中第6章的要求进行数据备份。</w:t>
      </w:r>
    </w:p>
    <w:p>
      <w:pPr>
        <w:pStyle w:val="65"/>
        <w:spacing w:before="156" w:after="156"/>
      </w:pPr>
      <w:bookmarkStart w:id="134" w:name="_Toc4145"/>
      <w:bookmarkStart w:id="135" w:name="_Toc5357"/>
      <w:bookmarkStart w:id="136" w:name="_Toc156761492"/>
      <w:r>
        <w:rPr>
          <w:rFonts w:hint="eastAsia"/>
        </w:rPr>
        <w:t>隐私保护</w:t>
      </w:r>
      <w:bookmarkEnd w:id="134"/>
      <w:bookmarkEnd w:id="135"/>
      <w:bookmarkEnd w:id="136"/>
    </w:p>
    <w:p>
      <w:pPr>
        <w:pStyle w:val="67"/>
        <w:ind w:firstLine="420"/>
      </w:pPr>
      <w:r>
        <w:rPr>
          <w:rFonts w:hint="eastAsia"/>
        </w:rPr>
        <w:t>宜按照GB/T 35273-2020第6章和第7章的要求对个人信息进行存储、使用。</w:t>
      </w:r>
    </w:p>
    <w:p>
      <w:pPr>
        <w:pStyle w:val="66"/>
        <w:spacing w:before="312" w:after="312"/>
      </w:pPr>
      <w:bookmarkStart w:id="137" w:name="_Toc897"/>
      <w:bookmarkStart w:id="138" w:name="_Toc18183"/>
      <w:bookmarkStart w:id="139" w:name="_Toc156761493"/>
      <w:bookmarkStart w:id="140" w:name="_Toc139015501"/>
      <w:r>
        <w:rPr>
          <w:rFonts w:hint="eastAsia"/>
        </w:rPr>
        <w:t>持续改进</w:t>
      </w:r>
      <w:bookmarkEnd w:id="137"/>
      <w:bookmarkEnd w:id="138"/>
      <w:bookmarkEnd w:id="139"/>
      <w:bookmarkEnd w:id="140"/>
    </w:p>
    <w:p>
      <w:pPr>
        <w:pStyle w:val="67"/>
        <w:ind w:firstLine="420"/>
        <w:rPr>
          <w:rFonts w:hint="eastAsia"/>
        </w:rPr>
      </w:pPr>
      <w:r>
        <w:rPr>
          <w:rFonts w:hint="eastAsia"/>
        </w:rPr>
        <w:t>宜根据平台运行后对业务效率、业务质量等方面的影响以及平台用户的反馈，结合数字政府发展方向、基层市场监管部门业务需求，运用最新数字技术，持续优化改进平台建设。</w:t>
      </w:r>
    </w:p>
    <w:p>
      <w:pPr>
        <w:pStyle w:val="67"/>
        <w:ind w:firstLine="420"/>
        <w:rPr>
          <w:rFonts w:hint="eastAsia"/>
        </w:rPr>
      </w:pPr>
    </w:p>
    <w:p>
      <w:pPr>
        <w:tabs>
          <w:tab w:val="left" w:pos="6335"/>
        </w:tabs>
        <w:bidi w:val="0"/>
        <w:jc w:val="left"/>
        <w:rPr>
          <w:rFonts w:hint="default" w:ascii="黑体" w:hAnsi="黑体" w:eastAsia="黑体" w:cs="黑体"/>
          <w:sz w:val="18"/>
          <w:szCs w:val="18"/>
          <w:lang w:val="en-US" w:eastAsia="zh-CN"/>
        </w:rPr>
      </w:pPr>
      <w:r>
        <w:rPr>
          <w:rFonts w:ascii="黑体" w:hAnsi="黑体" w:eastAsia="黑体"/>
        </w:rPr>
        <mc:AlternateContent>
          <mc:Choice Requires="wps">
            <w:drawing>
              <wp:anchor distT="0" distB="0" distL="114300" distR="114300" simplePos="0" relativeHeight="251665408" behindDoc="0" locked="0" layoutInCell="1" allowOverlap="1">
                <wp:simplePos x="0" y="0"/>
                <wp:positionH relativeFrom="column">
                  <wp:posOffset>2111375</wp:posOffset>
                </wp:positionH>
                <wp:positionV relativeFrom="paragraph">
                  <wp:posOffset>174625</wp:posOffset>
                </wp:positionV>
                <wp:extent cx="1800225" cy="0"/>
                <wp:effectExtent l="0" t="0" r="0" b="0"/>
                <wp:wrapNone/>
                <wp:docPr id="25" name="直接箭头连接符 5"/>
                <wp:cNvGraphicFramePr/>
                <a:graphic xmlns:a="http://schemas.openxmlformats.org/drawingml/2006/main">
                  <a:graphicData uri="http://schemas.microsoft.com/office/word/2010/wordprocessingShape">
                    <wps:wsp>
                      <wps:cNvCnPr>
                        <a:cxnSpLocks noChangeShapeType="true"/>
                      </wps:cNvCnPr>
                      <wps:spPr bwMode="auto">
                        <a:xfrm>
                          <a:off x="2970530" y="3605530"/>
                          <a:ext cx="1800225" cy="0"/>
                        </a:xfrm>
                        <a:prstGeom prst="straightConnector1">
                          <a:avLst/>
                        </a:prstGeom>
                        <a:noFill/>
                        <a:ln w="9525">
                          <a:solidFill>
                            <a:srgbClr val="000000"/>
                          </a:solidFill>
                          <a:round/>
                        </a:ln>
                        <a:effectLst/>
                      </wps:spPr>
                      <wps:bodyPr/>
                    </wps:wsp>
                  </a:graphicData>
                </a:graphic>
              </wp:anchor>
            </w:drawing>
          </mc:Choice>
          <mc:Fallback>
            <w:pict>
              <v:shape id="直接箭头连接符 5" o:spid="_x0000_s1026" o:spt="32" type="#_x0000_t32" style="position:absolute;left:0pt;margin-left:166.25pt;margin-top:13.75pt;height:0pt;width:141.75pt;z-index:251665408;mso-width-relative:page;mso-height-relative:page;" filled="f" stroked="t" coordsize="21600,21600" o:gfxdata="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t4S4nYAAAACQEAAA8AAAAAAAAAAQAgAAAAOAAAAGRycy9k&#10;b3ducmV2LnhtbFBLAQIUABQAAAAIAIdO4kCI+o+p7AEAAI4DAAAOAAAAAAAAAAEAIAAAAD0BAABk&#10;cnMvZTJvRG9jLnhtbFBLBQYAAAAABgAGAFkBAACbBQAAAAA=&#10;">
                <v:fill on="f" focussize="0,0"/>
                <v:stroke color="#000000" joinstyle="round"/>
                <v:imagedata o:title=""/>
                <o:lock v:ext="edit" aspectratio="f"/>
              </v:shape>
            </w:pict>
          </mc:Fallback>
        </mc:AlternateContent>
      </w:r>
      <w:r>
        <w:rPr>
          <w:rFonts w:hint="eastAsia"/>
          <w:lang w:eastAsia="zh-CN"/>
        </w:rPr>
        <w:tab/>
      </w:r>
    </w:p>
    <w:sectPr>
      <w:headerReference r:id="rId15" w:type="default"/>
      <w:footerReference r:id="rId17" w:type="default"/>
      <w:headerReference r:id="rId16" w:type="even"/>
      <w:footerReference r:id="rId18" w:type="even"/>
      <w:pgSz w:w="11906" w:h="16838"/>
      <w:pgMar w:top="1417" w:right="1134" w:bottom="1134" w:left="1418" w:header="1417"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黑体"/>
    <w:panose1 w:val="00000000000000000000"/>
    <w:charset w:val="86"/>
    <w:family w:val="auto"/>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rFonts w:asciiTheme="minorEastAsia" w:hAnsiTheme="minorEastAsi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22</w:t>
                          </w:r>
                          <w:r>
                            <w:rPr>
                              <w:rFonts w:hint="eastAsia" w:asciiTheme="minorEastAsia" w:hAnsiTheme="minorEastAsia" w:cstheme="minorEastAsia"/>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QGPilKsBAABEAwAADgAAAAAAAAABACAAAAA0AQAAZHJzL2Uyb0RvYy54bWxQSwUG&#10;AAAAAAYABgBZAQAAUQUAAAAA&#10;">
              <v:fill on="f" focussize="0,0"/>
              <v:stroke on="f"/>
              <v:imagedata o:title=""/>
              <o:lock v:ext="edit" aspectratio="f"/>
              <v:textbox inset="0mm,0mm,0mm,0mm" style="mso-fit-shape-to-text:t;">
                <w:txbxContent>
                  <w:p>
                    <w:pPr>
                      <w:pStyle w:val="13"/>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22</w:t>
                    </w:r>
                    <w:r>
                      <w:rPr>
                        <w:rFonts w:hint="eastAsia" w:asciiTheme="minorEastAsia" w:hAnsiTheme="minorEastAsia" w:cstheme="minor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21</w:t>
                          </w:r>
                          <w:r>
                            <w:rPr>
                              <w:rFonts w:asciiTheme="minorEastAsia" w:hAnsiTheme="minor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ABv1wypAQAARAMAAA4AAAAAAAAAAQAgAAAANAEAAGRycy9lMm9Eb2MueG1sUEsFBgAA&#10;AAAGAAYAWQEAAE8FAAAAAA==&#10;">
              <v:fill on="f" focussize="0,0"/>
              <v:stroke on="f"/>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21</w:t>
                    </w:r>
                    <w:r>
                      <w:rPr>
                        <w:rFonts w:asciiTheme="minorEastAsia" w:hAnsi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Style w:val="34"/>
        <w:rFonts w:ascii="黑体" w:hAnsi="黑体" w:eastAsia="黑体"/>
        <w:i w:val="0"/>
        <w:color w:val="808080" w:themeColor="text1" w:themeTint="80"/>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keepNext w:val="0"/>
      <w:keepLines w:val="0"/>
      <w:pageBreakBefore w:val="0"/>
      <w:widowControl w:val="0"/>
      <w:kinsoku/>
      <w:wordWrap/>
      <w:overflowPunct/>
      <w:topLinePunct w:val="0"/>
      <w:autoSpaceDE/>
      <w:autoSpaceDN/>
      <w:bidi w:val="0"/>
      <w:adjustRightInd w:val="0"/>
      <w:snapToGrid w:val="0"/>
      <w:spacing w:after="283"/>
      <w:textAlignment w:val="auto"/>
      <w:rPr>
        <w:rStyle w:val="34"/>
        <w:rFonts w:hint="eastAsia" w:ascii="黑体" w:hAnsi="黑体" w:eastAsia="黑体"/>
        <w:i w:val="0"/>
        <w:color w:val="808080" w:themeColor="text1" w:themeTint="80"/>
        <w:lang w:eastAsia="zh-CN"/>
        <w14:textFill>
          <w14:solidFill>
            <w14:schemeClr w14:val="tx1">
              <w14:lumMod w14:val="50000"/>
              <w14:lumOff w14:val="50000"/>
            </w14:schemeClr>
          </w14:solidFill>
        </w14:textFill>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textAlignment w:val="auto"/>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4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5EF0C26"/>
    <w:multiLevelType w:val="multilevel"/>
    <w:tmpl w:val="15EF0C26"/>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77"/>
      <w:suff w:val="nothing"/>
      <w:lvlText w:val="%1——"/>
      <w:lvlJc w:val="left"/>
      <w:pPr>
        <w:ind w:left="833" w:hanging="408"/>
      </w:pPr>
      <w:rPr>
        <w:rFonts w:hint="eastAsia"/>
        <w:lang w:val="en-US"/>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7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57C2AF5"/>
    <w:multiLevelType w:val="multilevel"/>
    <w:tmpl w:val="557C2AF5"/>
    <w:lvl w:ilvl="0" w:tentative="0">
      <w:start w:val="1"/>
      <w:numFmt w:val="decimal"/>
      <w:pStyle w:val="78"/>
      <w:suff w:val="nothing"/>
      <w:lvlText w:val="图%1　"/>
      <w:lvlJc w:val="left"/>
      <w:pPr>
        <w:ind w:left="3119"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59"/>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73"/>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79"/>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 w:numId="5">
    <w:abstractNumId w:val="9"/>
  </w:num>
  <w:num w:numId="6">
    <w:abstractNumId w:val="7"/>
  </w:num>
  <w:num w:numId="7">
    <w:abstractNumId w:val="6"/>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true"/>
  <w:bordersDoNotSurroundHeader w:val="true"/>
  <w:bordersDoNotSurroundFooter w:val="true"/>
  <w:documentProtection w:edit="trackedChanges"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5817"/>
    <w:rsid w:val="00013861"/>
    <w:rsid w:val="000173A8"/>
    <w:rsid w:val="0001746B"/>
    <w:rsid w:val="00031630"/>
    <w:rsid w:val="0003782B"/>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B1AD2"/>
    <w:rsid w:val="000B5222"/>
    <w:rsid w:val="000C1F9F"/>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30CF6"/>
    <w:rsid w:val="00230F2F"/>
    <w:rsid w:val="00247720"/>
    <w:rsid w:val="00251127"/>
    <w:rsid w:val="00251550"/>
    <w:rsid w:val="002517ED"/>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BC"/>
    <w:rsid w:val="002E5B5C"/>
    <w:rsid w:val="002F2052"/>
    <w:rsid w:val="002F2C23"/>
    <w:rsid w:val="002F3CCA"/>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22C6"/>
    <w:rsid w:val="003438AA"/>
    <w:rsid w:val="00344E14"/>
    <w:rsid w:val="0034543B"/>
    <w:rsid w:val="00346C04"/>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3086A"/>
    <w:rsid w:val="00534D92"/>
    <w:rsid w:val="00536AD1"/>
    <w:rsid w:val="00540818"/>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370B"/>
    <w:rsid w:val="005E015F"/>
    <w:rsid w:val="005E1CA7"/>
    <w:rsid w:val="005F2DCC"/>
    <w:rsid w:val="005F5C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660B"/>
    <w:rsid w:val="00662568"/>
    <w:rsid w:val="006738FB"/>
    <w:rsid w:val="00673C24"/>
    <w:rsid w:val="006763FD"/>
    <w:rsid w:val="006839CD"/>
    <w:rsid w:val="006867E4"/>
    <w:rsid w:val="00686AB4"/>
    <w:rsid w:val="00687FF9"/>
    <w:rsid w:val="00694817"/>
    <w:rsid w:val="00695FD6"/>
    <w:rsid w:val="006965B2"/>
    <w:rsid w:val="00697323"/>
    <w:rsid w:val="006A3A00"/>
    <w:rsid w:val="006A587D"/>
    <w:rsid w:val="006B00F8"/>
    <w:rsid w:val="006B0EDD"/>
    <w:rsid w:val="006B4E4A"/>
    <w:rsid w:val="006D1713"/>
    <w:rsid w:val="006D3593"/>
    <w:rsid w:val="006D384B"/>
    <w:rsid w:val="006D7F23"/>
    <w:rsid w:val="006E42DF"/>
    <w:rsid w:val="006E6B90"/>
    <w:rsid w:val="00705B6D"/>
    <w:rsid w:val="0070744F"/>
    <w:rsid w:val="007078CB"/>
    <w:rsid w:val="00711444"/>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67E9"/>
    <w:rsid w:val="007747B0"/>
    <w:rsid w:val="00775703"/>
    <w:rsid w:val="0077630C"/>
    <w:rsid w:val="00777F91"/>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70C6E"/>
    <w:rsid w:val="00975728"/>
    <w:rsid w:val="00992159"/>
    <w:rsid w:val="0099488E"/>
    <w:rsid w:val="009956AD"/>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25EB"/>
    <w:rsid w:val="009F4144"/>
    <w:rsid w:val="009F655E"/>
    <w:rsid w:val="00A0144F"/>
    <w:rsid w:val="00A0565D"/>
    <w:rsid w:val="00A0685D"/>
    <w:rsid w:val="00A06B8F"/>
    <w:rsid w:val="00A129D5"/>
    <w:rsid w:val="00A25BFF"/>
    <w:rsid w:val="00A26884"/>
    <w:rsid w:val="00A27283"/>
    <w:rsid w:val="00A2795C"/>
    <w:rsid w:val="00A31209"/>
    <w:rsid w:val="00A32E92"/>
    <w:rsid w:val="00A35EAE"/>
    <w:rsid w:val="00A415A9"/>
    <w:rsid w:val="00A421AD"/>
    <w:rsid w:val="00A516F3"/>
    <w:rsid w:val="00A52074"/>
    <w:rsid w:val="00A561C6"/>
    <w:rsid w:val="00A62CE9"/>
    <w:rsid w:val="00A634E6"/>
    <w:rsid w:val="00A66329"/>
    <w:rsid w:val="00A7056C"/>
    <w:rsid w:val="00A713B5"/>
    <w:rsid w:val="00A72B72"/>
    <w:rsid w:val="00A73768"/>
    <w:rsid w:val="00A87B13"/>
    <w:rsid w:val="00A92BF9"/>
    <w:rsid w:val="00A96125"/>
    <w:rsid w:val="00AA0DC4"/>
    <w:rsid w:val="00AA377C"/>
    <w:rsid w:val="00AA425D"/>
    <w:rsid w:val="00AB2CAF"/>
    <w:rsid w:val="00AB64F6"/>
    <w:rsid w:val="00AD00A8"/>
    <w:rsid w:val="00AD428E"/>
    <w:rsid w:val="00AD74A7"/>
    <w:rsid w:val="00AE49BE"/>
    <w:rsid w:val="00AE55AC"/>
    <w:rsid w:val="00AE5F8A"/>
    <w:rsid w:val="00AF53DB"/>
    <w:rsid w:val="00AF7AFE"/>
    <w:rsid w:val="00B01237"/>
    <w:rsid w:val="00B02086"/>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7265"/>
    <w:rsid w:val="00BA4CDD"/>
    <w:rsid w:val="00BA70BA"/>
    <w:rsid w:val="00BA7E3E"/>
    <w:rsid w:val="00BB0517"/>
    <w:rsid w:val="00BC34A7"/>
    <w:rsid w:val="00BC6585"/>
    <w:rsid w:val="00BC76F2"/>
    <w:rsid w:val="00BD3F71"/>
    <w:rsid w:val="00BD44B5"/>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D069E0"/>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72AA8"/>
    <w:rsid w:val="00E72BBB"/>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F0721"/>
    <w:rsid w:val="00EF20A1"/>
    <w:rsid w:val="00F12CCA"/>
    <w:rsid w:val="00F16A12"/>
    <w:rsid w:val="00F16BA1"/>
    <w:rsid w:val="00F200FB"/>
    <w:rsid w:val="00F233DA"/>
    <w:rsid w:val="00F26471"/>
    <w:rsid w:val="00F31218"/>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7729"/>
    <w:rsid w:val="00FB2A20"/>
    <w:rsid w:val="00FB2C86"/>
    <w:rsid w:val="00FB5098"/>
    <w:rsid w:val="00FB5530"/>
    <w:rsid w:val="00FC4373"/>
    <w:rsid w:val="00FC741B"/>
    <w:rsid w:val="00FC7C26"/>
    <w:rsid w:val="00FD0995"/>
    <w:rsid w:val="00FD4916"/>
    <w:rsid w:val="00FD6E30"/>
    <w:rsid w:val="00FE06BE"/>
    <w:rsid w:val="00FE26D3"/>
    <w:rsid w:val="00FE6BAA"/>
    <w:rsid w:val="00FE7CB2"/>
    <w:rsid w:val="00FF2E8A"/>
    <w:rsid w:val="00FF47E6"/>
    <w:rsid w:val="01B97F5E"/>
    <w:rsid w:val="02670DCF"/>
    <w:rsid w:val="043164D2"/>
    <w:rsid w:val="04DB69C7"/>
    <w:rsid w:val="056C2AC8"/>
    <w:rsid w:val="078D3A1F"/>
    <w:rsid w:val="08136FCA"/>
    <w:rsid w:val="08D94A4A"/>
    <w:rsid w:val="09332050"/>
    <w:rsid w:val="09652865"/>
    <w:rsid w:val="097D3D26"/>
    <w:rsid w:val="0ADA2F69"/>
    <w:rsid w:val="0AE10BBF"/>
    <w:rsid w:val="0B4B7E79"/>
    <w:rsid w:val="0BBA5614"/>
    <w:rsid w:val="0BBD0185"/>
    <w:rsid w:val="0D011260"/>
    <w:rsid w:val="10F22B45"/>
    <w:rsid w:val="11EA4A5D"/>
    <w:rsid w:val="123426ED"/>
    <w:rsid w:val="1330335A"/>
    <w:rsid w:val="14AB42D7"/>
    <w:rsid w:val="159863B1"/>
    <w:rsid w:val="1614131D"/>
    <w:rsid w:val="16B6476F"/>
    <w:rsid w:val="1986454E"/>
    <w:rsid w:val="19D653D3"/>
    <w:rsid w:val="1AF62448"/>
    <w:rsid w:val="1CE617B0"/>
    <w:rsid w:val="1D475092"/>
    <w:rsid w:val="1E901E0D"/>
    <w:rsid w:val="1F3709E9"/>
    <w:rsid w:val="1F5511FE"/>
    <w:rsid w:val="1F791B4A"/>
    <w:rsid w:val="1FF922F7"/>
    <w:rsid w:val="203A6C9D"/>
    <w:rsid w:val="235D1A58"/>
    <w:rsid w:val="23893375"/>
    <w:rsid w:val="23D049E7"/>
    <w:rsid w:val="24F31A54"/>
    <w:rsid w:val="262E49A9"/>
    <w:rsid w:val="291C47AB"/>
    <w:rsid w:val="299E589B"/>
    <w:rsid w:val="2A9E6EDA"/>
    <w:rsid w:val="2AC259E9"/>
    <w:rsid w:val="2B556BA4"/>
    <w:rsid w:val="2F033AB7"/>
    <w:rsid w:val="2FC604F2"/>
    <w:rsid w:val="30512DC8"/>
    <w:rsid w:val="305807BF"/>
    <w:rsid w:val="30BA0FA5"/>
    <w:rsid w:val="32697E49"/>
    <w:rsid w:val="355276CD"/>
    <w:rsid w:val="37875802"/>
    <w:rsid w:val="397A5D84"/>
    <w:rsid w:val="3A38257A"/>
    <w:rsid w:val="3A773D1D"/>
    <w:rsid w:val="3B337E5E"/>
    <w:rsid w:val="3D6F398A"/>
    <w:rsid w:val="3D9E1027"/>
    <w:rsid w:val="3FCB4391"/>
    <w:rsid w:val="407103DB"/>
    <w:rsid w:val="41DD26A1"/>
    <w:rsid w:val="432D5ADB"/>
    <w:rsid w:val="455B5C08"/>
    <w:rsid w:val="45E5444B"/>
    <w:rsid w:val="46024881"/>
    <w:rsid w:val="46432AD9"/>
    <w:rsid w:val="491679AE"/>
    <w:rsid w:val="4D7C7F66"/>
    <w:rsid w:val="4E497F1B"/>
    <w:rsid w:val="4E72372F"/>
    <w:rsid w:val="4E826BA1"/>
    <w:rsid w:val="4FB262DF"/>
    <w:rsid w:val="502913D8"/>
    <w:rsid w:val="506A1CDA"/>
    <w:rsid w:val="513145D7"/>
    <w:rsid w:val="52013E99"/>
    <w:rsid w:val="52884ADC"/>
    <w:rsid w:val="54EF45B2"/>
    <w:rsid w:val="561C68FE"/>
    <w:rsid w:val="56FA05E0"/>
    <w:rsid w:val="57205312"/>
    <w:rsid w:val="575B4970"/>
    <w:rsid w:val="5AA42EE1"/>
    <w:rsid w:val="5ADD04B0"/>
    <w:rsid w:val="5E127A94"/>
    <w:rsid w:val="5EC2103E"/>
    <w:rsid w:val="5F3651D2"/>
    <w:rsid w:val="61E0223F"/>
    <w:rsid w:val="62275A9D"/>
    <w:rsid w:val="62A274F4"/>
    <w:rsid w:val="63473BF7"/>
    <w:rsid w:val="64490C49"/>
    <w:rsid w:val="66832C22"/>
    <w:rsid w:val="66E53854"/>
    <w:rsid w:val="68063C20"/>
    <w:rsid w:val="68706054"/>
    <w:rsid w:val="688A0DE6"/>
    <w:rsid w:val="68917B90"/>
    <w:rsid w:val="68F02F9E"/>
    <w:rsid w:val="691D1DC4"/>
    <w:rsid w:val="6A4626EF"/>
    <w:rsid w:val="6A7C706D"/>
    <w:rsid w:val="6ADF74D7"/>
    <w:rsid w:val="6BCA186A"/>
    <w:rsid w:val="6C004A52"/>
    <w:rsid w:val="6C0563E5"/>
    <w:rsid w:val="6C6C0C3F"/>
    <w:rsid w:val="6C89702F"/>
    <w:rsid w:val="6C917B8F"/>
    <w:rsid w:val="6DAD049D"/>
    <w:rsid w:val="6E3A92B3"/>
    <w:rsid w:val="6ECD387A"/>
    <w:rsid w:val="6F2F03DB"/>
    <w:rsid w:val="6FF139B8"/>
    <w:rsid w:val="70064409"/>
    <w:rsid w:val="72127AC6"/>
    <w:rsid w:val="748E5C99"/>
    <w:rsid w:val="74BF2C7A"/>
    <w:rsid w:val="75682D8E"/>
    <w:rsid w:val="75A31161"/>
    <w:rsid w:val="75D25B10"/>
    <w:rsid w:val="76442929"/>
    <w:rsid w:val="76C27A63"/>
    <w:rsid w:val="795409C4"/>
    <w:rsid w:val="7AF60F49"/>
    <w:rsid w:val="7BBE3424"/>
    <w:rsid w:val="7E0328BC"/>
    <w:rsid w:val="7FAC1FBF"/>
    <w:rsid w:val="7FF57E3F"/>
    <w:rsid w:val="DF73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next w:val="7"/>
    <w:qFormat/>
    <w:uiPriority w:val="0"/>
    <w:pPr>
      <w:ind w:firstLine="420"/>
    </w:pPr>
  </w:style>
  <w:style w:type="paragraph" w:styleId="7">
    <w:name w:val="envelope return"/>
    <w:basedOn w:val="1"/>
    <w:qFormat/>
    <w:uiPriority w:val="0"/>
    <w:pPr>
      <w:snapToGrid w:val="0"/>
    </w:pPr>
    <w:rPr>
      <w:rFonts w:ascii="Arial" w:hAnsi="Arial" w:eastAsia="仿宋_GB2312"/>
      <w:sz w:val="32"/>
    </w:rPr>
  </w:style>
  <w:style w:type="paragraph" w:styleId="8">
    <w:name w:val="annotation text"/>
    <w:basedOn w:val="1"/>
    <w:semiHidden/>
    <w:unhideWhenUsed/>
    <w:qFormat/>
    <w:uiPriority w:val="99"/>
    <w:pPr>
      <w:jc w:val="left"/>
    </w:pPr>
  </w:style>
  <w:style w:type="paragraph" w:styleId="9">
    <w:name w:val="toc 3"/>
    <w:basedOn w:val="1"/>
    <w:next w:val="1"/>
    <w:semiHidden/>
    <w:unhideWhenUsed/>
    <w:qFormat/>
    <w:uiPriority w:val="39"/>
    <w:pPr>
      <w:ind w:left="840" w:leftChars="400"/>
    </w:p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9"/>
    <w:qFormat/>
    <w:uiPriority w:val="0"/>
    <w:pPr>
      <w:spacing w:line="276" w:lineRule="auto"/>
      <w:ind w:firstLine="420" w:firstLineChars="200"/>
    </w:pPr>
    <w:rPr>
      <w:rFonts w:ascii="宋体" w:hAnsi="宋体" w:eastAsia="宋体" w:cs="Times New Roman"/>
      <w:snapToGrid w:val="0"/>
      <w:kern w:val="0"/>
      <w:szCs w:val="24"/>
    </w:rPr>
  </w:style>
  <w:style w:type="paragraph" w:styleId="12">
    <w:name w:val="Balloon Text"/>
    <w:basedOn w:val="1"/>
    <w:link w:val="27"/>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框文本 Char"/>
    <w:basedOn w:val="22"/>
    <w:link w:val="12"/>
    <w:semiHidden/>
    <w:qFormat/>
    <w:uiPriority w:val="99"/>
    <w:rPr>
      <w:sz w:val="18"/>
      <w:szCs w:val="18"/>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1">
    <w:name w:val="标题 1 Char"/>
    <w:basedOn w:val="22"/>
    <w:link w:val="3"/>
    <w:qFormat/>
    <w:uiPriority w:val="99"/>
    <w:rPr>
      <w:rFonts w:ascii="Calibri" w:hAnsi="Calibri" w:eastAsia="宋体" w:cs="Times New Roman"/>
      <w:b/>
      <w:bCs/>
      <w:kern w:val="44"/>
      <w:sz w:val="44"/>
      <w:szCs w:val="44"/>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34">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35">
    <w:name w:val="副标题 Char"/>
    <w:basedOn w:val="22"/>
    <w:link w:val="16"/>
    <w:qFormat/>
    <w:uiPriority w:val="11"/>
    <w:rPr>
      <w:rFonts w:eastAsia="宋体" w:asciiTheme="majorHAnsi" w:hAnsiTheme="majorHAnsi" w:cstheme="majorBidi"/>
      <w:b/>
      <w:bCs/>
      <w:kern w:val="28"/>
      <w:sz w:val="32"/>
      <w:szCs w:val="32"/>
    </w:rPr>
  </w:style>
  <w:style w:type="character" w:customStyle="1" w:styleId="36">
    <w:name w:val="标题 Char"/>
    <w:basedOn w:val="22"/>
    <w:link w:val="19"/>
    <w:qFormat/>
    <w:uiPriority w:val="10"/>
    <w:rPr>
      <w:rFonts w:eastAsia="宋体" w:asciiTheme="majorHAnsi" w:hAnsiTheme="majorHAnsi" w:cstheme="majorBidi"/>
      <w:b/>
      <w:bCs/>
      <w:sz w:val="32"/>
      <w:szCs w:val="32"/>
    </w:rPr>
  </w:style>
  <w:style w:type="character" w:customStyle="1" w:styleId="37">
    <w:name w:val="标题 2 Char"/>
    <w:basedOn w:val="22"/>
    <w:link w:val="4"/>
    <w:qFormat/>
    <w:uiPriority w:val="9"/>
    <w:rPr>
      <w:rFonts w:asciiTheme="majorHAnsi" w:hAnsiTheme="majorHAnsi" w:eastAsiaTheme="majorEastAsia" w:cstheme="majorBidi"/>
      <w:b/>
      <w:bCs/>
      <w:sz w:val="32"/>
      <w:szCs w:val="32"/>
    </w:rPr>
  </w:style>
  <w:style w:type="character" w:customStyle="1" w:styleId="38">
    <w:name w:val="标题 3 Char"/>
    <w:basedOn w:val="22"/>
    <w:link w:val="5"/>
    <w:semiHidden/>
    <w:qFormat/>
    <w:uiPriority w:val="9"/>
    <w:rPr>
      <w:b/>
      <w:bCs/>
      <w:sz w:val="32"/>
      <w:szCs w:val="32"/>
    </w:rPr>
  </w:style>
  <w:style w:type="character" w:customStyle="1" w:styleId="39">
    <w:name w:val="正文文本缩进 2 Char"/>
    <w:basedOn w:val="22"/>
    <w:link w:val="11"/>
    <w:qFormat/>
    <w:uiPriority w:val="0"/>
    <w:rPr>
      <w:rFonts w:ascii="宋体" w:hAnsi="宋体" w:eastAsia="宋体" w:cs="Times New Roman"/>
      <w:snapToGrid w:val="0"/>
      <w:kern w:val="0"/>
      <w:szCs w:val="24"/>
    </w:rPr>
  </w:style>
  <w:style w:type="paragraph" w:customStyle="1" w:styleId="40">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1">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4">
    <w:name w:val="high-light-bg4"/>
    <w:basedOn w:val="22"/>
    <w:qFormat/>
    <w:uiPriority w:val="0"/>
  </w:style>
  <w:style w:type="character" w:customStyle="1" w:styleId="45">
    <w:name w:val="ordinary-span-edit2"/>
    <w:basedOn w:val="22"/>
    <w:qFormat/>
    <w:uiPriority w:val="0"/>
  </w:style>
  <w:style w:type="character" w:customStyle="1" w:styleId="46">
    <w:name w:val="日期 Char"/>
    <w:basedOn w:val="22"/>
    <w:link w:val="10"/>
    <w:semiHidden/>
    <w:qFormat/>
    <w:uiPriority w:val="99"/>
  </w:style>
  <w:style w:type="paragraph" w:customStyle="1" w:styleId="47">
    <w:name w:val="正文1"/>
    <w:qFormat/>
    <w:uiPriority w:val="0"/>
    <w:pPr>
      <w:jc w:val="both"/>
    </w:pPr>
    <w:rPr>
      <w:rFonts w:ascii="Calibri" w:hAnsi="Calibri" w:eastAsia="宋体" w:cs="宋体"/>
      <w:kern w:val="2"/>
      <w:sz w:val="21"/>
      <w:szCs w:val="21"/>
      <w:lang w:val="en-US" w:eastAsia="zh-CN" w:bidi="ar-SA"/>
    </w:rPr>
  </w:style>
  <w:style w:type="character" w:customStyle="1" w:styleId="48">
    <w:name w:val="dash6b63_6587__char1"/>
    <w:qFormat/>
    <w:uiPriority w:val="0"/>
    <w:rPr>
      <w:rFonts w:hint="default" w:ascii="Times New Roman" w:hAnsi="Times New Roman" w:cs="Times New Roman"/>
      <w:sz w:val="20"/>
      <w:szCs w:val="20"/>
      <w:u w:val="none"/>
    </w:rPr>
  </w:style>
  <w:style w:type="paragraph" w:customStyle="1" w:styleId="49">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50">
    <w:name w:val="章标题"/>
    <w:next w:val="5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2">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二级无"/>
    <w:basedOn w:val="54"/>
    <w:qFormat/>
    <w:uiPriority w:val="0"/>
    <w:pPr>
      <w:spacing w:before="0" w:beforeLines="0" w:after="0" w:afterLines="0"/>
    </w:pPr>
    <w:rPr>
      <w:rFonts w:ascii="宋体" w:eastAsia="宋体"/>
    </w:rPr>
  </w:style>
  <w:style w:type="paragraph" w:customStyle="1" w:styleId="54">
    <w:name w:val="二级条标题"/>
    <w:basedOn w:val="52"/>
    <w:next w:val="51"/>
    <w:qFormat/>
    <w:uiPriority w:val="0"/>
    <w:pPr>
      <w:numPr>
        <w:ilvl w:val="2"/>
        <w:numId w:val="2"/>
      </w:numPr>
      <w:spacing w:before="50" w:after="50"/>
      <w:outlineLvl w:val="3"/>
    </w:pPr>
  </w:style>
  <w:style w:type="paragraph" w:customStyle="1" w:styleId="55">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注：（正文）"/>
    <w:basedOn w:val="58"/>
    <w:next w:val="51"/>
    <w:qFormat/>
    <w:uiPriority w:val="0"/>
  </w:style>
  <w:style w:type="paragraph" w:customStyle="1" w:styleId="58">
    <w:name w:val="注："/>
    <w:next w:val="5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9">
    <w:name w:val="附录标识"/>
    <w:basedOn w:val="1"/>
    <w:next w:val="5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0">
    <w:name w:val="正文表标题"/>
    <w:next w:val="5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1">
    <w:name w:val="Other|1"/>
    <w:basedOn w:val="1"/>
    <w:qFormat/>
    <w:uiPriority w:val="0"/>
    <w:rPr>
      <w:rFonts w:ascii="宋体" w:hAnsi="宋体" w:cs="宋体"/>
      <w:sz w:val="19"/>
      <w:szCs w:val="19"/>
      <w:lang w:val="zh-CN" w:bidi="zh-CN"/>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标准文件_术语条一"/>
    <w:basedOn w:val="64"/>
    <w:next w:val="67"/>
    <w:qFormat/>
    <w:uiPriority w:val="0"/>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二级无标题"/>
    <w:basedOn w:val="69"/>
    <w:qFormat/>
    <w:uiPriority w:val="0"/>
    <w:pPr>
      <w:spacing w:before="0" w:beforeLines="0" w:after="0" w:afterLines="0"/>
      <w:outlineLvl w:val="9"/>
    </w:pPr>
    <w:rPr>
      <w:rFonts w:ascii="宋体" w:eastAsia="宋体"/>
    </w:rPr>
  </w:style>
  <w:style w:type="paragraph" w:customStyle="1" w:styleId="69">
    <w:name w:val="标准文件_二级条标题"/>
    <w:next w:val="67"/>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2">
    <w:name w:val="说明文字"/>
    <w:basedOn w:val="1"/>
    <w:qFormat/>
    <w:uiPriority w:val="0"/>
    <w:pPr>
      <w:ind w:firstLine="0" w:firstLineChars="0"/>
    </w:pPr>
    <w:rPr>
      <w:sz w:val="21"/>
    </w:rPr>
  </w:style>
  <w:style w:type="paragraph" w:customStyle="1" w:styleId="73">
    <w:name w:val="标准文件_附录一级条标题"/>
    <w:next w:val="67"/>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4">
    <w:name w:val="标准文件_附录图标题"/>
    <w:next w:val="67"/>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5">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 w:type="paragraph" w:customStyle="1" w:styleId="76">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77">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78">
    <w:name w:val="标准文件_正文图标题"/>
    <w:next w:val="67"/>
    <w:qFormat/>
    <w:uiPriority w:val="0"/>
    <w:pPr>
      <w:numPr>
        <w:ilvl w:val="0"/>
        <w:numId w:val="10"/>
      </w:numPr>
      <w:spacing w:before="50" w:beforeLines="50" w:after="50" w:afterLines="50"/>
      <w:jc w:val="center"/>
    </w:pPr>
    <w:rPr>
      <w:rFonts w:ascii="黑体" w:hAnsi="Times New Roman" w:eastAsia="黑体" w:cs="Times New Roman"/>
      <w:sz w:val="21"/>
      <w:lang w:val="en-US" w:eastAsia="zh-CN" w:bidi="ar-SA"/>
    </w:rPr>
  </w:style>
  <w:style w:type="paragraph" w:customStyle="1" w:styleId="79">
    <w:name w:val="标准文件_三级条标题"/>
    <w:basedOn w:val="69"/>
    <w:next w:val="67"/>
    <w:qFormat/>
    <w:uiPriority w:val="0"/>
    <w:pPr>
      <w:widowControl/>
      <w:numPr>
        <w:ilvl w:val="4"/>
      </w:numPr>
      <w:outlineLvl w:val="3"/>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57433f-6ee4-475e-81da-cdf78509bc53}"/>
        <w:style w:val=""/>
        <w:category>
          <w:name w:val="常规"/>
          <w:gallery w:val="placeholder"/>
        </w:category>
        <w:types>
          <w:type w:val="bbPlcHdr"/>
        </w:types>
        <w:behaviors>
          <w:behavior w:val="content"/>
        </w:behaviors>
        <w:description w:val=""/>
        <w:guid w:val="{2357433f-6ee4-475e-81da-cdf78509bc53}"/>
      </w:docPartPr>
      <w:docPartBody>
        <w:p>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8A41CE02DD614CEF8D1CE101BB2A200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1247</Words>
  <Characters>1533</Characters>
  <Lines>78</Lines>
  <Paragraphs>22</Paragraphs>
  <TotalTime>0</TotalTime>
  <ScaleCrop>false</ScaleCrop>
  <LinksUpToDate>false</LinksUpToDate>
  <CharactersWithSpaces>1814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2022-12-21T15:00:00Z</dcterms:created>
  <dc:creator>wy</dc:creator>
  <cp:lastModifiedBy>sugou</cp:lastModifiedBy>
  <cp:lastPrinted>2022-09-06T09:26:00Z</cp:lastPrinted>
  <dcterms:modified xsi:type="dcterms:W3CDTF">2024-02-26T16:27:33Z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19344CEADCB74EE5A81044AEC9534A38_13</vt:lpwstr>
  </property>
</Properties>
</file>