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Times New Roman"/>
          <w:highlight w:val="none"/>
          <w:lang w:val="en-US"/>
        </w:rPr>
      </w:pPr>
      <w:r>
        <w:rPr>
          <w:rFonts w:ascii="黑体" w:hAnsi="黑体" w:eastAsia="黑体" w:cs="Times New Roman"/>
          <w:highlight w:val="none"/>
        </w:rPr>
        <mc:AlternateContent>
          <mc:Choice Requires="wps">
            <w:drawing>
              <wp:anchor distT="0" distB="0" distL="114300" distR="114300" simplePos="0" relativeHeight="251659264" behindDoc="0" locked="0" layoutInCell="1" allowOverlap="1">
                <wp:simplePos x="0" y="0"/>
                <wp:positionH relativeFrom="column">
                  <wp:posOffset>2859405</wp:posOffset>
                </wp:positionH>
                <wp:positionV relativeFrom="topMargin">
                  <wp:posOffset>465455</wp:posOffset>
                </wp:positionV>
                <wp:extent cx="3696970" cy="792480"/>
                <wp:effectExtent l="0" t="0" r="0" b="7620"/>
                <wp:wrapNone/>
                <wp:docPr id="7"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3696970" cy="792480"/>
                        </a:xfrm>
                        <a:prstGeom prst="rect">
                          <a:avLst/>
                        </a:prstGeom>
                        <a:noFill/>
                        <a:ln>
                          <a:noFill/>
                        </a:ln>
                      </wps:spPr>
                      <wps:txbx>
                        <w:txbxContent>
                          <w:p>
                            <w:pPr>
                              <w:pStyle w:val="29"/>
                              <w:shd w:val="clear"/>
                              <w:wordWrap w:val="0"/>
                              <w:ind w:right="471" w:firstLine="625" w:firstLineChars="50"/>
                              <w:jc w:val="both"/>
                              <w:rPr>
                                <w:rFonts w:eastAsia="方正小标宋_GBK"/>
                                <w:sz w:val="84"/>
                                <w:szCs w:val="84"/>
                              </w:rPr>
                            </w:pPr>
                            <w:r>
                              <w:rPr>
                                <w:rFonts w:eastAsia="方正小标宋_GBK"/>
                                <w:szCs w:val="84"/>
                              </w:rPr>
                              <w:t>DB3205</w:t>
                            </w:r>
                          </w:p>
                        </w:txbxContent>
                      </wps:txbx>
                      <wps:bodyPr rot="0" vert="horz" wrap="square" lIns="91440" tIns="45720" rIns="91440" bIns="45720" anchor="t" anchorCtr="false" upright="true">
                        <a:spAutoFit/>
                      </wps:bodyPr>
                    </wps:wsp>
                  </a:graphicData>
                </a:graphic>
              </wp:anchor>
            </w:drawing>
          </mc:Choice>
          <mc:Fallback>
            <w:pict>
              <v:shape id="Text Box 2" o:spid="_x0000_s1026" o:spt="202" type="#_x0000_t202" style="position:absolute;left:0pt;margin-left:296.05pt;margin-top:36.65pt;height:62.4pt;width:291.1pt;mso-position-horizontal-relative:page;mso-position-vertical-relative:page;z-index:251659264;mso-width-relative:page;mso-height-relative:page;" filled="f" stroked="f" coordsize="21600,21600" o:gfxdata="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Hp1+O7YAAAACwEAAA8AAAAAAAAAAQAgAAAAOAAA&#10;AGRycy9kb3ducmV2LnhtbFBLAQIUABQAAAAIAIdO4kDM3w308gEAANMDAAAOAAAAAAAAAAEAIAAA&#10;AD0BAABkcnMvZTJvRG9jLnhtbFBLBQYAAAAABgAGAFkBAAChBQAAAAA=&#10;">
                <v:fill on="f" focussize="0,0"/>
                <v:stroke on="f"/>
                <v:imagedata o:title=""/>
                <o:lock v:ext="edit" aspectratio="f"/>
                <v:textbox style="mso-fit-shape-to-text:t;">
                  <w:txbxContent>
                    <w:p>
                      <w:pPr>
                        <w:pStyle w:val="29"/>
                        <w:shd w:val="clear"/>
                        <w:wordWrap w:val="0"/>
                        <w:ind w:right="471" w:firstLine="625" w:firstLineChars="50"/>
                        <w:jc w:val="both"/>
                        <w:rPr>
                          <w:rFonts w:eastAsia="方正小标宋_GBK"/>
                          <w:sz w:val="84"/>
                          <w:szCs w:val="84"/>
                        </w:rPr>
                      </w:pPr>
                      <w:r>
                        <w:rPr>
                          <w:rFonts w:eastAsia="方正小标宋_GBK"/>
                          <w:szCs w:val="84"/>
                        </w:rPr>
                        <w:t>DB3205</w:t>
                      </w:r>
                    </w:p>
                  </w:txbxContent>
                </v:textbox>
              </v:shape>
            </w:pict>
          </mc:Fallback>
        </mc:AlternateContent>
      </w:r>
      <w:r>
        <w:rPr>
          <w:rFonts w:ascii="黑体" w:hAnsi="黑体" w:eastAsia="黑体" w:cs="Times New Roman"/>
          <w:highlight w:val="none"/>
        </w:rPr>
        <w:t xml:space="preserve">ICS </w:t>
      </w:r>
      <w:r>
        <w:rPr>
          <w:rFonts w:hint="eastAsia" w:ascii="黑体" w:hAnsi="黑体" w:eastAsia="黑体" w:cs="Times New Roman"/>
          <w:highlight w:val="none"/>
          <w:lang w:val="en-US" w:eastAsia="zh-CN"/>
        </w:rPr>
        <w:t>65</w:t>
      </w:r>
      <w:r>
        <w:rPr>
          <w:rFonts w:ascii="黑体" w:hAnsi="黑体" w:eastAsia="黑体" w:cs="Times New Roman"/>
          <w:highlight w:val="none"/>
        </w:rPr>
        <w:t>.0</w:t>
      </w:r>
      <w:r>
        <w:rPr>
          <w:rFonts w:hint="eastAsia" w:ascii="黑体" w:hAnsi="黑体" w:eastAsia="黑体" w:cs="Times New Roman"/>
          <w:highlight w:val="none"/>
          <w:lang w:val="en-US" w:eastAsia="zh-CN"/>
        </w:rPr>
        <w:t>2</w:t>
      </w:r>
      <w:r>
        <w:rPr>
          <w:rFonts w:ascii="黑体" w:hAnsi="黑体" w:eastAsia="黑体" w:cs="Times New Roman"/>
          <w:highlight w:val="none"/>
        </w:rPr>
        <w:t>0.</w:t>
      </w:r>
      <w:r>
        <w:rPr>
          <w:rFonts w:hint="eastAsia" w:ascii="黑体" w:hAnsi="黑体" w:eastAsia="黑体" w:cs="Times New Roman"/>
          <w:highlight w:val="none"/>
          <w:lang w:val="en-US" w:eastAsia="zh-CN"/>
        </w:rPr>
        <w:t>01</w:t>
      </w:r>
    </w:p>
    <w:p>
      <w:pPr>
        <w:rPr>
          <w:rFonts w:ascii="黑体" w:hAnsi="黑体" w:eastAsia="黑体" w:cs="Times New Roman"/>
          <w:highlight w:val="none"/>
        </w:rPr>
      </w:pPr>
      <w:r>
        <w:rPr>
          <w:rFonts w:ascii="黑体" w:hAnsi="黑体" w:eastAsia="黑体" w:cs="Times New Roman"/>
          <w:highlight w:val="none"/>
        </w:rPr>
        <w:t xml:space="preserve">CCS </w:t>
      </w:r>
      <w:r>
        <w:rPr>
          <w:rFonts w:hint="eastAsia" w:ascii="黑体" w:hAnsi="黑体" w:eastAsia="黑体" w:cs="Times New Roman"/>
          <w:highlight w:val="none"/>
          <w:lang w:val="en-US" w:eastAsia="zh-CN"/>
        </w:rPr>
        <w:t>B</w:t>
      </w:r>
      <w:r>
        <w:rPr>
          <w:rFonts w:ascii="黑体" w:hAnsi="黑体" w:eastAsia="黑体" w:cs="Times New Roman"/>
          <w:highlight w:val="none"/>
        </w:rPr>
        <w:t xml:space="preserve"> </w:t>
      </w:r>
      <w:r>
        <w:rPr>
          <w:rFonts w:hint="eastAsia" w:ascii="黑体" w:hAnsi="黑体" w:eastAsia="黑体" w:cs="Times New Roman"/>
          <w:highlight w:val="none"/>
          <w:lang w:val="en-US" w:eastAsia="zh-CN"/>
        </w:rPr>
        <w:t>3</w:t>
      </w:r>
      <w:r>
        <w:rPr>
          <w:rFonts w:hint="eastAsia" w:ascii="黑体" w:hAnsi="黑体" w:eastAsia="黑体" w:cs="Times New Roman"/>
          <w:highlight w:val="none"/>
        </w:rPr>
        <w:t>0</w:t>
      </w:r>
      <w:r>
        <w:rPr>
          <w:rFonts w:ascii="黑体" w:hAnsi="黑体" w:eastAsia="黑体" w:cs="Times New Roman"/>
          <w:highlight w:val="none"/>
        </w:rPr>
        <w:t xml:space="preserve"> </w:t>
      </w:r>
    </w:p>
    <w:p>
      <w:pPr>
        <w:rPr>
          <w:rFonts w:ascii="黑体" w:hAnsi="黑体" w:eastAsia="黑体"/>
          <w:highlight w:val="none"/>
        </w:rPr>
      </w:pPr>
    </w:p>
    <w:p>
      <w:pPr>
        <w:autoSpaceDE w:val="0"/>
        <w:autoSpaceDN w:val="0"/>
        <w:adjustRightInd w:val="0"/>
        <w:jc w:val="distribute"/>
        <w:rPr>
          <w:rFonts w:ascii="方正小标宋_GBK" w:eastAsia="方正小标宋_GBK" w:cs="Dotum,Bold"/>
          <w:bCs/>
          <w:snapToGrid w:val="0"/>
          <w:kern w:val="0"/>
          <w:sz w:val="52"/>
          <w:szCs w:val="52"/>
          <w:highlight w:val="none"/>
        </w:rPr>
      </w:pPr>
      <w:r>
        <w:rPr>
          <w:rFonts w:ascii="黑体" w:hAnsi="黑体" w:eastAsia="黑体"/>
          <w:highlight w:val="none"/>
        </w:rPr>
        <mc:AlternateContent>
          <mc:Choice Requires="wps">
            <w:drawing>
              <wp:anchor distT="0" distB="0" distL="114300" distR="114300" simplePos="0" relativeHeight="251662336" behindDoc="0" locked="0" layoutInCell="1" allowOverlap="1">
                <wp:simplePos x="0" y="0"/>
                <wp:positionH relativeFrom="column">
                  <wp:posOffset>80645</wp:posOffset>
                </wp:positionH>
                <wp:positionV relativeFrom="topMargin">
                  <wp:posOffset>1181100</wp:posOffset>
                </wp:positionV>
                <wp:extent cx="6120130" cy="615950"/>
                <wp:effectExtent l="0" t="0" r="13970" b="12700"/>
                <wp:wrapNone/>
                <wp:docPr id="3" name="Text Box 18"/>
                <wp:cNvGraphicFramePr/>
                <a:graphic xmlns:a="http://schemas.openxmlformats.org/drawingml/2006/main">
                  <a:graphicData uri="http://schemas.microsoft.com/office/word/2010/wordprocessingShape">
                    <wps:wsp>
                      <wps:cNvSpPr txBox="true">
                        <a:spLocks noChangeArrowheads="true"/>
                      </wps:cNvSpPr>
                      <wps:spPr bwMode="auto">
                        <a:xfrm>
                          <a:off x="0" y="0"/>
                          <a:ext cx="6120130" cy="615950"/>
                        </a:xfrm>
                        <a:prstGeom prst="rect">
                          <a:avLst/>
                        </a:prstGeom>
                        <a:noFill/>
                        <a:ln w="0">
                          <a:solidFill>
                            <a:schemeClr val="bg1">
                              <a:lumMod val="100000"/>
                              <a:lumOff val="0"/>
                            </a:schemeClr>
                          </a:solidFill>
                          <a:miter lim="800000"/>
                        </a:ln>
                      </wps:spPr>
                      <wps:txbx>
                        <w:txbxContent>
                          <w:p>
                            <w:pPr>
                              <w:jc w:val="distribute"/>
                            </w:pPr>
                            <w:r>
                              <w:rPr>
                                <w:rFonts w:hint="eastAsia" w:ascii="方正小标宋_GBK" w:hAnsi="宋体" w:eastAsia="方正小标宋_GBK" w:cs="SimSun,Bold"/>
                                <w:bCs/>
                                <w:snapToGrid w:val="0"/>
                                <w:kern w:val="0"/>
                                <w:sz w:val="52"/>
                                <w:szCs w:val="52"/>
                              </w:rPr>
                              <w:t>苏州市地方标准</w:t>
                            </w:r>
                          </w:p>
                        </w:txbxContent>
                      </wps:txbx>
                      <wps:bodyPr rot="0" vert="horz" wrap="square" lIns="91440" tIns="45720" rIns="91440" bIns="45720" anchor="t" anchorCtr="false" upright="true">
                        <a:noAutofit/>
                      </wps:bodyPr>
                    </wps:wsp>
                  </a:graphicData>
                </a:graphic>
              </wp:anchor>
            </w:drawing>
          </mc:Choice>
          <mc:Fallback>
            <w:pict>
              <v:shape id="Text Box 18" o:spid="_x0000_s1026" o:spt="202" type="#_x0000_t202" style="position:absolute;left:0pt;margin-left:77.25pt;margin-top:93pt;height:48.5pt;width:481.9pt;mso-position-horizontal-relative:page;mso-position-vertical-relative:page;z-index:251662336;mso-width-relative:page;mso-height-relative:page;" filled="f" stroked="t" coordsize="21600,21600" o:gfxdata="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CfvVzw1wAAAAoBAAAPAAAAAAAAAAEAIAAAADgA&#10;AABkcnMvZG93bnJldi54bWxQSwECFAAUAAAACACHTuJAI3tgmi0CAABQBAAADgAAAAAAAAABACAA&#10;AAA8AQAAZHJzL2Uyb0RvYy54bWxQSwUGAAAAAAYABgBZAQAA2wUAAAAA&#10;">
                <v:fill on="f" focussize="0,0"/>
                <v:stroke weight="0pt" color="#FFFFFF [3228]" miterlimit="8" joinstyle="miter"/>
                <v:imagedata o:title=""/>
                <o:lock v:ext="edit" aspectratio="f"/>
                <v:textbox>
                  <w:txbxContent>
                    <w:p>
                      <w:pPr>
                        <w:jc w:val="distribute"/>
                      </w:pPr>
                      <w:r>
                        <w:rPr>
                          <w:rFonts w:hint="eastAsia" w:ascii="方正小标宋_GBK" w:hAnsi="宋体" w:eastAsia="方正小标宋_GBK" w:cs="SimSun,Bold"/>
                          <w:bCs/>
                          <w:snapToGrid w:val="0"/>
                          <w:kern w:val="0"/>
                          <w:sz w:val="52"/>
                          <w:szCs w:val="52"/>
                        </w:rPr>
                        <w:t>苏州市地方标准</w:t>
                      </w:r>
                    </w:p>
                  </w:txbxContent>
                </v:textbox>
              </v:shape>
            </w:pict>
          </mc:Fallback>
        </mc:AlternateContent>
      </w:r>
    </w:p>
    <w:p>
      <w:pPr>
        <w:spacing w:line="510" w:lineRule="exact"/>
        <w:rPr>
          <w:rFonts w:ascii="黑体" w:hAnsi="黑体" w:eastAsia="黑体"/>
          <w:kern w:val="0"/>
          <w:sz w:val="28"/>
          <w:szCs w:val="28"/>
          <w:highlight w:val="none"/>
        </w:rPr>
      </w:pPr>
      <w:r>
        <w:rPr>
          <w:rFonts w:hint="eastAsia" w:ascii="黑体" w:hAnsi="黑体" w:eastAsia="黑体"/>
          <w:highlight w:val="none"/>
        </w:rPr>
        <w:t xml:space="preserve">                                                                   </w:t>
      </w:r>
      <w:r>
        <w:rPr>
          <w:rFonts w:hint="eastAsia" w:ascii="黑体" w:hAnsi="黑体" w:eastAsia="黑体"/>
          <w:kern w:val="0"/>
          <w:sz w:val="28"/>
          <w:szCs w:val="28"/>
          <w:highlight w:val="none"/>
        </w:rPr>
        <w:t xml:space="preserve">  </w:t>
      </w:r>
    </w:p>
    <w:p>
      <w:pPr>
        <w:autoSpaceDE w:val="0"/>
        <w:autoSpaceDN w:val="0"/>
        <w:adjustRightInd w:val="0"/>
        <w:spacing w:line="3686" w:lineRule="exact"/>
        <w:jc w:val="center"/>
        <w:rPr>
          <w:rFonts w:ascii="黑体" w:hAnsi="黑体" w:eastAsia="黑体"/>
          <w:highlight w:val="none"/>
        </w:rPr>
      </w:pPr>
      <w:r>
        <w:rPr>
          <w:rFonts w:ascii="黑体" w:hAnsi="黑体" w:eastAsia="黑体"/>
          <w:highlight w:val="none"/>
        </w:rPr>
        <mc:AlternateContent>
          <mc:Choice Requires="wps">
            <w:drawing>
              <wp:anchor distT="0" distB="0" distL="114300" distR="114300" simplePos="0" relativeHeight="251663360" behindDoc="0" locked="0" layoutInCell="1" allowOverlap="1">
                <wp:simplePos x="0" y="0"/>
                <wp:positionH relativeFrom="rightMargin">
                  <wp:posOffset>-1796415</wp:posOffset>
                </wp:positionH>
                <wp:positionV relativeFrom="topMargin">
                  <wp:posOffset>2238375</wp:posOffset>
                </wp:positionV>
                <wp:extent cx="1927225" cy="304800"/>
                <wp:effectExtent l="0" t="0" r="15875" b="19050"/>
                <wp:wrapNone/>
                <wp:docPr id="6" name="Text Box 19"/>
                <wp:cNvGraphicFramePr/>
                <a:graphic xmlns:a="http://schemas.openxmlformats.org/drawingml/2006/main">
                  <a:graphicData uri="http://schemas.microsoft.com/office/word/2010/wordprocessingShape">
                    <wps:wsp>
                      <wps:cNvSpPr txBox="true">
                        <a:spLocks noChangeArrowheads="true"/>
                      </wps:cNvSpPr>
                      <wps:spPr bwMode="auto">
                        <a:xfrm>
                          <a:off x="0" y="0"/>
                          <a:ext cx="1927344" cy="304800"/>
                        </a:xfrm>
                        <a:prstGeom prst="rect">
                          <a:avLst/>
                        </a:prstGeom>
                        <a:noFill/>
                        <a:ln w="0">
                          <a:solidFill>
                            <a:schemeClr val="bg1">
                              <a:lumMod val="100000"/>
                              <a:lumOff val="0"/>
                            </a:schemeClr>
                          </a:solidFill>
                          <a:miter lim="800000"/>
                        </a:ln>
                      </wps:spPr>
                      <wps:txbx>
                        <w:txbxContent>
                          <w:p>
                            <w:pPr>
                              <w:spacing w:line="400" w:lineRule="exact"/>
                              <w:jc w:val="left"/>
                              <w:rPr>
                                <w:rFonts w:hint="default" w:ascii="黑体" w:hAnsi="黑体" w:eastAsia="黑体"/>
                                <w:kern w:val="0"/>
                                <w:sz w:val="28"/>
                                <w:szCs w:val="28"/>
                                <w:lang w:val="en-US" w:eastAsia="zh-CN"/>
                              </w:rPr>
                            </w:pPr>
                            <w:r>
                              <w:rPr>
                                <w:rFonts w:ascii="黑体" w:hAnsi="黑体" w:eastAsia="黑体"/>
                                <w:kern w:val="0"/>
                                <w:sz w:val="28"/>
                                <w:szCs w:val="28"/>
                              </w:rPr>
                              <w:t>DB3205/T XXX</w:t>
                            </w:r>
                            <w:r>
                              <w:rPr>
                                <w:rFonts w:hint="eastAsia" w:ascii="黑体" w:hAnsi="黑体" w:eastAsia="黑体"/>
                                <w:kern w:val="0"/>
                                <w:sz w:val="28"/>
                                <w:szCs w:val="28"/>
                              </w:rPr>
                              <w:t>—</w:t>
                            </w:r>
                            <w:r>
                              <w:rPr>
                                <w:rFonts w:hint="eastAsia" w:ascii="黑体" w:hAnsi="黑体" w:eastAsia="黑体"/>
                                <w:kern w:val="0"/>
                                <w:sz w:val="28"/>
                                <w:szCs w:val="28"/>
                                <w:lang w:val="en-US" w:eastAsia="zh-CN"/>
                              </w:rPr>
                              <w:t>2024</w:t>
                            </w:r>
                          </w:p>
                        </w:txbxContent>
                      </wps:txbx>
                      <wps:bodyPr rot="0" vert="horz" wrap="square" lIns="91440" tIns="45720" rIns="91440" bIns="45720" anchor="t" anchorCtr="false" upright="true">
                        <a:noAutofit/>
                      </wps:bodyPr>
                    </wps:wsp>
                  </a:graphicData>
                </a:graphic>
              </wp:anchor>
            </w:drawing>
          </mc:Choice>
          <mc:Fallback>
            <w:pict>
              <v:shape id="Text Box 19" o:spid="_x0000_s1026" o:spt="202" type="#_x0000_t202" style="position:absolute;left:0pt;margin-left:411.3pt;margin-top:176.25pt;height:24pt;width:151.75pt;mso-position-horizontal-relative:page;mso-position-vertical-relative:page;z-index:251663360;mso-width-relative:page;mso-height-relative:page;" filled="f" stroked="t" coordsize="21600,21600" o:gfxdata="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HRV1D3aAAAACwEAAA8AAAAAAAAAAQAg&#10;AAAAOAAAAGRycy9kb3ducmV2LnhtbFBLAQIUABQAAAAIAIdO4kBryJV3LwIAAFAEAAAOAAAAAAAA&#10;AAEAIAAAAD8BAABkcnMvZTJvRG9jLnhtbFBLBQYAAAAABgAGAFkBAADgBQAAAAA=&#10;">
                <v:fill on="f" focussize="0,0"/>
                <v:stroke weight="0pt" color="#FFFFFF [3228]" miterlimit="8" joinstyle="miter"/>
                <v:imagedata o:title=""/>
                <o:lock v:ext="edit" aspectratio="f"/>
                <v:textbox>
                  <w:txbxContent>
                    <w:p>
                      <w:pPr>
                        <w:spacing w:line="400" w:lineRule="exact"/>
                        <w:jc w:val="left"/>
                        <w:rPr>
                          <w:rFonts w:hint="default" w:ascii="黑体" w:hAnsi="黑体" w:eastAsia="黑体"/>
                          <w:kern w:val="0"/>
                          <w:sz w:val="28"/>
                          <w:szCs w:val="28"/>
                          <w:lang w:val="en-US" w:eastAsia="zh-CN"/>
                        </w:rPr>
                      </w:pPr>
                      <w:r>
                        <w:rPr>
                          <w:rFonts w:ascii="黑体" w:hAnsi="黑体" w:eastAsia="黑体"/>
                          <w:kern w:val="0"/>
                          <w:sz w:val="28"/>
                          <w:szCs w:val="28"/>
                        </w:rPr>
                        <w:t>DB3205/T XXX</w:t>
                      </w:r>
                      <w:r>
                        <w:rPr>
                          <w:rFonts w:hint="eastAsia" w:ascii="黑体" w:hAnsi="黑体" w:eastAsia="黑体"/>
                          <w:kern w:val="0"/>
                          <w:sz w:val="28"/>
                          <w:szCs w:val="28"/>
                        </w:rPr>
                        <w:t>—</w:t>
                      </w:r>
                      <w:r>
                        <w:rPr>
                          <w:rFonts w:hint="eastAsia" w:ascii="黑体" w:hAnsi="黑体" w:eastAsia="黑体"/>
                          <w:kern w:val="0"/>
                          <w:sz w:val="28"/>
                          <w:szCs w:val="28"/>
                          <w:lang w:val="en-US" w:eastAsia="zh-CN"/>
                        </w:rPr>
                        <w:t>2024</w:t>
                      </w:r>
                    </w:p>
                  </w:txbxContent>
                </v:textbox>
              </v:shape>
            </w:pict>
          </mc:Fallback>
        </mc:AlternateContent>
      </w:r>
      <w:r>
        <w:rPr>
          <w:rFonts w:ascii="黑体" w:hAnsi="黑体" w:eastAsia="黑体"/>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topMargin">
                  <wp:posOffset>2708910</wp:posOffset>
                </wp:positionV>
                <wp:extent cx="6115050" cy="0"/>
                <wp:effectExtent l="14605" t="13335" r="13970" b="15240"/>
                <wp:wrapNone/>
                <wp:docPr id="5" name="AutoShape 13"/>
                <wp:cNvGraphicFramePr/>
                <a:graphic xmlns:a="http://schemas.openxmlformats.org/drawingml/2006/main">
                  <a:graphicData uri="http://schemas.microsoft.com/office/word/2010/wordprocessingShape">
                    <wps:wsp>
                      <wps:cNvCnPr>
                        <a:cxnSpLocks noChangeShapeType="true"/>
                      </wps:cNvCnPr>
                      <wps:spPr bwMode="auto">
                        <a:xfrm>
                          <a:off x="0" y="0"/>
                          <a:ext cx="6115050" cy="0"/>
                        </a:xfrm>
                        <a:prstGeom prst="straightConnector1">
                          <a:avLst/>
                        </a:prstGeom>
                        <a:noFill/>
                        <a:ln w="12700">
                          <a:solidFill>
                            <a:srgbClr val="000000"/>
                          </a:solidFill>
                          <a:round/>
                        </a:ln>
                      </wps:spPr>
                      <wps:bodyPr/>
                    </wps:wsp>
                  </a:graphicData>
                </a:graphic>
              </wp:anchor>
            </w:drawing>
          </mc:Choice>
          <mc:Fallback>
            <w:pict>
              <v:shape id="AutoShape 13" o:spid="_x0000_s1026" o:spt="32" type="#_x0000_t32" style="position:absolute;left:0pt;margin-left:70.9pt;margin-top:213.3pt;height:0pt;width:481.5pt;mso-position-horizontal-relative:page;mso-position-vertical-relative:page;z-index:251660288;mso-width-relative:page;mso-height-relative:page;" filled="f" stroked="t" coordsize="21600,21600" o:gfxdata="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Iy4Wx0wAAAAgBAAAPAAAAAAAAAAEAIAAAADgAAABk&#10;cnMvZG93bnJldi54bWxQSwECFAAUAAAACACHTuJAOWU6U7wBAABpAwAADgAAAAAAAAABACAAAAA4&#10;AQAAZHJzL2Uyb0RvYy54bWxQSwUGAAAAAAYABgBZAQAAZgUAAAAA&#10;">
                <v:fill on="f" focussize="0,0"/>
                <v:stroke weight="1pt" color="#000000" joinstyle="round"/>
                <v:imagedata o:title=""/>
                <o:lock v:ext="edit" aspectratio="f"/>
              </v:shape>
            </w:pict>
          </mc:Fallback>
        </mc:AlternateContent>
      </w:r>
      <w:r>
        <w:rPr>
          <w:rFonts w:ascii="黑体" w:hAnsi="黑体" w:eastAsia="黑体"/>
          <w:highlight w:val="none"/>
        </w:rPr>
        <mc:AlternateContent>
          <mc:Choice Requires="wps">
            <w:drawing>
              <wp:anchor distT="0" distB="0" distL="114300" distR="114300" simplePos="0" relativeHeight="251661312" behindDoc="0" locked="0" layoutInCell="1" allowOverlap="1">
                <wp:simplePos x="0" y="0"/>
                <wp:positionH relativeFrom="column">
                  <wp:posOffset>80645</wp:posOffset>
                </wp:positionH>
                <wp:positionV relativeFrom="topMargin">
                  <wp:posOffset>4140835</wp:posOffset>
                </wp:positionV>
                <wp:extent cx="5924550" cy="3248025"/>
                <wp:effectExtent l="9525" t="6985" r="9525" b="12065"/>
                <wp:wrapNone/>
                <wp:docPr id="4" name="Text Box 17"/>
                <wp:cNvGraphicFramePr/>
                <a:graphic xmlns:a="http://schemas.openxmlformats.org/drawingml/2006/main">
                  <a:graphicData uri="http://schemas.microsoft.com/office/word/2010/wordprocessingShape">
                    <wps:wsp>
                      <wps:cNvSpPr txBox="true">
                        <a:spLocks noChangeArrowheads="true"/>
                      </wps:cNvSpPr>
                      <wps:spPr bwMode="auto">
                        <a:xfrm>
                          <a:off x="0" y="0"/>
                          <a:ext cx="5924550" cy="3248025"/>
                        </a:xfrm>
                        <a:prstGeom prst="rect">
                          <a:avLst/>
                        </a:prstGeom>
                        <a:noFill/>
                        <a:ln w="0">
                          <a:solidFill>
                            <a:schemeClr val="bg1">
                              <a:lumMod val="100000"/>
                              <a:lumOff val="0"/>
                            </a:schemeClr>
                          </a:solidFill>
                          <a:miter lim="800000"/>
                        </a:ln>
                      </wps:spPr>
                      <wps:txbx>
                        <w:txbxContent>
                          <w:p>
                            <w:pPr>
                              <w:jc w:val="center"/>
                              <w:rPr>
                                <w:rFonts w:hint="eastAsia" w:ascii="黑体" w:hAnsi="宋体" w:eastAsia="黑体"/>
                                <w:sz w:val="52"/>
                                <w:szCs w:val="52"/>
                                <w:lang w:val="en-US" w:eastAsia="zh-CN"/>
                              </w:rPr>
                            </w:pPr>
                            <w:r>
                              <w:rPr>
                                <w:rFonts w:hint="eastAsia" w:ascii="黑体" w:hAnsi="宋体" w:eastAsia="黑体"/>
                                <w:sz w:val="52"/>
                                <w:szCs w:val="52"/>
                                <w:lang w:val="en-US" w:eastAsia="zh-CN"/>
                              </w:rPr>
                              <w:t>智慧农业示范基地建设与评价规范　</w:t>
                            </w:r>
                          </w:p>
                          <w:p>
                            <w:pPr>
                              <w:jc w:val="center"/>
                              <w:rPr>
                                <w:rFonts w:hint="eastAsia" w:ascii="黑体" w:hAnsi="宋体" w:eastAsia="黑体"/>
                                <w:sz w:val="52"/>
                                <w:szCs w:val="52"/>
                                <w:lang w:val="en-US" w:eastAsia="zh-CN"/>
                              </w:rPr>
                            </w:pPr>
                            <w:r>
                              <w:rPr>
                                <w:rFonts w:hint="eastAsia" w:ascii="黑体" w:hAnsi="宋体" w:eastAsia="黑体"/>
                                <w:sz w:val="52"/>
                                <w:szCs w:val="52"/>
                                <w:lang w:val="en-US" w:eastAsia="zh-CN"/>
                              </w:rPr>
                              <w:t>第4部分：智慧菜园</w:t>
                            </w:r>
                          </w:p>
                          <w:p>
                            <w:pPr>
                              <w:jc w:val="center"/>
                              <w:rPr>
                                <w:rFonts w:hint="eastAsia" w:ascii="黑体" w:hAnsi="黑体" w:eastAsia="黑体"/>
                                <w:kern w:val="0"/>
                                <w:sz w:val="28"/>
                                <w:szCs w:val="21"/>
                                <w:lang w:val="en-US" w:eastAsia="zh-CN"/>
                              </w:rPr>
                            </w:pPr>
                            <w:r>
                              <w:rPr>
                                <w:rFonts w:hint="eastAsia" w:ascii="黑体" w:hAnsi="黑体" w:eastAsia="黑体"/>
                                <w:kern w:val="0"/>
                                <w:sz w:val="28"/>
                                <w:szCs w:val="21"/>
                                <w:lang w:val="en-US" w:eastAsia="zh-CN"/>
                              </w:rPr>
                              <w:t>Construction and evaluation of smart agricultural demonstration base</w:t>
                            </w:r>
                          </w:p>
                          <w:p>
                            <w:pPr>
                              <w:jc w:val="center"/>
                              <w:rPr>
                                <w:rFonts w:hint="eastAsia" w:ascii="黑体" w:hAnsi="黑体" w:eastAsia="黑体"/>
                                <w:kern w:val="0"/>
                                <w:sz w:val="28"/>
                                <w:szCs w:val="21"/>
                                <w:lang w:val="en-US" w:eastAsia="zh-CN"/>
                              </w:rPr>
                            </w:pPr>
                            <w:r>
                              <w:rPr>
                                <w:rFonts w:hint="eastAsia" w:ascii="黑体" w:hAnsi="黑体" w:eastAsia="黑体"/>
                                <w:kern w:val="0"/>
                                <w:sz w:val="28"/>
                                <w:szCs w:val="21"/>
                                <w:lang w:val="en-US" w:eastAsia="zh-CN"/>
                              </w:rPr>
                              <w:t>Part 4:Smart vegetable garden</w:t>
                            </w:r>
                          </w:p>
                          <w:p>
                            <w:pPr>
                              <w:jc w:val="center"/>
                              <w:rPr>
                                <w:rFonts w:asciiTheme="minorEastAsia" w:hAnsiTheme="minorEastAsia"/>
                                <w:sz w:val="24"/>
                              </w:rPr>
                            </w:pPr>
                            <w:r>
                              <w:rPr>
                                <w:rFonts w:hint="eastAsia" w:asciiTheme="minorEastAsia" w:hAnsiTheme="minorEastAsia"/>
                                <w:sz w:val="24"/>
                              </w:rPr>
                              <w:t>（报批稿）</w:t>
                            </w:r>
                          </w:p>
                        </w:txbxContent>
                      </wps:txbx>
                      <wps:bodyPr rot="0" vert="horz" wrap="square" lIns="91440" tIns="45720" rIns="91440" bIns="45720" anchor="t" anchorCtr="false" upright="true">
                        <a:noAutofit/>
                      </wps:bodyPr>
                    </wps:wsp>
                  </a:graphicData>
                </a:graphic>
              </wp:anchor>
            </w:drawing>
          </mc:Choice>
          <mc:Fallback>
            <w:pict>
              <v:shape id="Text Box 17" o:spid="_x0000_s1026" o:spt="202" type="#_x0000_t202" style="position:absolute;left:0pt;margin-left:77.25pt;margin-top:326.05pt;height:255.75pt;width:466.5pt;mso-position-horizontal-relative:page;mso-position-vertical-relative:page;z-index:251661312;mso-width-relative:page;mso-height-relative:page;" filled="f" stroked="t" coordsize="21600,21600" o:gfxdata="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MSN8S2QAAAAsBAAAPAAAAAAAAAAEAIAAA&#10;ADgAAABkcnMvZG93bnJldi54bWxQSwECFAAUAAAACACHTuJA2iZNOi4CAABRBAAADgAAAAAAAAAB&#10;ACAAAAA+AQAAZHJzL2Uyb0RvYy54bWxQSwUGAAAAAAYABgBZAQAA3gUAAAAA&#10;">
                <v:fill on="f" focussize="0,0"/>
                <v:stroke weight="0pt" color="#FFFFFF [3228]" miterlimit="8" joinstyle="miter"/>
                <v:imagedata o:title=""/>
                <o:lock v:ext="edit" aspectratio="f"/>
                <v:textbox>
                  <w:txbxContent>
                    <w:p>
                      <w:pPr>
                        <w:jc w:val="center"/>
                        <w:rPr>
                          <w:rFonts w:hint="eastAsia" w:ascii="黑体" w:hAnsi="宋体" w:eastAsia="黑体"/>
                          <w:sz w:val="52"/>
                          <w:szCs w:val="52"/>
                          <w:lang w:val="en-US" w:eastAsia="zh-CN"/>
                        </w:rPr>
                      </w:pPr>
                      <w:r>
                        <w:rPr>
                          <w:rFonts w:hint="eastAsia" w:ascii="黑体" w:hAnsi="宋体" w:eastAsia="黑体"/>
                          <w:sz w:val="52"/>
                          <w:szCs w:val="52"/>
                          <w:lang w:val="en-US" w:eastAsia="zh-CN"/>
                        </w:rPr>
                        <w:t>智慧农业示范基地建设与评价规范　</w:t>
                      </w:r>
                    </w:p>
                    <w:p>
                      <w:pPr>
                        <w:jc w:val="center"/>
                        <w:rPr>
                          <w:rFonts w:hint="eastAsia" w:ascii="黑体" w:hAnsi="宋体" w:eastAsia="黑体"/>
                          <w:sz w:val="52"/>
                          <w:szCs w:val="52"/>
                          <w:lang w:val="en-US" w:eastAsia="zh-CN"/>
                        </w:rPr>
                      </w:pPr>
                      <w:r>
                        <w:rPr>
                          <w:rFonts w:hint="eastAsia" w:ascii="黑体" w:hAnsi="宋体" w:eastAsia="黑体"/>
                          <w:sz w:val="52"/>
                          <w:szCs w:val="52"/>
                          <w:lang w:val="en-US" w:eastAsia="zh-CN"/>
                        </w:rPr>
                        <w:t>第4部分：智慧菜园</w:t>
                      </w:r>
                    </w:p>
                    <w:p>
                      <w:pPr>
                        <w:jc w:val="center"/>
                        <w:rPr>
                          <w:rFonts w:hint="eastAsia" w:ascii="黑体" w:hAnsi="黑体" w:eastAsia="黑体"/>
                          <w:kern w:val="0"/>
                          <w:sz w:val="28"/>
                          <w:szCs w:val="21"/>
                          <w:lang w:val="en-US" w:eastAsia="zh-CN"/>
                        </w:rPr>
                      </w:pPr>
                      <w:r>
                        <w:rPr>
                          <w:rFonts w:hint="eastAsia" w:ascii="黑体" w:hAnsi="黑体" w:eastAsia="黑体"/>
                          <w:kern w:val="0"/>
                          <w:sz w:val="28"/>
                          <w:szCs w:val="21"/>
                          <w:lang w:val="en-US" w:eastAsia="zh-CN"/>
                        </w:rPr>
                        <w:t>Construction and evaluation of smart agricultural demonstration base</w:t>
                      </w:r>
                    </w:p>
                    <w:p>
                      <w:pPr>
                        <w:jc w:val="center"/>
                        <w:rPr>
                          <w:rFonts w:hint="eastAsia" w:ascii="黑体" w:hAnsi="黑体" w:eastAsia="黑体"/>
                          <w:kern w:val="0"/>
                          <w:sz w:val="28"/>
                          <w:szCs w:val="21"/>
                          <w:lang w:val="en-US" w:eastAsia="zh-CN"/>
                        </w:rPr>
                      </w:pPr>
                      <w:r>
                        <w:rPr>
                          <w:rFonts w:hint="eastAsia" w:ascii="黑体" w:hAnsi="黑体" w:eastAsia="黑体"/>
                          <w:kern w:val="0"/>
                          <w:sz w:val="28"/>
                          <w:szCs w:val="21"/>
                          <w:lang w:val="en-US" w:eastAsia="zh-CN"/>
                        </w:rPr>
                        <w:t>Part 4:Smart vegetable garden</w:t>
                      </w:r>
                    </w:p>
                    <w:p>
                      <w:pPr>
                        <w:jc w:val="center"/>
                        <w:rPr>
                          <w:rFonts w:asciiTheme="minorEastAsia" w:hAnsiTheme="minorEastAsia"/>
                          <w:sz w:val="24"/>
                        </w:rPr>
                      </w:pPr>
                      <w:r>
                        <w:rPr>
                          <w:rFonts w:hint="eastAsia" w:asciiTheme="minorEastAsia" w:hAnsiTheme="minorEastAsia"/>
                          <w:sz w:val="24"/>
                        </w:rPr>
                        <w:t>（报批稿）</w:t>
                      </w:r>
                    </w:p>
                  </w:txbxContent>
                </v:textbox>
              </v:shape>
            </w:pict>
          </mc:Fallback>
        </mc:AlternateContent>
      </w: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r>
        <w:rPr>
          <w:rFonts w:hint="eastAsia" w:ascii="黑体" w:hAnsi="黑体" w:eastAsia="黑体"/>
          <w:highlight w:val="none"/>
        </w:rPr>
        <w:t xml:space="preserve">                                                                                          </w:t>
      </w:r>
    </w:p>
    <w:p>
      <w:pPr>
        <w:pStyle w:val="2"/>
        <w:rPr>
          <w:highlight w:val="none"/>
        </w:rPr>
      </w:pPr>
    </w:p>
    <w:p>
      <w:pPr>
        <w:pStyle w:val="2"/>
        <w:rPr>
          <w:highlight w:val="none"/>
        </w:rPr>
      </w:pPr>
    </w:p>
    <w:p>
      <w:pPr>
        <w:pStyle w:val="2"/>
        <w:rPr>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highlight w:val="none"/>
        </w:rPr>
      </w:pPr>
    </w:p>
    <w:p>
      <w:pPr>
        <w:rPr>
          <w:rFonts w:ascii="黑体" w:hAnsi="黑体" w:eastAsia="黑体"/>
          <w:sz w:val="28"/>
          <w:szCs w:val="28"/>
          <w:highlight w:val="none"/>
        </w:rPr>
      </w:pPr>
      <w:r>
        <w:rPr>
          <w:rFonts w:hint="default" w:ascii="黑体" w:hAnsi="黑体" w:eastAsia="黑体"/>
          <w:sz w:val="28"/>
          <w:szCs w:val="28"/>
          <w:highlight w:val="none"/>
          <w:lang w:val="en-US"/>
        </w:rPr>
        <mc:AlternateContent>
          <mc:Choice Requires="wps">
            <w:drawing>
              <wp:anchor distT="0" distB="0" distL="114300" distR="114300" simplePos="0" relativeHeight="251664384" behindDoc="0" locked="0" layoutInCell="1" allowOverlap="1">
                <wp:simplePos x="0" y="0"/>
                <wp:positionH relativeFrom="margin">
                  <wp:posOffset>-14605</wp:posOffset>
                </wp:positionH>
                <wp:positionV relativeFrom="topMargin">
                  <wp:posOffset>9133205</wp:posOffset>
                </wp:positionV>
                <wp:extent cx="6115050" cy="0"/>
                <wp:effectExtent l="0" t="0" r="19050" b="19050"/>
                <wp:wrapNone/>
                <wp:docPr id="8" name="AutoShape 13"/>
                <wp:cNvGraphicFramePr/>
                <a:graphic xmlns:a="http://schemas.openxmlformats.org/drawingml/2006/main">
                  <a:graphicData uri="http://schemas.microsoft.com/office/word/2010/wordprocessingShape">
                    <wps:wsp>
                      <wps:cNvCnPr>
                        <a:cxnSpLocks noChangeShapeType="true"/>
                      </wps:cNvCnPr>
                      <wps:spPr bwMode="auto">
                        <a:xfrm>
                          <a:off x="0" y="0"/>
                          <a:ext cx="6115050" cy="0"/>
                        </a:xfrm>
                        <a:prstGeom prst="straightConnector1">
                          <a:avLst/>
                        </a:prstGeom>
                        <a:noFill/>
                        <a:ln w="12700">
                          <a:solidFill>
                            <a:srgbClr val="000000"/>
                          </a:solidFill>
                          <a:round/>
                        </a:ln>
                      </wps:spPr>
                      <wps:bodyPr/>
                    </wps:wsp>
                  </a:graphicData>
                </a:graphic>
              </wp:anchor>
            </w:drawing>
          </mc:Choice>
          <mc:Fallback>
            <w:pict>
              <v:shape id="AutoShape 13" o:spid="_x0000_s1026" o:spt="32" type="#_x0000_t32" style="position:absolute;left:0pt;margin-left:69.75pt;margin-top:719.15pt;height:0pt;width:481.5pt;mso-position-horizontal-relative:page;mso-position-vertical-relative:page;z-index:251664384;mso-width-relative:page;mso-height-relative:page;" filled="f" stroked="t" coordsize="21600,21600" o:gfxdata="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CvMgXH1gAAAAwBAAAPAAAAAAAAAAEAIAAAADgA&#10;AABkcnMvZG93bnJldi54bWxQSwECFAAUAAAACACHTuJAbdKPlLwBAABpAwAADgAAAAAAAAABACAA&#10;AAA7AQAAZHJzL2Uyb0RvYy54bWxQSwUGAAAAAAYABgBZAQAAaQUAAAAA&#10;">
                <v:fill on="f" focussize="0,0"/>
                <v:stroke weight="1pt" color="#000000" joinstyle="round"/>
                <v:imagedata o:title=""/>
                <o:lock v:ext="edit" aspectratio="f"/>
              </v:shape>
            </w:pict>
          </mc:Fallback>
        </mc:AlternateContent>
      </w:r>
      <w:r>
        <w:rPr>
          <w:rFonts w:hint="eastAsia" w:ascii="黑体" w:hAnsi="黑体" w:eastAsia="黑体"/>
          <w:sz w:val="28"/>
          <w:szCs w:val="28"/>
          <w:highlight w:val="none"/>
          <w:lang w:val="en-US" w:eastAsia="zh-CN"/>
        </w:rPr>
        <w:t>2024</w:t>
      </w:r>
      <w:r>
        <w:rPr>
          <w:rFonts w:hint="eastAsia" w:ascii="黑体" w:hAnsi="黑体" w:eastAsia="黑体"/>
          <w:sz w:val="28"/>
          <w:szCs w:val="28"/>
          <w:highlight w:val="none"/>
        </w:rPr>
        <w:t xml:space="preserve">-XX-XX发布                                       </w:t>
      </w:r>
      <w:r>
        <w:rPr>
          <w:rFonts w:hint="eastAsia" w:ascii="黑体" w:hAnsi="黑体" w:eastAsia="黑体"/>
          <w:sz w:val="28"/>
          <w:szCs w:val="28"/>
          <w:highlight w:val="none"/>
          <w:lang w:val="en-US" w:eastAsia="zh-CN"/>
        </w:rPr>
        <w:t>2024</w:t>
      </w:r>
      <w:r>
        <w:rPr>
          <w:rFonts w:hint="eastAsia" w:ascii="黑体" w:hAnsi="黑体" w:eastAsia="黑体"/>
          <w:sz w:val="28"/>
          <w:szCs w:val="28"/>
          <w:highlight w:val="none"/>
        </w:rPr>
        <w:t>-XX-XX实施</w:t>
      </w:r>
    </w:p>
    <w:p>
      <w:pPr>
        <w:spacing w:line="1247" w:lineRule="exact"/>
        <w:jc w:val="center"/>
        <w:outlineLvl w:val="0"/>
        <w:rPr>
          <w:rFonts w:hint="eastAsia" w:ascii="黑体" w:hAnsi="黑体" w:eastAsia="黑体"/>
          <w:sz w:val="28"/>
          <w:szCs w:val="28"/>
          <w:highlight w:val="none"/>
        </w:rPr>
      </w:pPr>
      <w:bookmarkStart w:id="0" w:name="_Toc11281"/>
      <w:bookmarkStart w:id="1" w:name="_Toc27038"/>
      <w:bookmarkStart w:id="2" w:name="_Toc11750"/>
      <w:bookmarkStart w:id="3" w:name="_Toc18385"/>
      <w:bookmarkStart w:id="4" w:name="_Toc2515"/>
      <w:bookmarkStart w:id="5" w:name="_Toc3547"/>
      <w:bookmarkStart w:id="6" w:name="_Toc2993"/>
      <w:r>
        <w:rPr>
          <w:rFonts w:hint="eastAsia" w:ascii="方正小标宋_GBK" w:eastAsia="方正小标宋_GBK"/>
          <w:sz w:val="44"/>
          <w:szCs w:val="44"/>
          <w:highlight w:val="none"/>
        </w:rPr>
        <w:t>苏州市市场监督管理局</w:t>
      </w:r>
      <w:r>
        <w:rPr>
          <w:rFonts w:hint="eastAsia" w:ascii="方正小标宋_GBK" w:hAnsi="宋体" w:eastAsia="方正小标宋_GBK" w:cs="SimSun,Bold"/>
          <w:bCs/>
          <w:snapToGrid w:val="0"/>
          <w:kern w:val="0"/>
          <w:sz w:val="44"/>
          <w:szCs w:val="52"/>
          <w:highlight w:val="none"/>
        </w:rPr>
        <w:t xml:space="preserve">  </w:t>
      </w:r>
      <w:r>
        <w:rPr>
          <w:rFonts w:hint="eastAsia" w:ascii="黑体" w:hAnsi="黑体" w:eastAsia="黑体"/>
          <w:sz w:val="28"/>
          <w:szCs w:val="28"/>
          <w:highlight w:val="none"/>
        </w:rPr>
        <w:t>发 布</w:t>
      </w:r>
      <w:bookmarkEnd w:id="0"/>
      <w:bookmarkEnd w:id="1"/>
      <w:bookmarkEnd w:id="2"/>
      <w:bookmarkEnd w:id="3"/>
      <w:bookmarkEnd w:id="4"/>
      <w:bookmarkEnd w:id="5"/>
      <w:bookmarkEnd w:id="6"/>
    </w:p>
    <w:p>
      <w:pPr>
        <w:pStyle w:val="2"/>
        <w:rPr>
          <w:highlight w:val="none"/>
        </w:rPr>
      </w:pPr>
    </w:p>
    <w:p>
      <w:pPr>
        <w:rPr>
          <w:rFonts w:ascii="黑体" w:hAnsi="黑体" w:eastAsia="黑体"/>
          <w:sz w:val="28"/>
          <w:szCs w:val="28"/>
          <w:highlight w:val="none"/>
        </w:rPr>
        <w:sectPr>
          <w:pgSz w:w="11906" w:h="16838"/>
          <w:pgMar w:top="567" w:right="851" w:bottom="1134" w:left="1418" w:header="0" w:footer="0"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567" w:after="680"/>
        <w:jc w:val="center"/>
        <w:textAlignment w:val="auto"/>
        <w:rPr>
          <w:rFonts w:ascii="宋体" w:hAnsi="宋体" w:eastAsia="宋体" w:cs="宋体"/>
          <w:kern w:val="2"/>
          <w:sz w:val="21"/>
          <w:szCs w:val="21"/>
          <w:highlight w:val="none"/>
          <w:lang w:val="en-US" w:eastAsia="zh-CN" w:bidi="ar-SA"/>
        </w:rPr>
      </w:pPr>
      <w:r>
        <w:rPr>
          <w:rFonts w:hint="eastAsia" w:ascii="黑体" w:hAnsi="黑体" w:eastAsia="黑体"/>
          <w:sz w:val="32"/>
          <w:szCs w:val="32"/>
          <w:highlight w:val="none"/>
        </w:rPr>
        <w:t>目</w:t>
      </w:r>
      <w:r>
        <w:rPr>
          <w:rFonts w:hint="eastAsia" w:ascii="黑体" w:hAnsi="黑体" w:eastAsia="黑体"/>
          <w:bCs/>
          <w:sz w:val="32"/>
          <w:szCs w:val="32"/>
          <w:highlight w:val="none"/>
        </w:rPr>
        <w:t xml:space="preserve">    </w:t>
      </w:r>
      <w:r>
        <w:rPr>
          <w:rFonts w:hint="eastAsia" w:ascii="黑体" w:hAnsi="黑体" w:eastAsia="黑体"/>
          <w:sz w:val="32"/>
          <w:szCs w:val="32"/>
          <w:highlight w:val="none"/>
        </w:rPr>
        <w:t>次</w:t>
      </w:r>
      <w:r>
        <w:rPr>
          <w:rFonts w:ascii="宋体" w:hAnsi="宋体" w:eastAsia="宋体" w:cs="宋体"/>
          <w:szCs w:val="21"/>
          <w:highlight w:val="none"/>
        </w:rPr>
        <w:fldChar w:fldCharType="begin"/>
      </w:r>
      <w:r>
        <w:rPr>
          <w:rFonts w:ascii="宋体" w:hAnsi="宋体" w:eastAsia="宋体" w:cs="宋体"/>
          <w:szCs w:val="21"/>
          <w:highlight w:val="none"/>
        </w:rPr>
        <w:instrText xml:space="preserve">TOC \o "1-2" \h \u </w:instrText>
      </w:r>
      <w:r>
        <w:rPr>
          <w:rFonts w:ascii="宋体" w:hAnsi="宋体" w:eastAsia="宋体" w:cs="宋体"/>
          <w:szCs w:val="21"/>
          <w:highlight w:val="none"/>
        </w:rPr>
        <w:fldChar w:fldCharType="separate"/>
      </w:r>
    </w:p>
    <w:p>
      <w:pPr>
        <w:pStyle w:val="15"/>
        <w:tabs>
          <w:tab w:val="right" w:leader="dot" w:pos="9354"/>
        </w:tabs>
        <w:rPr>
          <w:rFonts w:hint="eastAsia" w:ascii="宋体" w:hAnsi="宋体" w:eastAsia="宋体" w:cs="宋体"/>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_Toc17002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eastAsia="zh-CN"/>
        </w:rPr>
        <w:t>前</w:t>
      </w:r>
      <w:r>
        <w:rPr>
          <w:rFonts w:hint="eastAsia" w:ascii="宋体" w:hAnsi="宋体" w:eastAsia="宋体" w:cs="宋体"/>
          <w:spacing w:val="0"/>
          <w:highlight w:val="none"/>
        </w:rPr>
        <w:t>言</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_Toc17002 \h </w:instrText>
      </w:r>
      <w:r>
        <w:rPr>
          <w:rFonts w:hint="eastAsia" w:ascii="宋体" w:hAnsi="宋体" w:eastAsia="宋体" w:cs="宋体"/>
          <w:highlight w:val="none"/>
        </w:rPr>
        <w:fldChar w:fldCharType="separate"/>
      </w:r>
      <w:r>
        <w:rPr>
          <w:rFonts w:hint="eastAsia" w:ascii="宋体" w:hAnsi="宋体" w:eastAsia="宋体" w:cs="宋体"/>
          <w:highlight w:val="none"/>
        </w:rPr>
        <w:t>II</w:t>
      </w:r>
      <w:r>
        <w:rPr>
          <w:rFonts w:hint="eastAsia" w:ascii="宋体" w:hAnsi="宋体" w:eastAsia="宋体" w:cs="宋体"/>
          <w:highlight w:val="none"/>
        </w:rPr>
        <w:fldChar w:fldCharType="end"/>
      </w:r>
      <w:r>
        <w:rPr>
          <w:rFonts w:hint="eastAsia" w:ascii="宋体" w:hAnsi="宋体" w:eastAsia="宋体" w:cs="宋体"/>
          <w:szCs w:val="21"/>
          <w:highlight w:val="none"/>
        </w:rPr>
        <w:fldChar w:fldCharType="end"/>
      </w:r>
    </w:p>
    <w:p>
      <w:pPr>
        <w:pStyle w:val="15"/>
        <w:tabs>
          <w:tab w:val="right" w:leader="dot" w:pos="9354"/>
        </w:tabs>
        <w:rPr>
          <w:rFonts w:hint="eastAsia" w:ascii="宋体" w:hAnsi="宋体" w:eastAsia="宋体" w:cs="宋体"/>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_Toc2960 </w:instrText>
      </w:r>
      <w:r>
        <w:rPr>
          <w:rFonts w:hint="eastAsia" w:ascii="宋体" w:hAnsi="宋体" w:eastAsia="宋体" w:cs="宋体"/>
          <w:szCs w:val="21"/>
          <w:highlight w:val="none"/>
        </w:rPr>
        <w:fldChar w:fldCharType="separate"/>
      </w:r>
      <w:r>
        <w:rPr>
          <w:rFonts w:hint="eastAsia" w:ascii="宋体" w:hAnsi="宋体" w:eastAsia="宋体" w:cs="宋体"/>
          <w:i w:val="0"/>
          <w:highlight w:val="none"/>
        </w:rPr>
        <w:t xml:space="preserve">1 </w:t>
      </w:r>
      <w:r>
        <w:rPr>
          <w:rFonts w:hint="eastAsia" w:ascii="宋体" w:hAnsi="宋体" w:eastAsia="宋体" w:cs="宋体"/>
          <w:i w:val="0"/>
          <w:highlight w:val="none"/>
          <w:lang w:val="en-US" w:eastAsia="zh-CN"/>
        </w:rPr>
        <w:t xml:space="preserve"> </w:t>
      </w:r>
      <w:r>
        <w:rPr>
          <w:rFonts w:hint="eastAsia" w:ascii="宋体" w:hAnsi="宋体" w:eastAsia="宋体" w:cs="宋体"/>
          <w:highlight w:val="none"/>
        </w:rPr>
        <w:t>范围</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_Toc2960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szCs w:val="21"/>
          <w:highlight w:val="none"/>
        </w:rPr>
        <w:fldChar w:fldCharType="end"/>
      </w:r>
    </w:p>
    <w:p>
      <w:pPr>
        <w:pStyle w:val="15"/>
        <w:tabs>
          <w:tab w:val="right" w:leader="dot" w:pos="9354"/>
        </w:tabs>
        <w:rPr>
          <w:rFonts w:hint="eastAsia" w:ascii="宋体" w:hAnsi="宋体" w:eastAsia="宋体" w:cs="宋体"/>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_Toc13259 </w:instrText>
      </w:r>
      <w:r>
        <w:rPr>
          <w:rFonts w:hint="eastAsia" w:ascii="宋体" w:hAnsi="宋体" w:eastAsia="宋体" w:cs="宋体"/>
          <w:szCs w:val="21"/>
          <w:highlight w:val="none"/>
        </w:rPr>
        <w:fldChar w:fldCharType="separate"/>
      </w:r>
      <w:r>
        <w:rPr>
          <w:rFonts w:hint="eastAsia" w:ascii="宋体" w:hAnsi="宋体" w:eastAsia="宋体" w:cs="宋体"/>
          <w:i w:val="0"/>
          <w:highlight w:val="none"/>
        </w:rPr>
        <w:t xml:space="preserve">2 </w:t>
      </w:r>
      <w:r>
        <w:rPr>
          <w:rFonts w:hint="eastAsia" w:ascii="宋体" w:hAnsi="宋体" w:eastAsia="宋体" w:cs="宋体"/>
          <w:i w:val="0"/>
          <w:highlight w:val="none"/>
          <w:lang w:val="en-US" w:eastAsia="zh-CN"/>
        </w:rPr>
        <w:t xml:space="preserve"> </w:t>
      </w:r>
      <w:r>
        <w:rPr>
          <w:rFonts w:hint="eastAsia" w:ascii="宋体" w:hAnsi="宋体" w:eastAsia="宋体" w:cs="宋体"/>
          <w:highlight w:val="none"/>
        </w:rPr>
        <w:t>规范性引用文件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_Toc13259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szCs w:val="21"/>
          <w:highlight w:val="none"/>
        </w:rPr>
        <w:fldChar w:fldCharType="end"/>
      </w:r>
    </w:p>
    <w:p>
      <w:pPr>
        <w:pStyle w:val="15"/>
        <w:tabs>
          <w:tab w:val="right" w:leader="dot" w:pos="9354"/>
        </w:tabs>
        <w:rPr>
          <w:rFonts w:hint="eastAsia" w:ascii="宋体" w:hAnsi="宋体" w:eastAsia="宋体" w:cs="宋体"/>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_Toc23240 </w:instrText>
      </w:r>
      <w:r>
        <w:rPr>
          <w:rFonts w:hint="eastAsia" w:ascii="宋体" w:hAnsi="宋体" w:eastAsia="宋体" w:cs="宋体"/>
          <w:szCs w:val="21"/>
          <w:highlight w:val="none"/>
        </w:rPr>
        <w:fldChar w:fldCharType="separate"/>
      </w:r>
      <w:r>
        <w:rPr>
          <w:rFonts w:hint="eastAsia" w:ascii="宋体" w:hAnsi="宋体" w:eastAsia="宋体" w:cs="宋体"/>
          <w:i w:val="0"/>
          <w:szCs w:val="21"/>
          <w:highlight w:val="none"/>
        </w:rPr>
        <w:t xml:space="preserve">3 </w:t>
      </w:r>
      <w:r>
        <w:rPr>
          <w:rFonts w:hint="eastAsia" w:ascii="宋体" w:hAnsi="宋体" w:eastAsia="宋体" w:cs="宋体"/>
          <w:i w:val="0"/>
          <w:szCs w:val="21"/>
          <w:highlight w:val="none"/>
          <w:lang w:val="en-US" w:eastAsia="zh-CN"/>
        </w:rPr>
        <w:t xml:space="preserve"> </w:t>
      </w:r>
      <w:r>
        <w:rPr>
          <w:rFonts w:hint="eastAsia" w:ascii="宋体" w:hAnsi="宋体" w:eastAsia="宋体" w:cs="宋体"/>
          <w:szCs w:val="21"/>
          <w:highlight w:val="none"/>
        </w:rPr>
        <w:t>术语和定义</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_Toc23240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szCs w:val="21"/>
          <w:highlight w:val="none"/>
        </w:rPr>
        <w:fldChar w:fldCharType="end"/>
      </w:r>
    </w:p>
    <w:p>
      <w:pPr>
        <w:pStyle w:val="15"/>
        <w:tabs>
          <w:tab w:val="right" w:leader="dot" w:pos="9354"/>
        </w:tabs>
        <w:rPr>
          <w:rFonts w:hint="eastAsia" w:ascii="宋体" w:hAnsi="宋体" w:eastAsia="宋体" w:cs="宋体"/>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_Toc18099 </w:instrText>
      </w:r>
      <w:r>
        <w:rPr>
          <w:rFonts w:hint="eastAsia" w:ascii="宋体" w:hAnsi="宋体" w:eastAsia="宋体" w:cs="宋体"/>
          <w:szCs w:val="21"/>
          <w:highlight w:val="none"/>
        </w:rPr>
        <w:fldChar w:fldCharType="separate"/>
      </w:r>
      <w:r>
        <w:rPr>
          <w:rFonts w:hint="eastAsia" w:ascii="宋体" w:hAnsi="宋体" w:eastAsia="宋体" w:cs="宋体"/>
          <w:i w:val="0"/>
          <w:highlight w:val="none"/>
        </w:rPr>
        <w:t xml:space="preserve">4 </w:t>
      </w:r>
      <w:r>
        <w:rPr>
          <w:rFonts w:hint="eastAsia" w:ascii="宋体" w:hAnsi="宋体" w:eastAsia="宋体" w:cs="宋体"/>
          <w:i w:val="0"/>
          <w:highlight w:val="none"/>
          <w:lang w:val="en-US" w:eastAsia="zh-CN"/>
        </w:rPr>
        <w:t xml:space="preserve"> </w:t>
      </w:r>
      <w:r>
        <w:rPr>
          <w:rFonts w:hint="eastAsia" w:ascii="宋体" w:hAnsi="宋体" w:eastAsia="宋体" w:cs="宋体"/>
          <w:highlight w:val="none"/>
          <w:lang w:val="en-US" w:eastAsia="zh-CN"/>
        </w:rPr>
        <w:t>建设</w:t>
      </w:r>
      <w:r>
        <w:rPr>
          <w:rFonts w:hint="eastAsia" w:ascii="宋体" w:hAnsi="宋体" w:eastAsia="宋体" w:cs="宋体"/>
          <w:highlight w:val="none"/>
        </w:rPr>
        <w:t>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_Toc18099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szCs w:val="21"/>
          <w:highlight w:val="none"/>
        </w:rPr>
        <w:fldChar w:fldCharType="end"/>
      </w:r>
    </w:p>
    <w:p>
      <w:pPr>
        <w:pStyle w:val="17"/>
        <w:tabs>
          <w:tab w:val="right" w:leader="dot" w:pos="9354"/>
          <w:tab w:val="clear" w:pos="9344"/>
        </w:tabs>
        <w:rPr>
          <w:rFonts w:hint="eastAsia" w:ascii="宋体" w:hAnsi="宋体" w:eastAsia="宋体" w:cs="宋体"/>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_Toc24701 </w:instrText>
      </w:r>
      <w:r>
        <w:rPr>
          <w:rFonts w:hint="eastAsia" w:ascii="宋体" w:hAnsi="宋体" w:eastAsia="宋体" w:cs="宋体"/>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eastAsia" w:ascii="宋体" w:hAnsi="宋体" w:eastAsia="宋体" w:cs="宋体"/>
          <w:bCs w:val="0"/>
          <w:i w:val="0"/>
          <w:iCs w:val="0"/>
          <w:caps w:val="0"/>
          <w:smallCaps w:val="0"/>
          <w:strike w:val="0"/>
          <w:dstrike w:val="0"/>
          <w:vanish w:val="0"/>
          <w:spacing w:val="0"/>
          <w:kern w:val="0"/>
          <w:position w:val="0"/>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highlight w:val="none"/>
          <w:lang w:val="en-US" w:eastAsia="zh-CN"/>
        </w:rPr>
        <w:t>主体要求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_Toc24701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szCs w:val="21"/>
          <w:highlight w:val="none"/>
        </w:rPr>
        <w:fldChar w:fldCharType="end"/>
      </w:r>
    </w:p>
    <w:p>
      <w:pPr>
        <w:pStyle w:val="17"/>
        <w:tabs>
          <w:tab w:val="right" w:leader="dot" w:pos="9354"/>
          <w:tab w:val="clear" w:pos="9344"/>
        </w:tabs>
        <w:rPr>
          <w:rFonts w:hint="eastAsia" w:ascii="宋体" w:hAnsi="宋体" w:eastAsia="宋体" w:cs="宋体"/>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_Toc14834 </w:instrText>
      </w:r>
      <w:r>
        <w:rPr>
          <w:rFonts w:hint="eastAsia" w:ascii="宋体" w:hAnsi="宋体" w:eastAsia="宋体" w:cs="宋体"/>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4.2 </w:t>
      </w:r>
      <w:r>
        <w:rPr>
          <w:rFonts w:hint="eastAsia" w:ascii="宋体" w:hAnsi="宋体" w:eastAsia="宋体" w:cs="宋体"/>
          <w:bCs w:val="0"/>
          <w:i w:val="0"/>
          <w:iCs w:val="0"/>
          <w:caps w:val="0"/>
          <w:smallCaps w:val="0"/>
          <w:strike w:val="0"/>
          <w:dstrike w:val="0"/>
          <w:vanish w:val="0"/>
          <w:spacing w:val="0"/>
          <w:kern w:val="0"/>
          <w:position w:val="0"/>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highlight w:val="none"/>
          <w:lang w:val="en-US" w:eastAsia="zh-CN"/>
        </w:rPr>
        <w:t>场地建设要求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_Toc14834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szCs w:val="21"/>
          <w:highlight w:val="none"/>
        </w:rPr>
        <w:fldChar w:fldCharType="end"/>
      </w:r>
    </w:p>
    <w:p>
      <w:pPr>
        <w:pStyle w:val="17"/>
        <w:tabs>
          <w:tab w:val="right" w:leader="dot" w:pos="9354"/>
          <w:tab w:val="clear" w:pos="9344"/>
        </w:tabs>
        <w:rPr>
          <w:rFonts w:hint="eastAsia" w:ascii="宋体" w:hAnsi="宋体" w:eastAsia="宋体" w:cs="宋体"/>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_Toc15044 </w:instrText>
      </w:r>
      <w:r>
        <w:rPr>
          <w:rFonts w:hint="eastAsia" w:ascii="宋体" w:hAnsi="宋体" w:eastAsia="宋体" w:cs="宋体"/>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4.3 </w:t>
      </w:r>
      <w:r>
        <w:rPr>
          <w:rFonts w:hint="eastAsia" w:ascii="宋体" w:hAnsi="宋体" w:eastAsia="宋体" w:cs="宋体"/>
          <w:bCs w:val="0"/>
          <w:i w:val="0"/>
          <w:iCs w:val="0"/>
          <w:caps w:val="0"/>
          <w:smallCaps w:val="0"/>
          <w:strike w:val="0"/>
          <w:dstrike w:val="0"/>
          <w:vanish w:val="0"/>
          <w:spacing w:val="0"/>
          <w:kern w:val="0"/>
          <w:position w:val="0"/>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highlight w:val="none"/>
          <w:lang w:val="en-US" w:eastAsia="zh-CN"/>
        </w:rPr>
        <w:t>人员要求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_Toc15044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szCs w:val="21"/>
          <w:highlight w:val="none"/>
        </w:rPr>
        <w:fldChar w:fldCharType="end"/>
      </w:r>
    </w:p>
    <w:p>
      <w:pPr>
        <w:pStyle w:val="17"/>
        <w:tabs>
          <w:tab w:val="right" w:leader="dot" w:pos="9354"/>
          <w:tab w:val="clear" w:pos="9344"/>
        </w:tabs>
        <w:rPr>
          <w:rFonts w:hint="eastAsia" w:ascii="宋体" w:hAnsi="宋体" w:eastAsia="宋体" w:cs="宋体"/>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_Toc19368 </w:instrText>
      </w:r>
      <w:r>
        <w:rPr>
          <w:rFonts w:hint="eastAsia" w:ascii="宋体" w:hAnsi="宋体" w:eastAsia="宋体" w:cs="宋体"/>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4.4  </w:t>
      </w:r>
      <w:r>
        <w:rPr>
          <w:rFonts w:hint="eastAsia" w:ascii="宋体" w:hAnsi="宋体" w:eastAsia="宋体" w:cs="宋体"/>
          <w:highlight w:val="none"/>
          <w:lang w:val="en-US" w:eastAsia="zh-CN"/>
        </w:rPr>
        <w:t>物联网建设及数据安全要求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_Toc19368 \h </w:instrText>
      </w:r>
      <w:r>
        <w:rPr>
          <w:rFonts w:hint="eastAsia" w:ascii="宋体" w:hAnsi="宋体" w:eastAsia="宋体" w:cs="宋体"/>
          <w:highlight w:val="none"/>
        </w:rPr>
        <w:fldChar w:fldCharType="separate"/>
      </w:r>
      <w:r>
        <w:rPr>
          <w:rFonts w:hint="eastAsia" w:ascii="宋体" w:hAnsi="宋体" w:eastAsia="宋体" w:cs="宋体"/>
          <w:highlight w:val="none"/>
        </w:rPr>
        <w:t>2</w:t>
      </w:r>
      <w:r>
        <w:rPr>
          <w:rFonts w:hint="eastAsia" w:ascii="宋体" w:hAnsi="宋体" w:eastAsia="宋体" w:cs="宋体"/>
          <w:highlight w:val="none"/>
        </w:rPr>
        <w:fldChar w:fldCharType="end"/>
      </w:r>
      <w:r>
        <w:rPr>
          <w:rFonts w:hint="eastAsia" w:ascii="宋体" w:hAnsi="宋体" w:eastAsia="宋体" w:cs="宋体"/>
          <w:szCs w:val="21"/>
          <w:highlight w:val="none"/>
        </w:rPr>
        <w:fldChar w:fldCharType="end"/>
      </w:r>
    </w:p>
    <w:p>
      <w:pPr>
        <w:pStyle w:val="17"/>
        <w:tabs>
          <w:tab w:val="right" w:leader="dot" w:pos="9354"/>
          <w:tab w:val="clear" w:pos="9344"/>
        </w:tabs>
        <w:rPr>
          <w:rFonts w:hint="eastAsia" w:ascii="宋体" w:hAnsi="宋体" w:eastAsia="宋体" w:cs="宋体"/>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_Toc28191 </w:instrText>
      </w:r>
      <w:r>
        <w:rPr>
          <w:rFonts w:hint="eastAsia" w:ascii="宋体" w:hAnsi="宋体" w:eastAsia="宋体" w:cs="宋体"/>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4.5 </w:t>
      </w:r>
      <w:r>
        <w:rPr>
          <w:rFonts w:hint="eastAsia" w:ascii="宋体" w:hAnsi="宋体" w:eastAsia="宋体" w:cs="宋体"/>
          <w:bCs w:val="0"/>
          <w:i w:val="0"/>
          <w:iCs w:val="0"/>
          <w:caps w:val="0"/>
          <w:smallCaps w:val="0"/>
          <w:strike w:val="0"/>
          <w:dstrike w:val="0"/>
          <w:vanish w:val="0"/>
          <w:spacing w:val="0"/>
          <w:kern w:val="0"/>
          <w:position w:val="0"/>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highlight w:val="none"/>
          <w:lang w:eastAsia="zh-CN"/>
        </w:rPr>
        <w:t>成效要求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_Toc28191 \h </w:instrText>
      </w:r>
      <w:r>
        <w:rPr>
          <w:rFonts w:hint="eastAsia" w:ascii="宋体" w:hAnsi="宋体" w:eastAsia="宋体" w:cs="宋体"/>
          <w:highlight w:val="none"/>
        </w:rPr>
        <w:fldChar w:fldCharType="separate"/>
      </w:r>
      <w:r>
        <w:rPr>
          <w:rFonts w:hint="eastAsia" w:ascii="宋体" w:hAnsi="宋体" w:eastAsia="宋体" w:cs="宋体"/>
          <w:highlight w:val="none"/>
        </w:rPr>
        <w:t>2</w:t>
      </w:r>
      <w:r>
        <w:rPr>
          <w:rFonts w:hint="eastAsia" w:ascii="宋体" w:hAnsi="宋体" w:eastAsia="宋体" w:cs="宋体"/>
          <w:highlight w:val="none"/>
        </w:rPr>
        <w:fldChar w:fldCharType="end"/>
      </w:r>
      <w:r>
        <w:rPr>
          <w:rFonts w:hint="eastAsia" w:ascii="宋体" w:hAnsi="宋体" w:eastAsia="宋体" w:cs="宋体"/>
          <w:szCs w:val="21"/>
          <w:highlight w:val="none"/>
        </w:rPr>
        <w:fldChar w:fldCharType="end"/>
      </w:r>
    </w:p>
    <w:p>
      <w:pPr>
        <w:pStyle w:val="15"/>
        <w:tabs>
          <w:tab w:val="right" w:leader="dot" w:pos="9354"/>
        </w:tabs>
        <w:rPr>
          <w:rFonts w:hint="eastAsia" w:ascii="宋体" w:hAnsi="宋体" w:eastAsia="宋体" w:cs="宋体"/>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_Toc6598 </w:instrText>
      </w:r>
      <w:r>
        <w:rPr>
          <w:rFonts w:hint="eastAsia" w:ascii="宋体" w:hAnsi="宋体" w:eastAsia="宋体" w:cs="宋体"/>
          <w:szCs w:val="21"/>
          <w:highlight w:val="none"/>
        </w:rPr>
        <w:fldChar w:fldCharType="separate"/>
      </w:r>
      <w:r>
        <w:rPr>
          <w:rFonts w:hint="eastAsia" w:ascii="宋体" w:hAnsi="宋体" w:eastAsia="宋体" w:cs="宋体"/>
          <w:i w:val="0"/>
          <w:highlight w:val="none"/>
        </w:rPr>
        <w:t xml:space="preserve">5 </w:t>
      </w:r>
      <w:r>
        <w:rPr>
          <w:rFonts w:hint="eastAsia" w:ascii="宋体" w:hAnsi="宋体" w:eastAsia="宋体" w:cs="宋体"/>
          <w:i w:val="0"/>
          <w:highlight w:val="none"/>
          <w:lang w:val="en-US" w:eastAsia="zh-CN"/>
        </w:rPr>
        <w:t xml:space="preserve"> </w:t>
      </w:r>
      <w:r>
        <w:rPr>
          <w:rFonts w:hint="eastAsia" w:ascii="宋体" w:hAnsi="宋体" w:eastAsia="宋体" w:cs="宋体"/>
          <w:highlight w:val="none"/>
          <w:lang w:val="en-US" w:eastAsia="zh-CN"/>
        </w:rPr>
        <w:t>建设内容</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_Toc6598 \h </w:instrText>
      </w:r>
      <w:r>
        <w:rPr>
          <w:rFonts w:hint="eastAsia" w:ascii="宋体" w:hAnsi="宋体" w:eastAsia="宋体" w:cs="宋体"/>
          <w:highlight w:val="none"/>
        </w:rPr>
        <w:fldChar w:fldCharType="separate"/>
      </w:r>
      <w:r>
        <w:rPr>
          <w:rFonts w:hint="eastAsia" w:ascii="宋体" w:hAnsi="宋体" w:eastAsia="宋体" w:cs="宋体"/>
          <w:highlight w:val="none"/>
        </w:rPr>
        <w:t>2</w:t>
      </w:r>
      <w:r>
        <w:rPr>
          <w:rFonts w:hint="eastAsia" w:ascii="宋体" w:hAnsi="宋体" w:eastAsia="宋体" w:cs="宋体"/>
          <w:highlight w:val="none"/>
        </w:rPr>
        <w:fldChar w:fldCharType="end"/>
      </w:r>
      <w:r>
        <w:rPr>
          <w:rFonts w:hint="eastAsia" w:ascii="宋体" w:hAnsi="宋体" w:eastAsia="宋体" w:cs="宋体"/>
          <w:szCs w:val="21"/>
          <w:highlight w:val="none"/>
        </w:rPr>
        <w:fldChar w:fldCharType="end"/>
      </w:r>
    </w:p>
    <w:p>
      <w:pPr>
        <w:pStyle w:val="17"/>
        <w:tabs>
          <w:tab w:val="right" w:leader="dot" w:pos="9354"/>
          <w:tab w:val="clear" w:pos="9344"/>
        </w:tabs>
        <w:rPr>
          <w:rFonts w:hint="eastAsia" w:ascii="宋体" w:hAnsi="宋体" w:eastAsia="宋体" w:cs="宋体"/>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_Toc26210 </w:instrText>
      </w:r>
      <w:r>
        <w:rPr>
          <w:rFonts w:hint="eastAsia" w:ascii="宋体" w:hAnsi="宋体" w:eastAsia="宋体" w:cs="宋体"/>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eastAsia" w:ascii="宋体" w:hAnsi="宋体" w:eastAsia="宋体" w:cs="宋体"/>
          <w:highlight w:val="none"/>
          <w:lang w:val="en-US" w:eastAsia="zh-CN"/>
        </w:rPr>
        <w:t>智慧化系统建设</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_Toc26210 \h </w:instrText>
      </w:r>
      <w:r>
        <w:rPr>
          <w:rFonts w:hint="eastAsia" w:ascii="宋体" w:hAnsi="宋体" w:eastAsia="宋体" w:cs="宋体"/>
          <w:highlight w:val="none"/>
        </w:rPr>
        <w:fldChar w:fldCharType="separate"/>
      </w:r>
      <w:r>
        <w:rPr>
          <w:rFonts w:hint="eastAsia" w:ascii="宋体" w:hAnsi="宋体" w:eastAsia="宋体" w:cs="宋体"/>
          <w:highlight w:val="none"/>
        </w:rPr>
        <w:t>2</w:t>
      </w:r>
      <w:r>
        <w:rPr>
          <w:rFonts w:hint="eastAsia" w:ascii="宋体" w:hAnsi="宋体" w:eastAsia="宋体" w:cs="宋体"/>
          <w:highlight w:val="none"/>
        </w:rPr>
        <w:fldChar w:fldCharType="end"/>
      </w:r>
      <w:r>
        <w:rPr>
          <w:rFonts w:hint="eastAsia" w:ascii="宋体" w:hAnsi="宋体" w:eastAsia="宋体" w:cs="宋体"/>
          <w:szCs w:val="21"/>
          <w:highlight w:val="none"/>
        </w:rPr>
        <w:fldChar w:fldCharType="end"/>
      </w:r>
    </w:p>
    <w:p>
      <w:pPr>
        <w:pStyle w:val="17"/>
        <w:tabs>
          <w:tab w:val="right" w:leader="dot" w:pos="9354"/>
          <w:tab w:val="clear" w:pos="9344"/>
        </w:tabs>
        <w:rPr>
          <w:rFonts w:hint="eastAsia" w:ascii="宋体" w:hAnsi="宋体" w:eastAsia="宋体" w:cs="宋体"/>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_Toc14283 </w:instrText>
      </w:r>
      <w:r>
        <w:rPr>
          <w:rFonts w:hint="eastAsia" w:ascii="宋体" w:hAnsi="宋体" w:eastAsia="宋体" w:cs="宋体"/>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eastAsia" w:ascii="宋体" w:hAnsi="宋体" w:eastAsia="宋体" w:cs="宋体"/>
          <w:highlight w:val="none"/>
          <w:lang w:val="en-US" w:eastAsia="zh-CN"/>
        </w:rPr>
        <w:t>智慧化装备建设</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_Toc14283 \h </w:instrText>
      </w:r>
      <w:r>
        <w:rPr>
          <w:rFonts w:hint="eastAsia" w:ascii="宋体" w:hAnsi="宋体" w:eastAsia="宋体" w:cs="宋体"/>
          <w:highlight w:val="none"/>
        </w:rPr>
        <w:fldChar w:fldCharType="separate"/>
      </w:r>
      <w:r>
        <w:rPr>
          <w:rFonts w:hint="eastAsia" w:ascii="宋体" w:hAnsi="宋体" w:eastAsia="宋体" w:cs="宋体"/>
          <w:highlight w:val="none"/>
        </w:rPr>
        <w:t>2</w:t>
      </w:r>
      <w:r>
        <w:rPr>
          <w:rFonts w:hint="eastAsia" w:ascii="宋体" w:hAnsi="宋体" w:eastAsia="宋体" w:cs="宋体"/>
          <w:highlight w:val="none"/>
        </w:rPr>
        <w:fldChar w:fldCharType="end"/>
      </w:r>
      <w:r>
        <w:rPr>
          <w:rFonts w:hint="eastAsia" w:ascii="宋体" w:hAnsi="宋体" w:eastAsia="宋体" w:cs="宋体"/>
          <w:szCs w:val="21"/>
          <w:highlight w:val="none"/>
        </w:rPr>
        <w:fldChar w:fldCharType="end"/>
      </w:r>
    </w:p>
    <w:p>
      <w:pPr>
        <w:pStyle w:val="15"/>
        <w:tabs>
          <w:tab w:val="right" w:leader="dot" w:pos="9354"/>
        </w:tabs>
        <w:rPr>
          <w:rFonts w:hint="eastAsia" w:ascii="宋体" w:hAnsi="宋体" w:eastAsia="宋体" w:cs="宋体"/>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_Toc27654 </w:instrText>
      </w:r>
      <w:r>
        <w:rPr>
          <w:rFonts w:hint="eastAsia" w:ascii="宋体" w:hAnsi="宋体" w:eastAsia="宋体" w:cs="宋体"/>
          <w:szCs w:val="21"/>
          <w:highlight w:val="none"/>
        </w:rPr>
        <w:fldChar w:fldCharType="separate"/>
      </w:r>
      <w:r>
        <w:rPr>
          <w:rFonts w:hint="eastAsia" w:ascii="宋体" w:hAnsi="宋体" w:eastAsia="宋体" w:cs="宋体"/>
          <w:i w:val="0"/>
          <w:highlight w:val="none"/>
        </w:rPr>
        <w:t xml:space="preserve">6 </w:t>
      </w:r>
      <w:r>
        <w:rPr>
          <w:rFonts w:hint="eastAsia" w:ascii="宋体" w:hAnsi="宋体" w:eastAsia="宋体" w:cs="宋体"/>
          <w:i w:val="0"/>
          <w:highlight w:val="none"/>
          <w:lang w:val="en-US" w:eastAsia="zh-CN"/>
        </w:rPr>
        <w:t xml:space="preserve"> </w:t>
      </w:r>
      <w:r>
        <w:rPr>
          <w:rFonts w:hint="eastAsia" w:ascii="宋体" w:hAnsi="宋体" w:eastAsia="宋体" w:cs="宋体"/>
          <w:highlight w:val="none"/>
        </w:rPr>
        <w:t>评价</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_Toc27654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szCs w:val="21"/>
          <w:highlight w:val="none"/>
        </w:rPr>
        <w:fldChar w:fldCharType="end"/>
      </w:r>
    </w:p>
    <w:p>
      <w:pPr>
        <w:pStyle w:val="15"/>
        <w:tabs>
          <w:tab w:val="right" w:leader="dot" w:pos="9354"/>
        </w:tabs>
        <w:rPr>
          <w:rFonts w:hint="eastAsia" w:ascii="宋体" w:hAnsi="宋体" w:eastAsia="宋体" w:cs="宋体"/>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_Toc11104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lang w:val="en-US" w:eastAsia="zh-CN" w:bidi="ar-SA"/>
        </w:rPr>
        <w:t>附录A（资料性）  智慧菜园示范基地评价内容</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_Toc11104 \h </w:instrText>
      </w:r>
      <w:r>
        <w:rPr>
          <w:rFonts w:hint="eastAsia" w:ascii="宋体" w:hAnsi="宋体" w:eastAsia="宋体" w:cs="宋体"/>
          <w:highlight w:val="none"/>
        </w:rPr>
        <w:fldChar w:fldCharType="separate"/>
      </w:r>
      <w:r>
        <w:rPr>
          <w:rFonts w:hint="eastAsia" w:ascii="宋体" w:hAnsi="宋体" w:eastAsia="宋体" w:cs="宋体"/>
          <w:highlight w:val="none"/>
        </w:rPr>
        <w:t>4</w:t>
      </w:r>
      <w:r>
        <w:rPr>
          <w:rFonts w:hint="eastAsia" w:ascii="宋体" w:hAnsi="宋体" w:eastAsia="宋体" w:cs="宋体"/>
          <w:highlight w:val="none"/>
        </w:rPr>
        <w:fldChar w:fldCharType="end"/>
      </w:r>
      <w:r>
        <w:rPr>
          <w:rFonts w:hint="eastAsia" w:ascii="宋体" w:hAnsi="宋体" w:eastAsia="宋体" w:cs="宋体"/>
          <w:szCs w:val="21"/>
          <w:highlight w:val="none"/>
        </w:rPr>
        <w:fldChar w:fldCharType="end"/>
      </w:r>
    </w:p>
    <w:p>
      <w:pPr>
        <w:pStyle w:val="15"/>
        <w:tabs>
          <w:tab w:val="right" w:leader="dot" w:pos="9354"/>
        </w:tabs>
        <w:rPr>
          <w:highlight w:val="none"/>
        </w:rPr>
      </w:pPr>
    </w:p>
    <w:p>
      <w:pPr>
        <w:keepNext w:val="0"/>
        <w:keepLines w:val="0"/>
        <w:pageBreakBefore w:val="0"/>
        <w:widowControl w:val="0"/>
        <w:kinsoku/>
        <w:wordWrap/>
        <w:overflowPunct/>
        <w:topLinePunct w:val="0"/>
        <w:autoSpaceDE/>
        <w:autoSpaceDN/>
        <w:bidi w:val="0"/>
        <w:adjustRightInd/>
        <w:snapToGrid w:val="0"/>
        <w:spacing w:before="567" w:after="680"/>
        <w:jc w:val="center"/>
        <w:textAlignment w:val="auto"/>
        <w:rPr>
          <w:rFonts w:ascii="宋体" w:hAnsi="宋体" w:eastAsia="宋体" w:cs="宋体"/>
          <w:szCs w:val="21"/>
          <w:highlight w:val="none"/>
        </w:rPr>
      </w:pPr>
      <w:r>
        <w:rPr>
          <w:rFonts w:ascii="宋体" w:hAnsi="宋体" w:eastAsia="宋体" w:cs="宋体"/>
          <w:szCs w:val="21"/>
          <w:highlight w:val="none"/>
        </w:rPr>
        <w:fldChar w:fldCharType="end"/>
      </w:r>
    </w:p>
    <w:p>
      <w:pPr>
        <w:pStyle w:val="2"/>
        <w:rPr>
          <w:rFonts w:ascii="宋体" w:hAnsi="宋体" w:eastAsia="宋体" w:cs="宋体"/>
          <w:szCs w:val="21"/>
          <w:highlight w:val="none"/>
        </w:rPr>
      </w:pPr>
      <w:bookmarkStart w:id="7" w:name="_Toc26677"/>
    </w:p>
    <w:p>
      <w:pPr>
        <w:pStyle w:val="2"/>
        <w:rPr>
          <w:rFonts w:ascii="宋体" w:hAnsi="宋体" w:eastAsia="宋体" w:cs="宋体"/>
          <w:szCs w:val="21"/>
          <w:highlight w:val="none"/>
        </w:rPr>
      </w:pPr>
    </w:p>
    <w:p>
      <w:pPr>
        <w:pStyle w:val="2"/>
        <w:rPr>
          <w:rFonts w:ascii="宋体" w:hAnsi="宋体" w:eastAsia="宋体" w:cs="宋体"/>
          <w:szCs w:val="21"/>
          <w:highlight w:val="none"/>
        </w:rPr>
      </w:pPr>
    </w:p>
    <w:p>
      <w:pPr>
        <w:keepNext w:val="0"/>
        <w:keepLines w:val="0"/>
        <w:pageBreakBefore w:val="0"/>
        <w:widowControl/>
        <w:shd w:val="clear"/>
        <w:kinsoku/>
        <w:wordWrap/>
        <w:overflowPunct/>
        <w:topLinePunct w:val="0"/>
        <w:autoSpaceDE/>
        <w:autoSpaceDN/>
        <w:bidi w:val="0"/>
        <w:adjustRightInd/>
        <w:snapToGrid/>
        <w:spacing w:before="567" w:after="680" w:afterLines="0"/>
        <w:ind w:left="425" w:hanging="425"/>
        <w:textAlignment w:val="auto"/>
        <w:rPr>
          <w:spacing w:val="320"/>
          <w:highlight w:val="none"/>
        </w:rPr>
        <w:sectPr>
          <w:headerReference r:id="rId3" w:type="default"/>
          <w:footerReference r:id="rId5" w:type="default"/>
          <w:headerReference r:id="rId4" w:type="even"/>
          <w:footerReference r:id="rId6" w:type="even"/>
          <w:pgSz w:w="11906" w:h="16838"/>
          <w:pgMar w:top="1417" w:right="1134" w:bottom="1134" w:left="1418" w:header="1417" w:footer="1134" w:gutter="0"/>
          <w:pgNumType w:fmt="upperRoman" w:start="1"/>
          <w:cols w:space="425" w:num="1"/>
          <w:docGrid w:type="lines" w:linePitch="312" w:charSpace="0"/>
        </w:sectPr>
      </w:pPr>
    </w:p>
    <w:p>
      <w:pPr>
        <w:pStyle w:val="2"/>
        <w:rPr>
          <w:highlight w:val="none"/>
        </w:rPr>
        <w:sectPr>
          <w:footerReference r:id="rId7" w:type="default"/>
          <w:footerReference r:id="rId8" w:type="even"/>
          <w:pgSz w:w="11906" w:h="16838"/>
          <w:pgMar w:top="1417" w:right="1134" w:bottom="1134" w:left="1418" w:header="1417" w:footer="1134" w:gutter="0"/>
          <w:pgNumType w:fmt="upperRoman" w:start="2"/>
          <w:cols w:space="425" w:num="1"/>
          <w:docGrid w:type="lines" w:linePitch="312" w:charSpace="0"/>
        </w:sectPr>
      </w:pPr>
    </w:p>
    <w:p>
      <w:pPr>
        <w:pStyle w:val="49"/>
        <w:keepNext w:val="0"/>
        <w:keepLines w:val="0"/>
        <w:pageBreakBefore w:val="0"/>
        <w:widowControl/>
        <w:numPr>
          <w:ilvl w:val="0"/>
          <w:numId w:val="0"/>
        </w:numPr>
        <w:shd w:val="clear"/>
        <w:kinsoku/>
        <w:wordWrap/>
        <w:overflowPunct/>
        <w:topLinePunct w:val="0"/>
        <w:autoSpaceDE/>
        <w:autoSpaceDN/>
        <w:bidi w:val="0"/>
        <w:adjustRightInd/>
        <w:snapToGrid/>
        <w:spacing w:before="567" w:after="680" w:afterLines="0"/>
        <w:ind w:leftChars="0"/>
        <w:jc w:val="center"/>
        <w:textAlignment w:val="auto"/>
        <w:rPr>
          <w:spacing w:val="320"/>
          <w:highlight w:val="none"/>
        </w:rPr>
      </w:pPr>
      <w:bookmarkStart w:id="8" w:name="_Toc17002"/>
      <w:r>
        <w:rPr>
          <w:rFonts w:hint="eastAsia"/>
          <w:spacing w:val="320"/>
          <w:highlight w:val="none"/>
        </w:rPr>
        <w:t>前</w:t>
      </w:r>
      <w:r>
        <w:rPr>
          <w:rFonts w:hint="eastAsia"/>
          <w:spacing w:val="0"/>
          <w:highlight w:val="none"/>
        </w:rPr>
        <w:t>言</w:t>
      </w:r>
      <w:bookmarkEnd w:id="7"/>
      <w:bookmarkEnd w:id="8"/>
    </w:p>
    <w:p>
      <w:pPr>
        <w:pStyle w:val="67"/>
        <w:ind w:firstLine="420"/>
        <w:rPr>
          <w:rFonts w:hint="eastAsia"/>
          <w:highlight w:val="none"/>
          <w:lang w:eastAsia="zh-CN"/>
        </w:rPr>
      </w:pPr>
      <w:r>
        <w:rPr>
          <w:rFonts w:hint="eastAsia"/>
          <w:highlight w:val="none"/>
          <w:lang w:eastAsia="zh-CN"/>
        </w:rPr>
        <w:t>本文件按照GB/T 1.1—2020《标准化工作导则  第1部分：标准化文件的结构和起草规则》的规定起草。</w:t>
      </w:r>
    </w:p>
    <w:p>
      <w:pPr>
        <w:pStyle w:val="67"/>
        <w:ind w:firstLine="420"/>
        <w:rPr>
          <w:rFonts w:hint="eastAsia"/>
          <w:highlight w:val="none"/>
          <w:lang w:eastAsia="zh-CN"/>
        </w:rPr>
      </w:pPr>
      <w:r>
        <w:rPr>
          <w:rFonts w:hint="eastAsia"/>
          <w:highlight w:val="none"/>
          <w:lang w:eastAsia="zh-CN"/>
        </w:rPr>
        <w:t>请注意本文件的某些内容可能涉及专利。本文件的发布机构不承担识别专利的责任。</w:t>
      </w:r>
    </w:p>
    <w:p>
      <w:pPr>
        <w:pStyle w:val="67"/>
        <w:ind w:firstLine="420"/>
        <w:rPr>
          <w:rFonts w:hint="eastAsia"/>
          <w:highlight w:val="none"/>
          <w:lang w:eastAsia="zh-CN"/>
        </w:rPr>
      </w:pPr>
      <w:r>
        <w:rPr>
          <w:rFonts w:hint="eastAsia"/>
          <w:highlight w:val="none"/>
          <w:lang w:eastAsia="zh-CN"/>
        </w:rPr>
        <w:t>本文件由苏州市农业农村局提出并归口。</w:t>
      </w:r>
    </w:p>
    <w:p>
      <w:pPr>
        <w:autoSpaceDE w:val="0"/>
        <w:autoSpaceDN w:val="0"/>
        <w:ind w:firstLine="420" w:firstLineChars="200"/>
        <w:jc w:val="both"/>
        <w:rPr>
          <w:rFonts w:hint="eastAsia"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本文件起草单位：苏州市农业信息中心、江苏省农业科学院、建信金融科技(苏州)有限公司、苏州市农业农村局。</w:t>
      </w:r>
    </w:p>
    <w:p>
      <w:pPr>
        <w:autoSpaceDE w:val="0"/>
        <w:autoSpaceDN w:val="0"/>
        <w:ind w:firstLine="420" w:firstLineChars="200"/>
        <w:jc w:val="both"/>
        <w:rPr>
          <w:rFonts w:hint="eastAsia"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本文件主要起草人：刘好丽、邱琳、李跃文、商贵艳、俞广建、田苗、朱谈立、任志强、蒋荣隽、单捷、李俊、卢必慧、蒋澄刚、孙晓甜。</w:t>
      </w:r>
    </w:p>
    <w:p>
      <w:pPr>
        <w:pStyle w:val="2"/>
        <w:shd w:val="clear"/>
        <w:rPr>
          <w:highlight w:val="none"/>
        </w:rPr>
      </w:pPr>
    </w:p>
    <w:p>
      <w:pPr>
        <w:snapToGrid w:val="0"/>
        <w:ind w:firstLine="420" w:firstLineChars="200"/>
        <w:rPr>
          <w:rFonts w:ascii="宋体" w:hAnsi="宋体" w:eastAsia="宋体" w:cs="宋体"/>
          <w:kern w:val="0"/>
          <w:szCs w:val="21"/>
          <w:highlight w:val="none"/>
        </w:rPr>
        <w:sectPr>
          <w:headerReference r:id="rId9" w:type="default"/>
          <w:footerReference r:id="rId11" w:type="default"/>
          <w:headerReference r:id="rId10" w:type="even"/>
          <w:footerReference r:id="rId12" w:type="even"/>
          <w:pgSz w:w="11906" w:h="16838"/>
          <w:pgMar w:top="1417" w:right="1134" w:bottom="1134" w:left="1418" w:header="1417" w:footer="1134" w:gutter="0"/>
          <w:pgNumType w:fmt="upperRoman" w:start="2"/>
          <w:cols w:space="425" w:num="1"/>
          <w:docGrid w:type="lines" w:linePitch="312" w:charSpace="0"/>
        </w:sectPr>
      </w:pPr>
    </w:p>
    <w:p>
      <w:pPr>
        <w:pStyle w:val="2"/>
        <w:rPr>
          <w:highlight w:val="none"/>
        </w:rPr>
      </w:pPr>
    </w:p>
    <w:p>
      <w:pPr>
        <w:widowControl/>
        <w:rPr>
          <w:rFonts w:ascii="黑体" w:hAnsi="黑体" w:eastAsia="黑体"/>
          <w:bCs/>
          <w:sz w:val="32"/>
          <w:szCs w:val="32"/>
          <w:highlight w:val="none"/>
        </w:rPr>
        <w:sectPr>
          <w:footerReference r:id="rId14" w:type="default"/>
          <w:headerReference r:id="rId13" w:type="even"/>
          <w:footerReference r:id="rId15" w:type="even"/>
          <w:pgSz w:w="11906" w:h="16838"/>
          <w:pgMar w:top="1417" w:right="1134" w:bottom="1134" w:left="1418" w:header="1417" w:footer="1134" w:gutter="0"/>
          <w:pgNumType w:fmt="upperRoman" w:start="2"/>
          <w:cols w:space="425" w:num="1"/>
          <w:docGrid w:type="lines" w:linePitch="312" w:charSpace="0"/>
        </w:sectPr>
      </w:pPr>
      <w:bookmarkStart w:id="9" w:name="SectionMark4"/>
    </w:p>
    <w:p>
      <w:pPr>
        <w:widowControl/>
        <w:spacing w:before="567" w:after="680"/>
        <w:jc w:val="center"/>
        <w:rPr>
          <w:rFonts w:hint="default" w:ascii="黑体" w:hAnsi="黑体" w:eastAsia="黑体"/>
          <w:bCs/>
          <w:sz w:val="32"/>
          <w:szCs w:val="32"/>
          <w:highlight w:val="none"/>
          <w:lang w:val="en-US" w:eastAsia="zh-CN"/>
        </w:rPr>
      </w:pPr>
      <w:r>
        <w:rPr>
          <w:rFonts w:hint="eastAsia" w:ascii="黑体" w:hAnsi="宋体" w:eastAsia="黑体"/>
          <w:sz w:val="32"/>
          <w:szCs w:val="32"/>
          <w:highlight w:val="none"/>
          <w:lang w:val="en-US" w:eastAsia="zh-CN"/>
        </w:rPr>
        <w:t>智慧农业示范基地建设与评价规范　第4部分：智慧菜园</w:t>
      </w:r>
    </w:p>
    <w:bookmarkEnd w:id="9"/>
    <w:p>
      <w:pPr>
        <w:pStyle w:val="66"/>
        <w:spacing w:before="312" w:after="312"/>
        <w:rPr>
          <w:rFonts w:hint="eastAsia"/>
          <w:highlight w:val="none"/>
        </w:rPr>
      </w:pPr>
      <w:bookmarkStart w:id="10" w:name="_Toc48049835"/>
      <w:bookmarkStart w:id="11" w:name="_Toc87811368"/>
      <w:bookmarkStart w:id="12" w:name="_Toc48572088"/>
      <w:bookmarkStart w:id="13" w:name="_Toc48569571"/>
      <w:bookmarkStart w:id="14" w:name="_Toc87811223"/>
      <w:bookmarkStart w:id="15" w:name="_Toc47964470"/>
      <w:bookmarkStart w:id="16" w:name="_Toc48050151"/>
      <w:bookmarkStart w:id="17" w:name="_Toc2960"/>
      <w:bookmarkStart w:id="18" w:name="_Toc122448156"/>
      <w:bookmarkStart w:id="19" w:name="_Toc66965087"/>
      <w:bookmarkStart w:id="20" w:name="_Toc47964512"/>
      <w:bookmarkStart w:id="21" w:name="_Toc15741"/>
      <w:bookmarkStart w:id="22" w:name="_Toc51663569"/>
      <w:bookmarkStart w:id="23" w:name="_Toc32663"/>
      <w:bookmarkStart w:id="24" w:name="_Toc48028304"/>
      <w:bookmarkStart w:id="25" w:name="_Toc115339701"/>
      <w:bookmarkStart w:id="26" w:name="_Toc67401897"/>
      <w:bookmarkStart w:id="27" w:name="_Toc40454690"/>
      <w:bookmarkStart w:id="28" w:name="_Toc47973642"/>
      <w:bookmarkStart w:id="29" w:name="_Toc47973431"/>
      <w:bookmarkStart w:id="30" w:name="_Toc46494722"/>
      <w:bookmarkStart w:id="31" w:name="_Toc48028397"/>
      <w:bookmarkStart w:id="32" w:name="_Toc10375"/>
      <w:bookmarkStart w:id="33" w:name="_Toc30515"/>
      <w:bookmarkStart w:id="34" w:name="_Toc67393169"/>
      <w:bookmarkStart w:id="35" w:name="_Toc51147912"/>
      <w:bookmarkStart w:id="36" w:name="_Toc21213"/>
      <w:r>
        <w:rPr>
          <w:rFonts w:hint="eastAsia"/>
          <w:highlight w:val="none"/>
        </w:rPr>
        <w:t>范围</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pStyle w:val="67"/>
        <w:ind w:firstLine="420"/>
        <w:rPr>
          <w:highlight w:val="none"/>
        </w:rPr>
      </w:pPr>
      <w:bookmarkStart w:id="37" w:name="_Toc30293"/>
      <w:bookmarkStart w:id="38" w:name="_Toc27351"/>
      <w:bookmarkStart w:id="39" w:name="_Toc48028305"/>
      <w:bookmarkStart w:id="40" w:name="_Toc29099"/>
      <w:bookmarkStart w:id="41" w:name="_Toc122448157"/>
      <w:bookmarkStart w:id="42" w:name="_Toc87811224"/>
      <w:bookmarkStart w:id="43" w:name="_Toc48572089"/>
      <w:bookmarkStart w:id="44" w:name="_Toc40454691"/>
      <w:bookmarkStart w:id="45" w:name="_Toc47964471"/>
      <w:bookmarkStart w:id="46" w:name="_Toc51147913"/>
      <w:bookmarkStart w:id="47" w:name="_Toc27904"/>
      <w:bookmarkStart w:id="48" w:name="_Toc47973643"/>
      <w:bookmarkStart w:id="49" w:name="_Toc67393170"/>
      <w:bookmarkStart w:id="50" w:name="_Toc48569572"/>
      <w:bookmarkStart w:id="51" w:name="_Toc66965088"/>
      <w:bookmarkStart w:id="52" w:name="_Toc87811369"/>
      <w:bookmarkStart w:id="53" w:name="_Toc5397"/>
      <w:bookmarkStart w:id="54" w:name="_Toc48028398"/>
      <w:bookmarkStart w:id="55" w:name="_Toc115339702"/>
      <w:bookmarkStart w:id="56" w:name="_Toc48049836"/>
      <w:bookmarkStart w:id="57" w:name="_Toc46494723"/>
      <w:bookmarkStart w:id="58" w:name="_Toc47964513"/>
      <w:bookmarkStart w:id="59" w:name="_Toc47973432"/>
      <w:bookmarkStart w:id="60" w:name="_Toc67401898"/>
      <w:bookmarkStart w:id="61" w:name="_Toc48050152"/>
      <w:bookmarkStart w:id="62" w:name="_Toc51663570"/>
      <w:r>
        <w:rPr>
          <w:rFonts w:hint="eastAsia"/>
          <w:highlight w:val="none"/>
        </w:rPr>
        <w:t>本文件规定了</w:t>
      </w:r>
      <w:r>
        <w:rPr>
          <w:rFonts w:hint="eastAsia"/>
          <w:highlight w:val="none"/>
          <w:lang w:val="en-US" w:eastAsia="zh-CN"/>
        </w:rPr>
        <w:t>智慧菜园</w:t>
      </w:r>
      <w:r>
        <w:rPr>
          <w:rFonts w:hint="eastAsia"/>
          <w:highlight w:val="none"/>
        </w:rPr>
        <w:t>示范基地</w:t>
      </w:r>
      <w:r>
        <w:rPr>
          <w:rFonts w:hint="eastAsia"/>
          <w:highlight w:val="none"/>
          <w:lang w:eastAsia="zh-CN"/>
        </w:rPr>
        <w:t>建设与评价</w:t>
      </w:r>
      <w:r>
        <w:rPr>
          <w:rFonts w:hint="eastAsia"/>
          <w:highlight w:val="none"/>
        </w:rPr>
        <w:t>的建设</w:t>
      </w:r>
      <w:r>
        <w:rPr>
          <w:rFonts w:hint="eastAsia"/>
          <w:highlight w:val="none"/>
          <w:lang w:eastAsia="zh-CN"/>
        </w:rPr>
        <w:t>要求、建设内容</w:t>
      </w:r>
      <w:r>
        <w:rPr>
          <w:rFonts w:hint="eastAsia"/>
          <w:highlight w:val="none"/>
        </w:rPr>
        <w:t>和评价。</w:t>
      </w:r>
    </w:p>
    <w:p>
      <w:pPr>
        <w:pStyle w:val="67"/>
        <w:ind w:firstLine="420"/>
        <w:rPr>
          <w:rFonts w:hint="eastAsia"/>
          <w:highlight w:val="none"/>
        </w:rPr>
      </w:pPr>
      <w:r>
        <w:rPr>
          <w:rFonts w:hint="eastAsia"/>
          <w:highlight w:val="none"/>
        </w:rPr>
        <w:t>本文件适用于</w:t>
      </w:r>
      <w:r>
        <w:rPr>
          <w:rFonts w:hint="eastAsia"/>
          <w:highlight w:val="none"/>
          <w:lang w:eastAsia="zh-CN"/>
        </w:rPr>
        <w:t>智慧菜园</w:t>
      </w:r>
      <w:r>
        <w:rPr>
          <w:rFonts w:hint="eastAsia"/>
          <w:highlight w:val="none"/>
        </w:rPr>
        <w:t>示范基地的综合评价。</w:t>
      </w:r>
    </w:p>
    <w:p>
      <w:pPr>
        <w:pStyle w:val="67"/>
        <w:ind w:firstLine="420"/>
        <w:rPr>
          <w:rFonts w:hint="default" w:ascii="黑体" w:hAnsi="黑体" w:eastAsia="黑体" w:cs="黑体"/>
          <w:sz w:val="18"/>
          <w:szCs w:val="18"/>
          <w:highlight w:val="none"/>
          <w:lang w:val="en-US" w:eastAsia="zh-CN"/>
        </w:rPr>
      </w:pPr>
      <w:r>
        <w:rPr>
          <w:rFonts w:hint="eastAsia" w:ascii="黑体" w:hAnsi="黑体" w:eastAsia="黑体" w:cs="黑体"/>
          <w:sz w:val="18"/>
          <w:szCs w:val="18"/>
          <w:highlight w:val="none"/>
          <w:lang w:val="en-US" w:eastAsia="zh-CN"/>
        </w:rPr>
        <w:t>注：</w:t>
      </w:r>
      <w:r>
        <w:rPr>
          <w:rFonts w:hint="eastAsia" w:ascii="宋体" w:hAnsi="宋体" w:eastAsia="宋体" w:cs="宋体"/>
          <w:sz w:val="18"/>
          <w:szCs w:val="18"/>
          <w:highlight w:val="none"/>
          <w:lang w:val="en-US" w:eastAsia="zh-CN"/>
        </w:rPr>
        <w:t>在不引起混淆的情况下,本文件中的“</w:t>
      </w:r>
      <w:r>
        <w:rPr>
          <w:rFonts w:hint="eastAsia" w:hAnsi="宋体" w:cs="宋体"/>
          <w:sz w:val="18"/>
          <w:szCs w:val="18"/>
          <w:highlight w:val="none"/>
          <w:lang w:eastAsia="zh-CN"/>
        </w:rPr>
        <w:t>智慧菜园</w:t>
      </w:r>
      <w:r>
        <w:rPr>
          <w:rFonts w:hint="eastAsia" w:ascii="宋体" w:hAnsi="宋体" w:eastAsia="宋体" w:cs="宋体"/>
          <w:sz w:val="18"/>
          <w:szCs w:val="18"/>
          <w:highlight w:val="none"/>
        </w:rPr>
        <w:t>示范基地</w:t>
      </w:r>
      <w:r>
        <w:rPr>
          <w:rFonts w:hint="eastAsia" w:ascii="宋体" w:hAnsi="宋体" w:eastAsia="宋体" w:cs="宋体"/>
          <w:sz w:val="18"/>
          <w:szCs w:val="18"/>
          <w:highlight w:val="none"/>
          <w:lang w:val="en-US" w:eastAsia="zh-CN"/>
        </w:rPr>
        <w:t>”简称为“基地”。</w:t>
      </w:r>
    </w:p>
    <w:p>
      <w:pPr>
        <w:pStyle w:val="66"/>
        <w:spacing w:before="312" w:after="312"/>
        <w:rPr>
          <w:rFonts w:hint="eastAsia"/>
          <w:highlight w:val="none"/>
        </w:rPr>
      </w:pPr>
      <w:bookmarkStart w:id="63" w:name="_Toc13259"/>
      <w:r>
        <w:rPr>
          <w:rFonts w:hint="eastAsia"/>
          <w:highlight w:val="none"/>
        </w:rPr>
        <w:t>规范性引用文件</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51"/>
        <w:rPr>
          <w:rFonts w:hint="eastAsia"/>
          <w:highlight w:val="none"/>
        </w:rPr>
      </w:pPr>
      <w:r>
        <w:rPr>
          <w:rFonts w:hint="eastAsia"/>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tabs>
          <w:tab w:val="left" w:pos="4111"/>
        </w:tabs>
        <w:autoSpaceDE w:val="0"/>
        <w:autoSpaceDN w:val="0"/>
        <w:spacing w:line="240" w:lineRule="auto"/>
        <w:ind w:firstLine="420" w:firstLineChars="200"/>
        <w:jc w:val="left"/>
        <w:rPr>
          <w:rFonts w:hint="eastAsia" w:ascii="宋体" w:hAnsi="宋体" w:cs="宋体"/>
          <w:highlight w:val="none"/>
          <w:lang w:val="en-US" w:eastAsia="zh-CN"/>
        </w:rPr>
      </w:pPr>
      <w:bookmarkStart w:id="64" w:name="_Toc115339703"/>
      <w:bookmarkStart w:id="65" w:name="_Toc87811225"/>
      <w:bookmarkStart w:id="66" w:name="_Toc122448158"/>
      <w:bookmarkStart w:id="67" w:name="_Toc2780"/>
      <w:bookmarkStart w:id="68" w:name="_Toc67401899"/>
      <w:bookmarkStart w:id="69" w:name="_Toc87811370"/>
      <w:bookmarkStart w:id="70" w:name="_Toc67393171"/>
      <w:r>
        <w:rPr>
          <w:rFonts w:hint="eastAsia" w:ascii="宋体" w:hAnsi="宋体" w:cs="宋体"/>
          <w:highlight w:val="none"/>
          <w:lang w:val="en-US" w:eastAsia="zh-CN"/>
        </w:rPr>
        <w:t>GB/T 35274  信息安全技术  大数据服务安全能力要求</w:t>
      </w:r>
    </w:p>
    <w:p>
      <w:pPr>
        <w:tabs>
          <w:tab w:val="left" w:pos="4111"/>
        </w:tabs>
        <w:autoSpaceDE w:val="0"/>
        <w:autoSpaceDN w:val="0"/>
        <w:spacing w:line="240" w:lineRule="auto"/>
        <w:ind w:firstLine="420" w:firstLineChars="200"/>
        <w:jc w:val="left"/>
        <w:rPr>
          <w:rFonts w:hint="eastAsia" w:ascii="宋体" w:hAnsi="宋体" w:cs="宋体"/>
          <w:highlight w:val="none"/>
          <w:lang w:val="en-US" w:eastAsia="zh-CN"/>
        </w:rPr>
      </w:pPr>
      <w:r>
        <w:rPr>
          <w:rFonts w:hint="eastAsia" w:ascii="宋体" w:hAnsi="宋体" w:cs="宋体"/>
          <w:highlight w:val="none"/>
          <w:lang w:val="en-US" w:eastAsia="zh-CN"/>
        </w:rPr>
        <w:t>GB/T 51057  种植塑料大棚工程技术规范</w:t>
      </w:r>
    </w:p>
    <w:p>
      <w:pPr>
        <w:tabs>
          <w:tab w:val="left" w:pos="4111"/>
        </w:tabs>
        <w:autoSpaceDE w:val="0"/>
        <w:autoSpaceDN w:val="0"/>
        <w:spacing w:line="240" w:lineRule="auto"/>
        <w:ind w:firstLine="420" w:firstLineChars="200"/>
        <w:jc w:val="left"/>
        <w:rPr>
          <w:rFonts w:hint="eastAsia" w:ascii="宋体" w:hAnsi="宋体" w:cs="宋体"/>
          <w:highlight w:val="none"/>
          <w:lang w:val="en-US" w:eastAsia="zh-CN"/>
        </w:rPr>
      </w:pPr>
      <w:r>
        <w:rPr>
          <w:rFonts w:hint="eastAsia" w:ascii="宋体" w:hAnsi="宋体" w:cs="宋体"/>
          <w:highlight w:val="none"/>
          <w:lang w:val="en-US" w:eastAsia="zh-CN"/>
        </w:rPr>
        <w:t>NY/T 391  绿色食品  产地环境质量</w:t>
      </w:r>
    </w:p>
    <w:p>
      <w:pPr>
        <w:tabs>
          <w:tab w:val="left" w:pos="4111"/>
        </w:tabs>
        <w:autoSpaceDE w:val="0"/>
        <w:autoSpaceDN w:val="0"/>
        <w:spacing w:line="240" w:lineRule="auto"/>
        <w:ind w:firstLine="420" w:firstLineChars="200"/>
        <w:jc w:val="left"/>
        <w:rPr>
          <w:rFonts w:hint="eastAsia" w:ascii="宋体" w:hAnsi="宋体" w:cs="宋体"/>
          <w:highlight w:val="none"/>
          <w:lang w:val="en-US" w:eastAsia="zh-CN"/>
        </w:rPr>
      </w:pPr>
      <w:r>
        <w:rPr>
          <w:rFonts w:hint="eastAsia" w:ascii="宋体" w:hAnsi="宋体" w:cs="宋体"/>
          <w:highlight w:val="none"/>
          <w:lang w:val="en-US" w:eastAsia="zh-CN"/>
        </w:rPr>
        <w:t>NY/T 3696  设施蔬菜水肥一体化技术规范</w:t>
      </w:r>
    </w:p>
    <w:p>
      <w:pPr>
        <w:tabs>
          <w:tab w:val="left" w:pos="4111"/>
        </w:tabs>
        <w:autoSpaceDE w:val="0"/>
        <w:autoSpaceDN w:val="0"/>
        <w:spacing w:line="240" w:lineRule="auto"/>
        <w:ind w:firstLine="420" w:firstLineChars="200"/>
        <w:jc w:val="left"/>
        <w:rPr>
          <w:rFonts w:hint="eastAsia" w:ascii="宋体" w:hAnsi="宋体" w:cs="宋体"/>
          <w:highlight w:val="none"/>
          <w:lang w:val="en-US" w:eastAsia="zh-CN"/>
        </w:rPr>
      </w:pPr>
      <w:r>
        <w:rPr>
          <w:rFonts w:hint="eastAsia" w:ascii="宋体" w:hAnsi="宋体" w:cs="宋体"/>
          <w:highlight w:val="none"/>
          <w:lang w:val="en-US" w:eastAsia="zh-CN"/>
        </w:rPr>
        <w:t>YD/T 2437  物联网总体框架与技术要求</w:t>
      </w:r>
    </w:p>
    <w:p>
      <w:pPr>
        <w:tabs>
          <w:tab w:val="left" w:pos="4111"/>
        </w:tabs>
        <w:autoSpaceDE w:val="0"/>
        <w:autoSpaceDN w:val="0"/>
        <w:spacing w:line="240" w:lineRule="auto"/>
        <w:ind w:firstLine="420" w:firstLineChars="200"/>
        <w:jc w:val="left"/>
        <w:rPr>
          <w:rFonts w:hint="eastAsia" w:ascii="宋体" w:hAnsi="宋体" w:cs="宋体"/>
          <w:highlight w:val="none"/>
          <w:lang w:val="en-US" w:eastAsia="zh-CN"/>
        </w:rPr>
      </w:pPr>
      <w:r>
        <w:rPr>
          <w:rFonts w:hint="eastAsia" w:ascii="宋体" w:hAnsi="宋体" w:cs="宋体"/>
          <w:highlight w:val="none"/>
          <w:lang w:val="en-US" w:eastAsia="zh-CN"/>
        </w:rPr>
        <w:t>YDB 101  物联网安全需求</w:t>
      </w:r>
    </w:p>
    <w:p>
      <w:pPr>
        <w:tabs>
          <w:tab w:val="left" w:pos="4111"/>
        </w:tabs>
        <w:autoSpaceDE w:val="0"/>
        <w:autoSpaceDN w:val="0"/>
        <w:spacing w:line="240" w:lineRule="auto"/>
        <w:ind w:firstLine="420" w:firstLineChars="200"/>
        <w:jc w:val="left"/>
        <w:rPr>
          <w:rFonts w:hint="eastAsia" w:ascii="宋体" w:hAnsi="宋体" w:cs="宋体"/>
          <w:highlight w:val="none"/>
          <w:lang w:val="en-US" w:eastAsia="zh-CN"/>
        </w:rPr>
      </w:pPr>
      <w:r>
        <w:rPr>
          <w:rFonts w:hint="eastAsia" w:ascii="宋体" w:hAnsi="宋体" w:cs="宋体"/>
          <w:highlight w:val="none"/>
          <w:lang w:val="en-US" w:eastAsia="zh-CN"/>
        </w:rPr>
        <w:t xml:space="preserve">DB3205/T </w:t>
      </w:r>
      <w:r>
        <w:rPr>
          <w:rFonts w:hint="default" w:ascii="宋体" w:hAnsi="宋体" w:cs="宋体"/>
          <w:highlight w:val="none"/>
          <w:lang w:eastAsia="zh-CN"/>
        </w:rPr>
        <w:t>1087</w:t>
      </w:r>
      <w:r>
        <w:rPr>
          <w:rFonts w:hint="eastAsia" w:ascii="宋体" w:hAnsi="宋体" w:cs="宋体"/>
          <w:highlight w:val="none"/>
          <w:lang w:val="en-US" w:eastAsia="zh-CN"/>
        </w:rPr>
        <w:t xml:space="preserve">.1 </w:t>
      </w:r>
      <w:r>
        <w:rPr>
          <w:rFonts w:hint="default" w:ascii="宋体" w:hAnsi="宋体" w:cs="宋体"/>
          <w:highlight w:val="none"/>
          <w:lang w:eastAsia="zh-CN"/>
        </w:rPr>
        <w:t xml:space="preserve"> </w:t>
      </w:r>
      <w:r>
        <w:rPr>
          <w:rFonts w:hint="eastAsia" w:ascii="宋体" w:hAnsi="宋体" w:cs="宋体"/>
          <w:highlight w:val="none"/>
          <w:lang w:val="en-US" w:eastAsia="zh-CN"/>
        </w:rPr>
        <w:t>智慧农业示范基地建设与评价规范　第1部分：智慧农场（大田作物）</w:t>
      </w:r>
    </w:p>
    <w:p>
      <w:pPr>
        <w:pStyle w:val="66"/>
        <w:spacing w:before="312" w:after="312"/>
        <w:rPr>
          <w:rFonts w:hint="eastAsia"/>
          <w:szCs w:val="21"/>
          <w:highlight w:val="none"/>
        </w:rPr>
      </w:pPr>
      <w:bookmarkStart w:id="71" w:name="_Toc23240"/>
      <w:r>
        <w:rPr>
          <w:rFonts w:hint="eastAsia"/>
          <w:szCs w:val="21"/>
          <w:highlight w:val="none"/>
        </w:rPr>
        <w:t>术语和定义</w:t>
      </w:r>
      <w:bookmarkEnd w:id="64"/>
      <w:bookmarkEnd w:id="65"/>
      <w:bookmarkEnd w:id="66"/>
      <w:bookmarkEnd w:id="67"/>
      <w:bookmarkEnd w:id="68"/>
      <w:bookmarkEnd w:id="69"/>
      <w:bookmarkEnd w:id="70"/>
      <w:bookmarkEnd w:id="71"/>
    </w:p>
    <w:p>
      <w:pPr>
        <w:pStyle w:val="51"/>
        <w:rPr>
          <w:rFonts w:hint="eastAsia" w:ascii="黑体" w:hAnsi="黑体" w:eastAsia="黑体"/>
          <w:highlight w:val="none"/>
        </w:rPr>
      </w:pPr>
      <w:r>
        <w:rPr>
          <w:rFonts w:hint="eastAsia"/>
          <w:highlight w:val="none"/>
        </w:rPr>
        <w:t xml:space="preserve">DB3205/T </w:t>
      </w:r>
      <w:r>
        <w:rPr>
          <w:rFonts w:hint="default"/>
          <w:highlight w:val="none"/>
        </w:rPr>
        <w:t>1087</w:t>
      </w:r>
      <w:r>
        <w:rPr>
          <w:rFonts w:hint="eastAsia"/>
          <w:highlight w:val="none"/>
          <w:lang w:val="en-US" w:eastAsia="zh-CN"/>
        </w:rPr>
        <w:t>.1界定的以及</w:t>
      </w:r>
      <w:r>
        <w:rPr>
          <w:rFonts w:hint="eastAsia"/>
          <w:highlight w:val="none"/>
        </w:rPr>
        <w:t>下列术语和定义适用于本文件。</w:t>
      </w:r>
      <w:bookmarkStart w:id="72" w:name="_Toc500938708"/>
      <w:bookmarkEnd w:id="72"/>
      <w:bookmarkStart w:id="73" w:name="_Toc67393172"/>
      <w:bookmarkEnd w:id="73"/>
      <w:bookmarkStart w:id="74" w:name="_Toc500955126"/>
      <w:bookmarkEnd w:id="74"/>
      <w:bookmarkStart w:id="75" w:name="_Toc502157201"/>
      <w:bookmarkEnd w:id="75"/>
      <w:bookmarkStart w:id="76" w:name="_Toc87811226"/>
      <w:bookmarkEnd w:id="76"/>
      <w:bookmarkStart w:id="77" w:name="_Toc67401900"/>
      <w:bookmarkEnd w:id="77"/>
      <w:bookmarkStart w:id="78" w:name="_Toc87811371"/>
      <w:bookmarkEnd w:id="78"/>
    </w:p>
    <w:p>
      <w:pPr>
        <w:pStyle w:val="63"/>
        <w:ind w:left="420" w:hanging="420" w:hangingChars="200"/>
        <w:rPr>
          <w:rFonts w:hint="eastAsia"/>
          <w:highlight w:val="none"/>
          <w:lang w:val="en-US" w:eastAsia="zh-CN"/>
        </w:rPr>
      </w:pPr>
      <w:bookmarkStart w:id="79" w:name="_Toc122448159"/>
    </w:p>
    <w:p>
      <w:pPr>
        <w:pStyle w:val="67"/>
        <w:rPr>
          <w:rFonts w:hint="eastAsia" w:ascii="黑体" w:hAnsi="黑体" w:eastAsia="黑体" w:cs="黑体"/>
          <w:highlight w:val="none"/>
          <w:lang w:val="en-US" w:eastAsia="zh-CN"/>
        </w:rPr>
      </w:pPr>
      <w:r>
        <w:rPr>
          <w:rFonts w:hint="eastAsia" w:ascii="黑体" w:hAnsi="黑体" w:eastAsia="黑体" w:cs="黑体"/>
          <w:highlight w:val="none"/>
          <w:lang w:val="en-US" w:eastAsia="zh-CN"/>
        </w:rPr>
        <w:t>智慧菜园示范基地  smart vegetable garden demonstration base</w:t>
      </w:r>
    </w:p>
    <w:p>
      <w:pPr>
        <w:pStyle w:val="67"/>
        <w:rPr>
          <w:rFonts w:hint="eastAsia" w:ascii="宋体" w:hAnsi="宋体" w:eastAsia="宋体" w:cs="宋体"/>
          <w:highlight w:val="none"/>
          <w:lang w:val="en-US" w:eastAsia="zh-CN"/>
        </w:rPr>
      </w:pPr>
      <w:r>
        <w:rPr>
          <w:rFonts w:hint="eastAsia" w:ascii="宋体" w:hAnsi="宋体" w:eastAsia="宋体" w:cs="宋体"/>
          <w:highlight w:val="none"/>
          <w:lang w:val="en-US" w:eastAsia="zh-CN"/>
        </w:rPr>
        <w:t>农业生产组织或生产单位运用智慧农业</w:t>
      </w:r>
      <w:r>
        <w:rPr>
          <w:rFonts w:hint="eastAsia" w:hAnsi="宋体" w:cs="宋体"/>
          <w:highlight w:val="none"/>
          <w:lang w:val="en-US" w:eastAsia="zh-CN"/>
        </w:rPr>
        <w:t>技术</w:t>
      </w:r>
      <w:r>
        <w:rPr>
          <w:rFonts w:hint="eastAsia" w:ascii="宋体" w:hAnsi="宋体" w:eastAsia="宋体" w:cs="宋体"/>
          <w:highlight w:val="none"/>
          <w:lang w:val="en-US" w:eastAsia="zh-CN"/>
        </w:rPr>
        <w:t>进行蔬菜</w:t>
      </w:r>
      <w:r>
        <w:rPr>
          <w:rFonts w:hint="eastAsia" w:hAnsi="宋体" w:cs="宋体"/>
          <w:highlight w:val="none"/>
          <w:lang w:val="en-US" w:eastAsia="zh-CN"/>
        </w:rPr>
        <w:t>设施栽培</w:t>
      </w:r>
      <w:r>
        <w:rPr>
          <w:rFonts w:hint="eastAsia" w:ascii="宋体" w:hAnsi="宋体" w:eastAsia="宋体" w:cs="宋体"/>
          <w:highlight w:val="none"/>
          <w:lang w:val="en-US" w:eastAsia="zh-CN"/>
        </w:rPr>
        <w:t>的示范区域。</w:t>
      </w:r>
    </w:p>
    <w:p>
      <w:pPr>
        <w:pStyle w:val="66"/>
        <w:spacing w:before="312" w:after="312"/>
        <w:ind w:left="0" w:firstLine="0"/>
        <w:rPr>
          <w:rFonts w:hint="eastAsia"/>
          <w:highlight w:val="none"/>
        </w:rPr>
      </w:pPr>
      <w:bookmarkStart w:id="80" w:name="_Toc18099"/>
      <w:bookmarkStart w:id="81" w:name="_Toc18850"/>
      <w:r>
        <w:rPr>
          <w:rFonts w:hint="eastAsia"/>
          <w:highlight w:val="none"/>
          <w:lang w:val="en-US" w:eastAsia="zh-CN"/>
        </w:rPr>
        <w:t>建设</w:t>
      </w:r>
      <w:r>
        <w:rPr>
          <w:rFonts w:hint="eastAsia"/>
          <w:highlight w:val="none"/>
        </w:rPr>
        <w:t>要求</w:t>
      </w:r>
      <w:bookmarkEnd w:id="79"/>
      <w:bookmarkEnd w:id="80"/>
      <w:bookmarkEnd w:id="81"/>
    </w:p>
    <w:p>
      <w:pPr>
        <w:pStyle w:val="65"/>
        <w:numPr>
          <w:ilvl w:val="2"/>
          <w:numId w:val="8"/>
        </w:numPr>
        <w:spacing w:before="156" w:after="156"/>
        <w:ind w:left="0" w:firstLine="0"/>
        <w:jc w:val="left"/>
        <w:rPr>
          <w:rFonts w:hint="eastAsia" w:hAnsi="黑体"/>
          <w:highlight w:val="none"/>
        </w:rPr>
      </w:pPr>
      <w:bookmarkStart w:id="82" w:name="_Toc13509"/>
      <w:bookmarkStart w:id="83" w:name="_Toc24701"/>
      <w:bookmarkStart w:id="84" w:name="_Toc502157209"/>
      <w:bookmarkStart w:id="85" w:name="_Toc500955134"/>
      <w:bookmarkStart w:id="86" w:name="_Toc500938716"/>
      <w:r>
        <w:rPr>
          <w:rFonts w:hint="eastAsia" w:hAnsi="黑体"/>
          <w:highlight w:val="none"/>
          <w:lang w:val="en-US" w:eastAsia="zh-CN"/>
        </w:rPr>
        <w:t>主体要求</w:t>
      </w:r>
      <w:bookmarkEnd w:id="82"/>
      <w:bookmarkEnd w:id="83"/>
    </w:p>
    <w:p>
      <w:pPr>
        <w:pStyle w:val="67"/>
        <w:rPr>
          <w:highlight w:val="none"/>
        </w:rPr>
      </w:pPr>
      <w:r>
        <w:rPr>
          <w:rFonts w:hint="eastAsia" w:eastAsia="宋体"/>
          <w:highlight w:val="none"/>
          <w:lang w:eastAsia="zh-CN"/>
        </w:rPr>
        <w:t xml:space="preserve">应符合DB3205/T </w:t>
      </w:r>
      <w:r>
        <w:rPr>
          <w:rFonts w:hint="default"/>
          <w:highlight w:val="none"/>
          <w:lang w:eastAsia="zh-CN"/>
        </w:rPr>
        <w:t>1087</w:t>
      </w:r>
      <w:r>
        <w:rPr>
          <w:rFonts w:hint="eastAsia"/>
          <w:highlight w:val="none"/>
          <w:lang w:val="en-US" w:eastAsia="zh-CN"/>
        </w:rPr>
        <w:t>.1</w:t>
      </w:r>
      <w:r>
        <w:rPr>
          <w:rFonts w:hint="eastAsia" w:eastAsia="宋体"/>
          <w:highlight w:val="none"/>
          <w:lang w:eastAsia="zh-CN"/>
        </w:rPr>
        <w:t>中4.1的规定。</w:t>
      </w:r>
    </w:p>
    <w:p>
      <w:pPr>
        <w:pStyle w:val="65"/>
        <w:numPr>
          <w:ilvl w:val="2"/>
          <w:numId w:val="8"/>
        </w:numPr>
        <w:spacing w:before="156" w:after="156"/>
        <w:ind w:left="0" w:firstLine="0"/>
        <w:jc w:val="left"/>
        <w:rPr>
          <w:rFonts w:hint="eastAsia" w:hAnsi="黑体"/>
          <w:highlight w:val="none"/>
        </w:rPr>
      </w:pPr>
      <w:bookmarkStart w:id="87" w:name="_Toc3971"/>
      <w:bookmarkStart w:id="88" w:name="_Toc4029"/>
      <w:bookmarkStart w:id="89" w:name="_Toc30229"/>
      <w:bookmarkStart w:id="90" w:name="_Toc14834"/>
      <w:bookmarkStart w:id="91" w:name="_Toc25550"/>
      <w:bookmarkStart w:id="92" w:name="_Toc15101"/>
      <w:r>
        <w:rPr>
          <w:rFonts w:hint="eastAsia" w:hAnsi="黑体"/>
          <w:highlight w:val="none"/>
          <w:lang w:val="en-US" w:eastAsia="zh-CN"/>
        </w:rPr>
        <w:t>场地建设要求</w:t>
      </w:r>
      <w:bookmarkEnd w:id="87"/>
      <w:bookmarkEnd w:id="88"/>
      <w:bookmarkEnd w:id="89"/>
      <w:bookmarkEnd w:id="90"/>
      <w:bookmarkEnd w:id="91"/>
      <w:bookmarkEnd w:id="92"/>
    </w:p>
    <w:p>
      <w:pPr>
        <w:pStyle w:val="68"/>
        <w:rPr>
          <w:rFonts w:hint="eastAsia" w:ascii="宋体" w:eastAsia="宋体"/>
          <w:lang w:val="en-US" w:eastAsia="zh-CN"/>
        </w:rPr>
      </w:pPr>
      <w:bookmarkStart w:id="93" w:name="_Toc25390"/>
      <w:bookmarkStart w:id="94" w:name="_Toc10661"/>
      <w:bookmarkStart w:id="95" w:name="_Toc28910"/>
      <w:bookmarkStart w:id="96" w:name="_Toc27306"/>
      <w:r>
        <w:rPr>
          <w:rFonts w:hint="eastAsia" w:ascii="宋体" w:eastAsia="宋体"/>
          <w:lang w:val="en-US" w:eastAsia="zh-CN"/>
        </w:rPr>
        <w:t>基地应做到周边无污染、交通便捷、灌溉排水方便。符合NY/T 391规定。</w:t>
      </w:r>
    </w:p>
    <w:p>
      <w:pPr>
        <w:pStyle w:val="68"/>
        <w:rPr>
          <w:rFonts w:hint="eastAsia" w:ascii="宋体" w:eastAsia="宋体"/>
          <w:lang w:val="en-US" w:eastAsia="zh-CN"/>
        </w:rPr>
      </w:pPr>
      <w:r>
        <w:rPr>
          <w:rFonts w:hint="eastAsia" w:ascii="宋体" w:eastAsia="宋体"/>
          <w:lang w:val="en-US" w:eastAsia="zh-CN"/>
        </w:rPr>
        <w:t>设施农业种植塑料大棚建设应符合GB/T 51057的要求，玻璃温室建设可参照执行。</w:t>
      </w:r>
    </w:p>
    <w:p>
      <w:pPr>
        <w:pStyle w:val="65"/>
        <w:numPr>
          <w:ilvl w:val="2"/>
          <w:numId w:val="8"/>
        </w:numPr>
        <w:spacing w:before="156" w:after="156"/>
        <w:ind w:left="0" w:firstLine="0"/>
        <w:jc w:val="left"/>
        <w:rPr>
          <w:rFonts w:hint="eastAsia" w:hAnsi="黑体"/>
          <w:highlight w:val="none"/>
        </w:rPr>
      </w:pPr>
      <w:bookmarkStart w:id="97" w:name="_Toc15044"/>
      <w:r>
        <w:rPr>
          <w:rFonts w:hint="eastAsia" w:hAnsi="黑体"/>
          <w:highlight w:val="none"/>
          <w:lang w:val="en-US" w:eastAsia="zh-CN"/>
        </w:rPr>
        <w:t>人员要求</w:t>
      </w:r>
      <w:bookmarkEnd w:id="93"/>
      <w:bookmarkEnd w:id="94"/>
      <w:bookmarkEnd w:id="95"/>
      <w:bookmarkEnd w:id="96"/>
      <w:bookmarkEnd w:id="97"/>
    </w:p>
    <w:p>
      <w:pPr>
        <w:pStyle w:val="67"/>
        <w:ind w:firstLine="420"/>
        <w:rPr>
          <w:rFonts w:hint="eastAsia" w:ascii="宋体" w:eastAsia="宋体"/>
          <w:highlight w:val="none"/>
          <w:lang w:val="en-US" w:eastAsia="zh-CN"/>
        </w:rPr>
      </w:pPr>
      <w:r>
        <w:rPr>
          <w:rFonts w:hint="eastAsia" w:ascii="宋体" w:eastAsia="宋体"/>
          <w:highlight w:val="none"/>
          <w:lang w:val="en-US" w:eastAsia="zh-CN"/>
        </w:rPr>
        <w:t>人员应具有信息化专业背景、资历证书或完成信息化培训</w:t>
      </w:r>
      <w:r>
        <w:rPr>
          <w:rFonts w:hint="eastAsia"/>
          <w:highlight w:val="none"/>
          <w:lang w:val="en-US" w:eastAsia="zh-CN"/>
        </w:rPr>
        <w:t>，</w:t>
      </w:r>
      <w:r>
        <w:rPr>
          <w:rFonts w:hint="eastAsia" w:ascii="宋体" w:eastAsia="宋体"/>
          <w:highlight w:val="none"/>
          <w:lang w:val="en-US" w:eastAsia="zh-CN"/>
        </w:rPr>
        <w:t>能够熟练操作</w:t>
      </w:r>
      <w:r>
        <w:rPr>
          <w:rFonts w:hint="eastAsia"/>
          <w:highlight w:val="none"/>
          <w:lang w:val="en-US" w:eastAsia="zh-CN"/>
        </w:rPr>
        <w:t>基地</w:t>
      </w:r>
      <w:r>
        <w:rPr>
          <w:rFonts w:hint="eastAsia" w:ascii="宋体" w:eastAsia="宋体"/>
          <w:highlight w:val="none"/>
          <w:lang w:val="en-US" w:eastAsia="zh-CN"/>
        </w:rPr>
        <w:t>的智慧化系统和装备。</w:t>
      </w:r>
    </w:p>
    <w:p>
      <w:pPr>
        <w:pStyle w:val="65"/>
        <w:numPr>
          <w:ilvl w:val="2"/>
          <w:numId w:val="8"/>
        </w:numPr>
        <w:spacing w:before="156" w:after="156"/>
        <w:ind w:left="0" w:firstLine="0"/>
        <w:jc w:val="left"/>
        <w:rPr>
          <w:rFonts w:hint="eastAsia" w:hAnsi="黑体"/>
          <w:highlight w:val="none"/>
          <w:lang w:val="en-US" w:eastAsia="zh-CN"/>
        </w:rPr>
      </w:pPr>
      <w:bookmarkStart w:id="98" w:name="_Toc24903"/>
      <w:bookmarkStart w:id="99" w:name="_Toc19368"/>
      <w:r>
        <w:rPr>
          <w:rFonts w:hint="eastAsia" w:hAnsi="黑体"/>
          <w:highlight w:val="none"/>
          <w:lang w:val="en-US" w:eastAsia="zh-CN"/>
        </w:rPr>
        <w:t>物联网建设及数据安全要求</w:t>
      </w:r>
      <w:bookmarkEnd w:id="98"/>
      <w:bookmarkEnd w:id="99"/>
    </w:p>
    <w:p>
      <w:pPr>
        <w:pStyle w:val="68"/>
        <w:rPr>
          <w:rFonts w:hint="eastAsia" w:ascii="宋体" w:eastAsia="宋体"/>
          <w:lang w:val="en-US" w:eastAsia="zh-CN"/>
        </w:rPr>
      </w:pPr>
      <w:r>
        <w:rPr>
          <w:rFonts w:hint="eastAsia" w:ascii="宋体" w:eastAsia="宋体"/>
          <w:lang w:val="en-US" w:eastAsia="zh-CN"/>
        </w:rPr>
        <w:t>物联网网络架构与技术应用应符合YD/T 2437的规定，安全应符合YDB 101的规定。</w:t>
      </w:r>
    </w:p>
    <w:p>
      <w:pPr>
        <w:pStyle w:val="68"/>
        <w:rPr>
          <w:rFonts w:hint="eastAsia" w:ascii="宋体" w:eastAsia="宋体"/>
          <w:lang w:val="en-US" w:eastAsia="zh-CN"/>
        </w:rPr>
      </w:pPr>
      <w:r>
        <w:rPr>
          <w:rFonts w:hint="eastAsia" w:ascii="宋体" w:eastAsia="宋体"/>
          <w:lang w:val="en-US" w:eastAsia="zh-CN"/>
        </w:rPr>
        <w:t>系统数据安全应符合GB/T 35274的要求。</w:t>
      </w:r>
    </w:p>
    <w:p>
      <w:pPr>
        <w:pStyle w:val="65"/>
        <w:numPr>
          <w:ilvl w:val="2"/>
          <w:numId w:val="8"/>
        </w:numPr>
        <w:spacing w:before="156" w:after="156"/>
        <w:ind w:left="0" w:firstLine="0"/>
        <w:jc w:val="left"/>
        <w:rPr>
          <w:rFonts w:hint="eastAsia" w:hAnsi="黑体"/>
          <w:highlight w:val="none"/>
        </w:rPr>
      </w:pPr>
      <w:bookmarkStart w:id="100" w:name="_Toc28191"/>
      <w:bookmarkStart w:id="101" w:name="_Toc18061"/>
      <w:r>
        <w:rPr>
          <w:rFonts w:hint="eastAsia" w:hAnsi="黑体"/>
          <w:highlight w:val="none"/>
          <w:lang w:eastAsia="zh-CN"/>
        </w:rPr>
        <w:t>成效要求</w:t>
      </w:r>
      <w:bookmarkEnd w:id="100"/>
      <w:bookmarkEnd w:id="101"/>
    </w:p>
    <w:p>
      <w:pPr>
        <w:pStyle w:val="68"/>
        <w:rPr>
          <w:rFonts w:hint="eastAsia" w:ascii="宋体" w:eastAsia="宋体"/>
          <w:lang w:val="en-US" w:eastAsia="zh-CN"/>
        </w:rPr>
      </w:pPr>
      <w:r>
        <w:rPr>
          <w:rFonts w:hint="eastAsia" w:ascii="宋体" w:eastAsia="宋体"/>
          <w:lang w:val="en-US" w:eastAsia="zh-CN"/>
        </w:rPr>
        <w:t>通过基地建设实现用工减少、成本降低和经济效益提升。</w:t>
      </w:r>
    </w:p>
    <w:p>
      <w:pPr>
        <w:pStyle w:val="68"/>
        <w:rPr>
          <w:rFonts w:hint="default" w:ascii="宋体" w:eastAsia="宋体"/>
          <w:lang w:val="en-US" w:eastAsia="zh-CN"/>
        </w:rPr>
      </w:pPr>
      <w:r>
        <w:rPr>
          <w:rFonts w:hint="eastAsia" w:ascii="宋体" w:eastAsia="宋体"/>
          <w:lang w:val="en-US" w:eastAsia="zh-CN"/>
        </w:rPr>
        <w:t>通过基地建设实现生态效益提升，包括化肥和农药减量等。</w:t>
      </w:r>
    </w:p>
    <w:p>
      <w:pPr>
        <w:pStyle w:val="66"/>
        <w:spacing w:before="312" w:after="312"/>
        <w:ind w:left="0" w:firstLine="0"/>
        <w:rPr>
          <w:rFonts w:hint="eastAsia"/>
          <w:highlight w:val="none"/>
        </w:rPr>
      </w:pPr>
      <w:bookmarkStart w:id="102" w:name="_Toc10455"/>
      <w:bookmarkStart w:id="103" w:name="_Toc6598"/>
      <w:r>
        <w:rPr>
          <w:rFonts w:hint="eastAsia"/>
          <w:highlight w:val="none"/>
          <w:lang w:val="en-US" w:eastAsia="zh-CN"/>
        </w:rPr>
        <w:t>建设内容</w:t>
      </w:r>
      <w:bookmarkEnd w:id="102"/>
      <w:bookmarkEnd w:id="103"/>
    </w:p>
    <w:bookmarkEnd w:id="84"/>
    <w:bookmarkEnd w:id="85"/>
    <w:bookmarkEnd w:id="86"/>
    <w:p>
      <w:pPr>
        <w:pStyle w:val="65"/>
        <w:numPr>
          <w:ilvl w:val="2"/>
          <w:numId w:val="8"/>
        </w:numPr>
        <w:spacing w:before="156" w:after="156"/>
        <w:ind w:left="0" w:firstLine="0"/>
        <w:jc w:val="left"/>
        <w:rPr>
          <w:rFonts w:hint="eastAsia" w:hAnsi="黑体"/>
          <w:highlight w:val="none"/>
          <w:lang w:val="en-US" w:eastAsia="zh-CN"/>
        </w:rPr>
      </w:pPr>
      <w:bookmarkStart w:id="104" w:name="_Toc2201"/>
      <w:bookmarkStart w:id="105" w:name="_Toc26210"/>
      <w:r>
        <w:rPr>
          <w:rFonts w:hint="eastAsia" w:hAnsi="黑体"/>
          <w:highlight w:val="none"/>
          <w:lang w:val="en-US" w:eastAsia="zh-CN"/>
        </w:rPr>
        <w:t>智慧化系统建设</w:t>
      </w:r>
      <w:bookmarkEnd w:id="104"/>
      <w:bookmarkEnd w:id="105"/>
    </w:p>
    <w:p>
      <w:pPr>
        <w:pStyle w:val="69"/>
        <w:spacing w:before="156" w:after="156"/>
        <w:ind w:left="0" w:firstLine="0"/>
        <w:jc w:val="left"/>
        <w:rPr>
          <w:rFonts w:hint="eastAsia"/>
          <w:highlight w:val="none"/>
          <w:lang w:val="en-US" w:eastAsia="zh-CN"/>
        </w:rPr>
      </w:pPr>
      <w:bookmarkStart w:id="106" w:name="_Toc12206"/>
      <w:r>
        <w:rPr>
          <w:rFonts w:hint="eastAsia"/>
          <w:highlight w:val="none"/>
          <w:lang w:val="en-US" w:eastAsia="zh-CN"/>
        </w:rPr>
        <w:t>智慧菜园管理系统</w:t>
      </w:r>
      <w:bookmarkEnd w:id="106"/>
    </w:p>
    <w:p>
      <w:pPr>
        <w:pStyle w:val="67"/>
        <w:ind w:firstLine="420"/>
        <w:rPr>
          <w:rFonts w:hint="eastAsia" w:ascii="宋体" w:hAnsi="黑体" w:eastAsia="宋体"/>
          <w:highlight w:val="none"/>
          <w:lang w:val="en-US" w:eastAsia="zh-CN"/>
        </w:rPr>
      </w:pPr>
      <w:r>
        <w:rPr>
          <w:rFonts w:hint="eastAsia" w:ascii="宋体" w:hAnsi="黑体" w:eastAsia="宋体"/>
          <w:highlight w:val="none"/>
          <w:lang w:val="en-US" w:eastAsia="zh-CN"/>
        </w:rPr>
        <w:t>连接基地所有传感器、智能设备、信息系统等，汇聚生产任务、生产过程、人员、仓库、成本等各类数据，构建环境智能调控、水肥精准管理、精准作业、生产任务管理等智能模型，打造智慧菜园生产经营数字化管理中枢，实现生产经营全过程的自动预警和辅助决策，提高生产经营管理效率。</w:t>
      </w:r>
    </w:p>
    <w:p>
      <w:pPr>
        <w:pStyle w:val="69"/>
        <w:spacing w:before="156" w:after="156"/>
        <w:ind w:left="0" w:firstLine="0"/>
        <w:jc w:val="left"/>
        <w:rPr>
          <w:rFonts w:hint="eastAsia"/>
          <w:highlight w:val="none"/>
          <w:lang w:val="en-US" w:eastAsia="zh-CN"/>
        </w:rPr>
      </w:pPr>
      <w:bookmarkStart w:id="107" w:name="_Toc19641"/>
      <w:r>
        <w:rPr>
          <w:rFonts w:hint="eastAsia"/>
          <w:highlight w:val="none"/>
          <w:lang w:val="en-US" w:eastAsia="zh-CN"/>
        </w:rPr>
        <w:t>质量安全追溯系统</w:t>
      </w:r>
      <w:bookmarkEnd w:id="107"/>
    </w:p>
    <w:p>
      <w:pPr>
        <w:pStyle w:val="67"/>
        <w:ind w:firstLine="420"/>
        <w:rPr>
          <w:rFonts w:hint="eastAsia" w:hAnsi="黑体"/>
          <w:highlight w:val="none"/>
          <w:lang w:val="en-US" w:eastAsia="zh-CN"/>
        </w:rPr>
      </w:pPr>
      <w:r>
        <w:rPr>
          <w:rFonts w:hint="eastAsia" w:hAnsi="黑体"/>
          <w:highlight w:val="none"/>
          <w:lang w:val="en-US" w:eastAsia="zh-CN"/>
        </w:rPr>
        <w:t>具备投入品管理、产品管理、农事管理等功能。</w:t>
      </w:r>
    </w:p>
    <w:p>
      <w:pPr>
        <w:pStyle w:val="69"/>
        <w:spacing w:before="156" w:after="156"/>
        <w:ind w:left="0" w:firstLine="0"/>
        <w:jc w:val="left"/>
        <w:rPr>
          <w:rFonts w:hint="eastAsia"/>
          <w:highlight w:val="none"/>
          <w:lang w:val="en-US" w:eastAsia="zh-CN"/>
        </w:rPr>
      </w:pPr>
      <w:bookmarkStart w:id="108" w:name="_Toc28182"/>
      <w:r>
        <w:rPr>
          <w:rFonts w:hint="eastAsia"/>
          <w:highlight w:val="none"/>
          <w:lang w:val="en-US" w:eastAsia="zh-CN"/>
        </w:rPr>
        <w:t>电子商务系统</w:t>
      </w:r>
      <w:bookmarkEnd w:id="108"/>
    </w:p>
    <w:p>
      <w:pPr>
        <w:pStyle w:val="67"/>
        <w:ind w:firstLine="420"/>
        <w:rPr>
          <w:rFonts w:hint="eastAsia" w:hAnsi="黑体"/>
          <w:highlight w:val="none"/>
          <w:lang w:val="en-US" w:eastAsia="zh-CN"/>
        </w:rPr>
      </w:pPr>
      <w:r>
        <w:rPr>
          <w:rFonts w:hint="eastAsia" w:hAnsi="黑体"/>
          <w:highlight w:val="none"/>
          <w:lang w:val="en-US" w:eastAsia="zh-CN"/>
        </w:rPr>
        <w:t>具备通过互联网销售蔬菜产品，查询线上交易订单等功能。</w:t>
      </w:r>
    </w:p>
    <w:p>
      <w:pPr>
        <w:pStyle w:val="65"/>
        <w:numPr>
          <w:ilvl w:val="2"/>
          <w:numId w:val="8"/>
        </w:numPr>
        <w:spacing w:before="156" w:after="156"/>
        <w:ind w:left="0" w:firstLine="0"/>
        <w:jc w:val="left"/>
        <w:rPr>
          <w:rFonts w:hint="eastAsia" w:hAnsi="黑体"/>
          <w:highlight w:val="none"/>
          <w:lang w:val="en-US" w:eastAsia="zh-CN"/>
        </w:rPr>
      </w:pPr>
      <w:bookmarkStart w:id="109" w:name="_Toc29113"/>
      <w:bookmarkStart w:id="110" w:name="_Toc14283"/>
      <w:r>
        <w:rPr>
          <w:rFonts w:hint="eastAsia" w:hAnsi="黑体"/>
          <w:highlight w:val="none"/>
          <w:lang w:val="en-US" w:eastAsia="zh-CN"/>
        </w:rPr>
        <w:t>智慧化装备建设</w:t>
      </w:r>
      <w:bookmarkEnd w:id="109"/>
      <w:bookmarkEnd w:id="110"/>
    </w:p>
    <w:p>
      <w:pPr>
        <w:pStyle w:val="69"/>
        <w:spacing w:before="156" w:after="156"/>
        <w:ind w:left="0" w:firstLine="0"/>
        <w:jc w:val="left"/>
        <w:rPr>
          <w:rFonts w:hint="eastAsia"/>
          <w:highlight w:val="none"/>
          <w:lang w:val="en-US" w:eastAsia="zh-CN"/>
        </w:rPr>
      </w:pPr>
      <w:r>
        <w:rPr>
          <w:rFonts w:hint="eastAsia"/>
          <w:highlight w:val="none"/>
        </w:rPr>
        <w:t>智能环境测控</w:t>
      </w:r>
    </w:p>
    <w:p>
      <w:pPr>
        <w:pStyle w:val="67"/>
        <w:ind w:firstLine="420"/>
        <w:rPr>
          <w:rFonts w:hint="eastAsia" w:ascii="宋体" w:hAnsi="黑体" w:eastAsia="宋体"/>
          <w:highlight w:val="none"/>
          <w:lang w:val="en-US" w:eastAsia="zh-CN"/>
        </w:rPr>
      </w:pPr>
      <w:r>
        <w:rPr>
          <w:rFonts w:hint="eastAsia" w:ascii="宋体" w:hAnsi="黑体" w:eastAsia="宋体"/>
          <w:highlight w:val="none"/>
          <w:lang w:val="en-US" w:eastAsia="zh-CN"/>
        </w:rPr>
        <w:t>配置监测传感器及参与环境控制的设备，监测传感器包括环境温度、湿度、光照、二氧化碳浓度、监控摄像头、电能计量表等室内传感器和室外气象站。环境控制设备应根据实际情况选配加温/降温设备、空气循环风机、加湿设备、补光设备、通风设备、二氧化碳补充设备等。</w:t>
      </w:r>
    </w:p>
    <w:p>
      <w:pPr>
        <w:pStyle w:val="69"/>
        <w:spacing w:before="156" w:after="156"/>
        <w:ind w:left="0" w:firstLine="0"/>
        <w:jc w:val="left"/>
        <w:rPr>
          <w:rFonts w:hint="eastAsia"/>
          <w:highlight w:val="none"/>
          <w:lang w:val="en-US" w:eastAsia="zh-CN"/>
        </w:rPr>
      </w:pPr>
      <w:r>
        <w:rPr>
          <w:rFonts w:hint="eastAsia"/>
          <w:highlight w:val="none"/>
          <w:lang w:eastAsia="zh-CN"/>
        </w:rPr>
        <w:t>种植</w:t>
      </w:r>
      <w:r>
        <w:rPr>
          <w:rFonts w:hint="eastAsia"/>
          <w:highlight w:val="none"/>
        </w:rPr>
        <w:t>智能装备</w:t>
      </w:r>
    </w:p>
    <w:p>
      <w:pPr>
        <w:pStyle w:val="67"/>
        <w:ind w:left="0" w:leftChars="0" w:firstLine="0" w:firstLineChars="0"/>
        <w:rPr>
          <w:rFonts w:hint="eastAsia" w:ascii="宋体" w:hAnsi="黑体" w:eastAsia="宋体" w:cstheme="minorBidi"/>
          <w:kern w:val="2"/>
          <w:sz w:val="21"/>
          <w:szCs w:val="22"/>
          <w:highlight w:val="none"/>
          <w:lang w:val="en-US" w:eastAsia="zh-CN" w:bidi="ar-SA"/>
        </w:rPr>
      </w:pPr>
      <w:r>
        <w:rPr>
          <w:rFonts w:hint="eastAsia" w:ascii="黑体" w:eastAsia="黑体" w:cs="Times New Roman"/>
          <w:sz w:val="21"/>
          <w:highlight w:val="none"/>
          <w:lang w:val="en-US" w:eastAsia="zh-CN" w:bidi="ar-SA"/>
        </w:rPr>
        <w:t>5</w:t>
      </w:r>
      <w:r>
        <w:rPr>
          <w:rFonts w:hint="eastAsia" w:ascii="黑体" w:hAnsi="Times New Roman" w:eastAsia="黑体" w:cs="Times New Roman"/>
          <w:sz w:val="21"/>
          <w:highlight w:val="none"/>
          <w:lang w:val="en-US" w:eastAsia="zh-CN" w:bidi="ar-SA"/>
        </w:rPr>
        <w:t>.</w:t>
      </w:r>
      <w:r>
        <w:rPr>
          <w:rFonts w:hint="eastAsia" w:ascii="黑体" w:eastAsia="黑体" w:cs="Times New Roman"/>
          <w:sz w:val="21"/>
          <w:highlight w:val="none"/>
          <w:lang w:val="en-US" w:eastAsia="zh-CN" w:bidi="ar-SA"/>
        </w:rPr>
        <w:t>2</w:t>
      </w:r>
      <w:r>
        <w:rPr>
          <w:rFonts w:hint="eastAsia" w:ascii="黑体" w:hAnsi="Times New Roman" w:eastAsia="黑体" w:cs="Times New Roman"/>
          <w:sz w:val="21"/>
          <w:highlight w:val="none"/>
          <w:lang w:val="en-US" w:eastAsia="zh-CN" w:bidi="ar-SA"/>
        </w:rPr>
        <w:t>.</w:t>
      </w:r>
      <w:r>
        <w:rPr>
          <w:rFonts w:hint="eastAsia" w:ascii="黑体" w:eastAsia="黑体" w:cs="Times New Roman"/>
          <w:sz w:val="21"/>
          <w:highlight w:val="none"/>
          <w:lang w:val="en-US" w:eastAsia="zh-CN" w:bidi="ar-SA"/>
        </w:rPr>
        <w:t>2.1</w:t>
      </w:r>
      <w:r>
        <w:rPr>
          <w:rFonts w:hint="eastAsia" w:ascii="黑体" w:hAnsi="Times New Roman" w:eastAsia="黑体" w:cs="Times New Roman"/>
          <w:sz w:val="21"/>
          <w:highlight w:val="none"/>
          <w:lang w:val="en-US" w:eastAsia="zh-CN" w:bidi="ar-SA"/>
        </w:rPr>
        <w:t xml:space="preserve"> </w:t>
      </w:r>
      <w:r>
        <w:rPr>
          <w:rFonts w:hint="eastAsia" w:ascii="黑体" w:eastAsia="黑体" w:cs="Times New Roman"/>
          <w:sz w:val="21"/>
          <w:highlight w:val="none"/>
          <w:lang w:val="en-US" w:eastAsia="zh-CN" w:bidi="ar-SA"/>
        </w:rPr>
        <w:t xml:space="preserve"> </w:t>
      </w:r>
      <w:r>
        <w:rPr>
          <w:rFonts w:hint="eastAsia" w:ascii="宋体" w:hAnsi="黑体" w:eastAsia="宋体" w:cstheme="minorBidi"/>
          <w:kern w:val="2"/>
          <w:sz w:val="21"/>
          <w:szCs w:val="22"/>
          <w:highlight w:val="none"/>
          <w:lang w:val="en-US" w:eastAsia="zh-CN" w:bidi="ar-SA"/>
        </w:rPr>
        <w:t>按需配置适宜的水肥一体化设备和控制策略</w:t>
      </w:r>
      <w:r>
        <w:rPr>
          <w:rFonts w:hint="eastAsia" w:hAnsi="黑体" w:cstheme="minorBidi"/>
          <w:kern w:val="2"/>
          <w:sz w:val="21"/>
          <w:szCs w:val="22"/>
          <w:highlight w:val="none"/>
          <w:lang w:val="en-US" w:eastAsia="zh-CN" w:bidi="ar-SA"/>
        </w:rPr>
        <w:t>，应符合NY/T 3696的要求</w:t>
      </w:r>
      <w:r>
        <w:rPr>
          <w:rFonts w:hint="eastAsia" w:ascii="宋体" w:hAnsi="黑体" w:eastAsia="宋体" w:cstheme="minorBidi"/>
          <w:kern w:val="2"/>
          <w:sz w:val="21"/>
          <w:szCs w:val="22"/>
          <w:highlight w:val="none"/>
          <w:lang w:val="en-US" w:eastAsia="zh-CN" w:bidi="ar-SA"/>
        </w:rPr>
        <w:t>。配置EC/pH传感器、流量传感器及净水设备、灌溉施肥机、回水过滤/消毒设备等，施肥机可以根据种植实际需求实时调整灌溉溶液的EC/pH值，控制系统可以根据累积光照量和温/湿度情况调整灌溉频次和时间，自动记录每个频次的灌溉量。</w:t>
      </w:r>
    </w:p>
    <w:p>
      <w:pPr>
        <w:pStyle w:val="67"/>
        <w:ind w:left="0" w:leftChars="0" w:firstLine="0" w:firstLineChars="0"/>
        <w:rPr>
          <w:rFonts w:hint="eastAsia" w:ascii="宋体" w:hAnsi="黑体" w:eastAsia="宋体" w:cstheme="minorBidi"/>
          <w:kern w:val="2"/>
          <w:sz w:val="21"/>
          <w:szCs w:val="22"/>
          <w:highlight w:val="none"/>
          <w:lang w:val="en-US" w:eastAsia="zh-CN" w:bidi="ar-SA"/>
        </w:rPr>
      </w:pPr>
      <w:r>
        <w:rPr>
          <w:rFonts w:hint="eastAsia" w:ascii="黑体" w:eastAsia="黑体" w:cs="Times New Roman"/>
          <w:sz w:val="21"/>
          <w:highlight w:val="none"/>
          <w:lang w:val="en-US" w:eastAsia="zh-CN" w:bidi="ar-SA"/>
        </w:rPr>
        <w:t xml:space="preserve">5.2.2.2  </w:t>
      </w:r>
      <w:r>
        <w:rPr>
          <w:rFonts w:hint="eastAsia" w:ascii="宋体" w:hAnsi="黑体" w:eastAsia="宋体" w:cstheme="minorBidi"/>
          <w:kern w:val="2"/>
          <w:sz w:val="21"/>
          <w:szCs w:val="22"/>
          <w:highlight w:val="none"/>
          <w:lang w:val="en-US" w:eastAsia="zh-CN" w:bidi="ar-SA"/>
        </w:rPr>
        <w:t>育苗工厂栽培设备配置育苗基质配制、蔬菜精量播种等</w:t>
      </w:r>
      <w:r>
        <w:rPr>
          <w:rFonts w:hint="eastAsia" w:hAnsi="黑体" w:cstheme="minorBidi"/>
          <w:kern w:val="2"/>
          <w:sz w:val="21"/>
          <w:szCs w:val="22"/>
          <w:highlight w:val="none"/>
          <w:lang w:val="en-US" w:eastAsia="zh-CN" w:bidi="ar-SA"/>
        </w:rPr>
        <w:t>智能</w:t>
      </w:r>
      <w:r>
        <w:rPr>
          <w:rFonts w:hint="eastAsia" w:ascii="宋体" w:hAnsi="黑体" w:eastAsia="宋体" w:cstheme="minorBidi"/>
          <w:kern w:val="2"/>
          <w:sz w:val="21"/>
          <w:szCs w:val="22"/>
          <w:highlight w:val="none"/>
          <w:lang w:val="en-US" w:eastAsia="zh-CN" w:bidi="ar-SA"/>
        </w:rPr>
        <w:t>设备，实现种苗繁育生产快速、优质、高产、高效；配置智能控制的人工环境育苗室，提供组培/催芽/炼苗的最适环境，采用潮汐灌溉方式的苗床系统，每个苗床应该对应不同的编号或RFID标记，实现为同一个批次种苗准确灌溉，并对每个苗床内种苗定植时间、生长时间、出货时间和生长状况等进行信息化管理。</w:t>
      </w:r>
    </w:p>
    <w:p>
      <w:pPr>
        <w:pStyle w:val="67"/>
        <w:ind w:left="0" w:leftChars="0" w:firstLine="0" w:firstLineChars="0"/>
        <w:rPr>
          <w:rFonts w:hint="eastAsia" w:ascii="宋体" w:hAnsi="黑体" w:eastAsia="宋体" w:cstheme="minorBidi"/>
          <w:kern w:val="2"/>
          <w:sz w:val="21"/>
          <w:szCs w:val="22"/>
          <w:highlight w:val="none"/>
          <w:lang w:val="en-US" w:eastAsia="zh-CN" w:bidi="ar-SA"/>
        </w:rPr>
      </w:pPr>
      <w:r>
        <w:rPr>
          <w:rFonts w:hint="eastAsia" w:ascii="黑体" w:eastAsia="黑体" w:cs="Times New Roman"/>
          <w:sz w:val="21"/>
          <w:highlight w:val="none"/>
          <w:lang w:val="en-US" w:eastAsia="zh-CN" w:bidi="ar-SA"/>
        </w:rPr>
        <w:t>5</w:t>
      </w:r>
      <w:r>
        <w:rPr>
          <w:rFonts w:hint="eastAsia" w:ascii="黑体" w:hAnsi="Times New Roman" w:eastAsia="黑体" w:cs="Times New Roman"/>
          <w:sz w:val="21"/>
          <w:highlight w:val="none"/>
          <w:lang w:val="en-US" w:eastAsia="zh-CN" w:bidi="ar-SA"/>
        </w:rPr>
        <w:t>.</w:t>
      </w:r>
      <w:r>
        <w:rPr>
          <w:rFonts w:hint="eastAsia" w:ascii="黑体" w:eastAsia="黑体" w:cs="Times New Roman"/>
          <w:sz w:val="21"/>
          <w:highlight w:val="none"/>
          <w:lang w:val="en-US" w:eastAsia="zh-CN" w:bidi="ar-SA"/>
        </w:rPr>
        <w:t>2</w:t>
      </w:r>
      <w:r>
        <w:rPr>
          <w:rFonts w:hint="eastAsia" w:ascii="黑体" w:hAnsi="Times New Roman" w:eastAsia="黑体" w:cs="Times New Roman"/>
          <w:sz w:val="21"/>
          <w:highlight w:val="none"/>
          <w:lang w:val="en-US" w:eastAsia="zh-CN" w:bidi="ar-SA"/>
        </w:rPr>
        <w:t>.</w:t>
      </w:r>
      <w:r>
        <w:rPr>
          <w:rFonts w:hint="eastAsia" w:ascii="黑体" w:eastAsia="黑体" w:cs="Times New Roman"/>
          <w:sz w:val="21"/>
          <w:highlight w:val="none"/>
          <w:lang w:val="en-US" w:eastAsia="zh-CN" w:bidi="ar-SA"/>
        </w:rPr>
        <w:t>2.3</w:t>
      </w:r>
      <w:r>
        <w:rPr>
          <w:rFonts w:hint="eastAsia" w:ascii="黑体" w:hAnsi="Times New Roman" w:eastAsia="黑体" w:cs="Times New Roman"/>
          <w:sz w:val="21"/>
          <w:highlight w:val="none"/>
          <w:lang w:val="en-US" w:eastAsia="zh-CN" w:bidi="ar-SA"/>
        </w:rPr>
        <w:t xml:space="preserve"> </w:t>
      </w:r>
      <w:r>
        <w:rPr>
          <w:rFonts w:hint="eastAsia" w:ascii="黑体" w:eastAsia="黑体" w:cs="Times New Roman"/>
          <w:sz w:val="21"/>
          <w:highlight w:val="none"/>
          <w:lang w:val="en-US" w:eastAsia="zh-CN" w:bidi="ar-SA"/>
        </w:rPr>
        <w:t xml:space="preserve"> </w:t>
      </w:r>
      <w:r>
        <w:rPr>
          <w:rFonts w:hint="eastAsia" w:ascii="宋体" w:hAnsi="黑体" w:eastAsia="宋体" w:cstheme="minorBidi"/>
          <w:kern w:val="2"/>
          <w:sz w:val="21"/>
          <w:szCs w:val="22"/>
          <w:highlight w:val="none"/>
          <w:lang w:val="en-US" w:eastAsia="zh-CN" w:bidi="ar-SA"/>
        </w:rPr>
        <w:t>配置智能化定植、移栽、采收设备</w:t>
      </w:r>
      <w:r>
        <w:rPr>
          <w:rFonts w:hint="eastAsia" w:hAnsi="黑体" w:cstheme="minorBidi"/>
          <w:kern w:val="2"/>
          <w:sz w:val="21"/>
          <w:szCs w:val="22"/>
          <w:highlight w:val="none"/>
          <w:lang w:val="en-US" w:eastAsia="zh-CN" w:bidi="ar-SA"/>
        </w:rPr>
        <w:t>，实现无人化或少人化作业。</w:t>
      </w:r>
    </w:p>
    <w:p>
      <w:pPr>
        <w:pStyle w:val="67"/>
        <w:ind w:left="0" w:leftChars="0" w:firstLine="0" w:firstLineChars="0"/>
        <w:rPr>
          <w:rFonts w:hint="eastAsia" w:ascii="宋体" w:hAnsi="黑体" w:eastAsia="宋体" w:cstheme="minorBidi"/>
          <w:kern w:val="2"/>
          <w:sz w:val="21"/>
          <w:szCs w:val="22"/>
          <w:highlight w:val="none"/>
          <w:lang w:val="en-US" w:eastAsia="zh-CN" w:bidi="ar-SA"/>
        </w:rPr>
      </w:pPr>
      <w:r>
        <w:rPr>
          <w:rFonts w:hint="eastAsia" w:ascii="黑体" w:eastAsia="黑体" w:cs="Times New Roman"/>
          <w:sz w:val="21"/>
          <w:highlight w:val="none"/>
          <w:lang w:val="en-US" w:eastAsia="zh-CN" w:bidi="ar-SA"/>
        </w:rPr>
        <w:t>5</w:t>
      </w:r>
      <w:r>
        <w:rPr>
          <w:rFonts w:hint="eastAsia" w:ascii="黑体" w:hAnsi="Times New Roman" w:eastAsia="黑体" w:cs="Times New Roman"/>
          <w:sz w:val="21"/>
          <w:highlight w:val="none"/>
          <w:lang w:val="en-US" w:eastAsia="zh-CN" w:bidi="ar-SA"/>
        </w:rPr>
        <w:t>.</w:t>
      </w:r>
      <w:r>
        <w:rPr>
          <w:rFonts w:hint="eastAsia" w:ascii="黑体" w:eastAsia="黑体" w:cs="Times New Roman"/>
          <w:sz w:val="21"/>
          <w:highlight w:val="none"/>
          <w:lang w:val="en-US" w:eastAsia="zh-CN" w:bidi="ar-SA"/>
        </w:rPr>
        <w:t>2</w:t>
      </w:r>
      <w:r>
        <w:rPr>
          <w:rFonts w:hint="eastAsia" w:ascii="黑体" w:hAnsi="Times New Roman" w:eastAsia="黑体" w:cs="Times New Roman"/>
          <w:sz w:val="21"/>
          <w:highlight w:val="none"/>
          <w:lang w:val="en-US" w:eastAsia="zh-CN" w:bidi="ar-SA"/>
        </w:rPr>
        <w:t>.</w:t>
      </w:r>
      <w:r>
        <w:rPr>
          <w:rFonts w:hint="eastAsia" w:ascii="黑体" w:eastAsia="黑体" w:cs="Times New Roman"/>
          <w:sz w:val="21"/>
          <w:highlight w:val="none"/>
          <w:lang w:val="en-US" w:eastAsia="zh-CN" w:bidi="ar-SA"/>
        </w:rPr>
        <w:t>2.4</w:t>
      </w:r>
      <w:r>
        <w:rPr>
          <w:rFonts w:hint="eastAsia" w:ascii="黑体" w:hAnsi="Times New Roman" w:eastAsia="黑体" w:cs="Times New Roman"/>
          <w:sz w:val="21"/>
          <w:highlight w:val="none"/>
          <w:lang w:val="en-US" w:eastAsia="zh-CN" w:bidi="ar-SA"/>
        </w:rPr>
        <w:t xml:space="preserve"> </w:t>
      </w:r>
      <w:r>
        <w:rPr>
          <w:rFonts w:hint="eastAsia" w:ascii="黑体" w:eastAsia="黑体" w:cs="Times New Roman"/>
          <w:sz w:val="21"/>
          <w:highlight w:val="none"/>
          <w:lang w:val="en-US" w:eastAsia="zh-CN" w:bidi="ar-SA"/>
        </w:rPr>
        <w:t xml:space="preserve"> </w:t>
      </w:r>
      <w:r>
        <w:rPr>
          <w:rFonts w:hint="eastAsia" w:hAnsi="黑体" w:cstheme="minorBidi"/>
          <w:kern w:val="2"/>
          <w:sz w:val="21"/>
          <w:szCs w:val="22"/>
          <w:highlight w:val="none"/>
          <w:lang w:val="en-US" w:eastAsia="zh-CN" w:bidi="ar-SA"/>
        </w:rPr>
        <w:t>配置智能化运输设施设备</w:t>
      </w:r>
      <w:r>
        <w:rPr>
          <w:rFonts w:hint="eastAsia" w:ascii="宋体" w:hAnsi="黑体" w:eastAsia="宋体" w:cstheme="minorBidi"/>
          <w:kern w:val="2"/>
          <w:sz w:val="21"/>
          <w:szCs w:val="22"/>
          <w:highlight w:val="none"/>
          <w:lang w:val="en-US" w:eastAsia="zh-CN" w:bidi="ar-SA"/>
        </w:rPr>
        <w:t>，用于生产过程中物质的运输和采收后蔬菜的短距离运输、装卸等作业</w:t>
      </w:r>
      <w:r>
        <w:rPr>
          <w:rFonts w:hint="eastAsia" w:hAnsi="黑体" w:cstheme="minorBidi"/>
          <w:kern w:val="2"/>
          <w:sz w:val="21"/>
          <w:szCs w:val="22"/>
          <w:highlight w:val="none"/>
          <w:lang w:val="en-US" w:eastAsia="zh-CN" w:bidi="ar-SA"/>
        </w:rPr>
        <w:t>。</w:t>
      </w:r>
    </w:p>
    <w:p>
      <w:pPr>
        <w:pStyle w:val="67"/>
        <w:keepNext w:val="0"/>
        <w:keepLines w:val="0"/>
        <w:pageBreakBefore w:val="0"/>
        <w:widowControl/>
        <w:kinsoku/>
        <w:wordWrap/>
        <w:overflowPunct/>
        <w:topLinePunct w:val="0"/>
        <w:autoSpaceDE w:val="0"/>
        <w:autoSpaceDN w:val="0"/>
        <w:bidi w:val="0"/>
        <w:adjustRightInd/>
        <w:snapToGrid/>
        <w:ind w:firstLine="0" w:firstLineChars="0"/>
        <w:textAlignment w:val="auto"/>
        <w:rPr>
          <w:rFonts w:hint="eastAsia" w:ascii="宋体" w:hAnsi="黑体" w:eastAsia="宋体"/>
          <w:highlight w:val="none"/>
          <w:lang w:val="en-US" w:eastAsia="zh-CN"/>
        </w:rPr>
      </w:pPr>
      <w:r>
        <w:rPr>
          <w:rFonts w:hint="eastAsia" w:ascii="黑体" w:eastAsia="黑体" w:cs="Times New Roman"/>
          <w:sz w:val="21"/>
          <w:highlight w:val="none"/>
          <w:lang w:val="en-US" w:eastAsia="zh-CN" w:bidi="ar-SA"/>
        </w:rPr>
        <w:t>5</w:t>
      </w:r>
      <w:r>
        <w:rPr>
          <w:rFonts w:hint="eastAsia" w:ascii="黑体" w:hAnsi="Times New Roman" w:eastAsia="黑体" w:cs="Times New Roman"/>
          <w:sz w:val="21"/>
          <w:highlight w:val="none"/>
          <w:lang w:val="en-US" w:eastAsia="zh-CN" w:bidi="ar-SA"/>
        </w:rPr>
        <w:t>.</w:t>
      </w:r>
      <w:r>
        <w:rPr>
          <w:rFonts w:hint="eastAsia" w:ascii="黑体" w:eastAsia="黑体" w:cs="Times New Roman"/>
          <w:sz w:val="21"/>
          <w:highlight w:val="none"/>
          <w:lang w:val="en-US" w:eastAsia="zh-CN" w:bidi="ar-SA"/>
        </w:rPr>
        <w:t>2</w:t>
      </w:r>
      <w:r>
        <w:rPr>
          <w:rFonts w:hint="eastAsia" w:ascii="黑体" w:hAnsi="Times New Roman" w:eastAsia="黑体" w:cs="Times New Roman"/>
          <w:sz w:val="21"/>
          <w:highlight w:val="none"/>
          <w:lang w:val="en-US" w:eastAsia="zh-CN" w:bidi="ar-SA"/>
        </w:rPr>
        <w:t>.</w:t>
      </w:r>
      <w:r>
        <w:rPr>
          <w:rFonts w:hint="eastAsia" w:ascii="黑体" w:eastAsia="黑体" w:cs="Times New Roman"/>
          <w:sz w:val="21"/>
          <w:highlight w:val="none"/>
          <w:lang w:val="en-US" w:eastAsia="zh-CN" w:bidi="ar-SA"/>
        </w:rPr>
        <w:t>2.5</w:t>
      </w:r>
      <w:r>
        <w:rPr>
          <w:rFonts w:hint="eastAsia" w:ascii="黑体" w:hAnsi="Times New Roman" w:eastAsia="黑体" w:cs="Times New Roman"/>
          <w:sz w:val="21"/>
          <w:highlight w:val="none"/>
          <w:lang w:val="en-US" w:eastAsia="zh-CN" w:bidi="ar-SA"/>
        </w:rPr>
        <w:t xml:space="preserve"> </w:t>
      </w:r>
      <w:r>
        <w:rPr>
          <w:rFonts w:hint="eastAsia" w:ascii="黑体" w:eastAsia="黑体" w:cs="Times New Roman"/>
          <w:sz w:val="21"/>
          <w:highlight w:val="none"/>
          <w:lang w:val="en-US" w:eastAsia="zh-CN" w:bidi="ar-SA"/>
        </w:rPr>
        <w:t xml:space="preserve"> </w:t>
      </w:r>
      <w:r>
        <w:rPr>
          <w:rFonts w:hint="eastAsia" w:ascii="宋体" w:hAnsi="黑体" w:eastAsia="宋体"/>
          <w:highlight w:val="none"/>
          <w:lang w:val="en-US" w:eastAsia="zh-CN"/>
        </w:rPr>
        <w:t>配置采后产品称重、清洗、分级、计量化包装等数字化智能设备，实现采后商品信息的数字化管理。</w:t>
      </w:r>
    </w:p>
    <w:p>
      <w:pPr>
        <w:pStyle w:val="66"/>
        <w:numPr>
          <w:ilvl w:val="1"/>
          <w:numId w:val="8"/>
        </w:numPr>
        <w:spacing w:before="312" w:after="312"/>
        <w:ind w:left="0" w:firstLine="0"/>
        <w:jc w:val="left"/>
        <w:rPr>
          <w:highlight w:val="none"/>
        </w:rPr>
      </w:pPr>
      <w:bookmarkStart w:id="111" w:name="_Toc27654"/>
      <w:bookmarkStart w:id="112" w:name="_Toc17792"/>
      <w:r>
        <w:rPr>
          <w:rFonts w:hint="eastAsia" w:hAnsi="黑体"/>
          <w:highlight w:val="none"/>
        </w:rPr>
        <w:t>评价</w:t>
      </w:r>
      <w:bookmarkEnd w:id="111"/>
      <w:bookmarkEnd w:id="112"/>
    </w:p>
    <w:p>
      <w:pPr>
        <w:pStyle w:val="51"/>
        <w:rPr>
          <w:rFonts w:hint="eastAsia" w:ascii="宋体" w:hAnsi="黑体" w:eastAsia="宋体"/>
          <w:highlight w:val="none"/>
          <w:lang w:val="en-US" w:eastAsia="zh-CN"/>
        </w:rPr>
      </w:pPr>
      <w:r>
        <w:rPr>
          <w:rFonts w:hint="eastAsia" w:ascii="宋体" w:hAnsi="黑体" w:eastAsia="宋体"/>
          <w:highlight w:val="none"/>
          <w:lang w:val="en-US" w:eastAsia="zh-CN"/>
        </w:rPr>
        <w:t>评价内容见附录A</w:t>
      </w:r>
      <w:bookmarkStart w:id="113" w:name="_Toc4984"/>
      <w:bookmarkStart w:id="114" w:name="_Toc5189"/>
      <w:r>
        <w:rPr>
          <w:rFonts w:hint="eastAsia" w:ascii="宋体" w:hAnsi="黑体" w:eastAsia="宋体"/>
          <w:highlight w:val="none"/>
          <w:lang w:val="en-US" w:eastAsia="zh-CN"/>
        </w:rPr>
        <w:t>，组织与实施</w:t>
      </w:r>
      <w:bookmarkEnd w:id="113"/>
      <w:bookmarkEnd w:id="114"/>
      <w:r>
        <w:rPr>
          <w:rFonts w:hint="eastAsia" w:ascii="宋体" w:hAnsi="黑体" w:eastAsia="宋体"/>
          <w:highlight w:val="none"/>
          <w:lang w:val="en-US" w:eastAsia="zh-CN"/>
        </w:rPr>
        <w:t>、</w:t>
      </w:r>
      <w:bookmarkStart w:id="115" w:name="_Toc6366"/>
      <w:bookmarkStart w:id="116" w:name="_Toc32597"/>
      <w:r>
        <w:rPr>
          <w:rFonts w:hint="eastAsia" w:ascii="宋体" w:hAnsi="黑体" w:eastAsia="宋体"/>
          <w:highlight w:val="none"/>
          <w:lang w:val="en-US" w:eastAsia="zh-CN"/>
        </w:rPr>
        <w:t>评价流程</w:t>
      </w:r>
      <w:bookmarkEnd w:id="115"/>
      <w:bookmarkEnd w:id="116"/>
      <w:r>
        <w:rPr>
          <w:rFonts w:hint="eastAsia" w:ascii="宋体" w:hAnsi="黑体" w:eastAsia="宋体"/>
          <w:highlight w:val="none"/>
          <w:lang w:val="en-US" w:eastAsia="zh-CN"/>
        </w:rPr>
        <w:t>、</w:t>
      </w:r>
      <w:bookmarkStart w:id="117" w:name="_Toc17664"/>
      <w:bookmarkStart w:id="118" w:name="_Toc227"/>
      <w:r>
        <w:rPr>
          <w:rFonts w:hint="eastAsia" w:ascii="宋体" w:hAnsi="黑体" w:eastAsia="宋体"/>
          <w:highlight w:val="none"/>
          <w:lang w:val="en-US" w:eastAsia="zh-CN"/>
        </w:rPr>
        <w:t>评价得分</w:t>
      </w:r>
      <w:bookmarkEnd w:id="117"/>
      <w:bookmarkEnd w:id="118"/>
      <w:r>
        <w:rPr>
          <w:rFonts w:hint="eastAsia" w:ascii="宋体" w:hAnsi="黑体" w:eastAsia="宋体"/>
          <w:highlight w:val="none"/>
          <w:lang w:val="en-US" w:eastAsia="zh-CN"/>
        </w:rPr>
        <w:t>和</w:t>
      </w:r>
      <w:bookmarkStart w:id="119" w:name="_Toc22189"/>
      <w:bookmarkStart w:id="120" w:name="_Toc7304"/>
      <w:r>
        <w:rPr>
          <w:rFonts w:hint="eastAsia" w:ascii="宋体" w:hAnsi="黑体" w:eastAsia="宋体"/>
          <w:highlight w:val="none"/>
          <w:lang w:val="en-US" w:eastAsia="zh-CN"/>
        </w:rPr>
        <w:t>评价报告</w:t>
      </w:r>
      <w:bookmarkEnd w:id="119"/>
      <w:bookmarkEnd w:id="120"/>
      <w:r>
        <w:rPr>
          <w:rFonts w:hint="eastAsia" w:ascii="宋体" w:hAnsi="黑体" w:eastAsia="宋体"/>
          <w:highlight w:val="none"/>
          <w:lang w:val="en-US" w:eastAsia="zh-CN"/>
        </w:rPr>
        <w:t>应符合DB3205/T 1087</w:t>
      </w:r>
      <w:r>
        <w:rPr>
          <w:rFonts w:hint="eastAsia" w:hAnsi="黑体"/>
          <w:highlight w:val="none"/>
          <w:lang w:val="en-US" w:eastAsia="zh-CN"/>
        </w:rPr>
        <w:t>.1</w:t>
      </w:r>
      <w:bookmarkStart w:id="141" w:name="_GoBack"/>
      <w:bookmarkEnd w:id="141"/>
      <w:r>
        <w:rPr>
          <w:rFonts w:hint="eastAsia" w:ascii="宋体" w:hAnsi="黑体" w:eastAsia="宋体"/>
          <w:highlight w:val="none"/>
          <w:lang w:val="en-US" w:eastAsia="zh-CN"/>
        </w:rPr>
        <w:t>中6的规定。</w:t>
      </w:r>
    </w:p>
    <w:p>
      <w:pPr>
        <w:pStyle w:val="51"/>
        <w:rPr>
          <w:rFonts w:hint="eastAsia"/>
          <w:highlight w:val="none"/>
        </w:rPr>
      </w:pPr>
    </w:p>
    <w:p>
      <w:pPr>
        <w:pStyle w:val="51"/>
        <w:rPr>
          <w:rFonts w:hint="eastAsia"/>
          <w:highlight w:val="none"/>
        </w:rPr>
        <w:sectPr>
          <w:footerReference r:id="rId17" w:type="default"/>
          <w:headerReference r:id="rId16" w:type="even"/>
          <w:footerReference r:id="rId18" w:type="even"/>
          <w:pgSz w:w="11906" w:h="16838"/>
          <w:pgMar w:top="1417" w:right="1134" w:bottom="1134" w:left="1418" w:header="1417" w:footer="1134" w:gutter="0"/>
          <w:pgNumType w:start="1"/>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567" w:beforeLines="0" w:after="0" w:afterLines="0"/>
        <w:jc w:val="center"/>
        <w:textAlignment w:val="auto"/>
        <w:outlineLvl w:val="0"/>
        <w:rPr>
          <w:rFonts w:hint="eastAsia" w:ascii="黑体" w:hAnsi="Times New Roman" w:eastAsia="黑体" w:cs="Times New Roman"/>
          <w:sz w:val="21"/>
          <w:szCs w:val="21"/>
          <w:highlight w:val="none"/>
          <w:lang w:val="en-US" w:eastAsia="zh-CN" w:bidi="ar-SA"/>
        </w:rPr>
      </w:pPr>
      <w:bookmarkStart w:id="121" w:name="_Toc11104"/>
      <w:bookmarkStart w:id="122" w:name="_Toc22539"/>
      <w:bookmarkStart w:id="123" w:name="_Toc11335"/>
      <w:r>
        <w:rPr>
          <w:rFonts w:hint="eastAsia" w:ascii="黑体" w:hAnsi="Times New Roman" w:eastAsia="黑体" w:cs="Times New Roman"/>
          <w:sz w:val="21"/>
          <w:szCs w:val="21"/>
          <w:highlight w:val="none"/>
          <w:lang w:val="en-US" w:eastAsia="zh-CN" w:bidi="ar-SA"/>
        </w:rPr>
        <w:t xml:space="preserve">附   录 </w:t>
      </w:r>
      <w:r>
        <w:rPr>
          <w:rFonts w:ascii="黑体" w:hAnsi="Times New Roman" w:eastAsia="黑体" w:cs="Times New Roman"/>
          <w:sz w:val="21"/>
          <w:szCs w:val="21"/>
          <w:highlight w:val="none"/>
          <w:lang w:val="en-US" w:eastAsia="zh-CN" w:bidi="ar-SA"/>
        </w:rPr>
        <w:t xml:space="preserve">  </w:t>
      </w:r>
      <w:r>
        <w:rPr>
          <w:rFonts w:hint="eastAsia" w:ascii="黑体" w:hAnsi="Times New Roman" w:eastAsia="黑体" w:cs="Times New Roman"/>
          <w:sz w:val="21"/>
          <w:szCs w:val="21"/>
          <w:highlight w:val="none"/>
          <w:lang w:val="en-US" w:eastAsia="zh-CN" w:bidi="ar-SA"/>
        </w:rPr>
        <w:t>A</w:t>
      </w:r>
      <w:bookmarkEnd w:id="121"/>
      <w:bookmarkEnd w:id="122"/>
      <w:bookmarkEnd w:id="123"/>
    </w:p>
    <w:p>
      <w:pPr>
        <w:numPr>
          <w:ilvl w:val="0"/>
          <w:numId w:val="0"/>
        </w:numPr>
        <w:spacing w:before="0" w:beforeLines="0" w:after="0" w:afterLines="0"/>
        <w:jc w:val="center"/>
        <w:outlineLvl w:val="0"/>
        <w:rPr>
          <w:rFonts w:hint="eastAsia" w:ascii="黑体" w:hAnsi="Times New Roman" w:eastAsia="黑体" w:cs="Times New Roman"/>
          <w:sz w:val="21"/>
          <w:szCs w:val="21"/>
          <w:highlight w:val="none"/>
          <w:lang w:val="en-US" w:eastAsia="zh-CN" w:bidi="ar-SA"/>
        </w:rPr>
      </w:pPr>
      <w:r>
        <w:rPr>
          <w:rFonts w:hint="eastAsia" w:ascii="黑体" w:hAnsi="Times New Roman" w:eastAsia="黑体" w:cs="Times New Roman"/>
          <w:sz w:val="21"/>
          <w:szCs w:val="21"/>
          <w:highlight w:val="none"/>
          <w:lang w:val="en-US" w:eastAsia="zh-CN" w:bidi="ar-SA"/>
        </w:rPr>
        <w:t>（资料性）</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283" w:afterLines="0"/>
        <w:jc w:val="center"/>
        <w:textAlignment w:val="auto"/>
        <w:outlineLvl w:val="0"/>
        <w:rPr>
          <w:rFonts w:hint="eastAsia" w:ascii="黑体" w:hAnsi="Times New Roman" w:eastAsia="黑体" w:cs="Times New Roman"/>
          <w:sz w:val="21"/>
          <w:szCs w:val="21"/>
          <w:highlight w:val="none"/>
          <w:lang w:val="en-US" w:eastAsia="zh-CN" w:bidi="ar-SA"/>
        </w:rPr>
      </w:pPr>
      <w:bookmarkStart w:id="124" w:name="_Toc20998"/>
      <w:bookmarkStart w:id="125" w:name="_Toc20147"/>
      <w:bookmarkStart w:id="126" w:name="_Toc30945"/>
      <w:r>
        <w:rPr>
          <w:rFonts w:hint="eastAsia" w:ascii="黑体" w:hAnsi="Times New Roman" w:eastAsia="黑体" w:cs="Times New Roman"/>
          <w:sz w:val="21"/>
          <w:szCs w:val="21"/>
          <w:highlight w:val="none"/>
          <w:lang w:val="en-US" w:eastAsia="zh-CN" w:bidi="ar-SA"/>
        </w:rPr>
        <w:t>智慧菜园示范基地评价内容</w:t>
      </w:r>
      <w:bookmarkEnd w:id="124"/>
      <w:bookmarkEnd w:id="125"/>
      <w:bookmarkEnd w:id="126"/>
    </w:p>
    <w:p>
      <w:pPr>
        <w:keepNext w:val="0"/>
        <w:keepLines w:val="0"/>
        <w:pageBreakBefore w:val="0"/>
        <w:widowControl/>
        <w:kinsoku/>
        <w:wordWrap/>
        <w:overflowPunct/>
        <w:topLinePunct w:val="0"/>
        <w:autoSpaceDE w:val="0"/>
        <w:autoSpaceDN w:val="0"/>
        <w:bidi w:val="0"/>
        <w:adjustRightInd/>
        <w:snapToGrid/>
        <w:ind w:firstLine="420" w:firstLineChars="200"/>
        <w:jc w:val="left"/>
        <w:textAlignment w:val="auto"/>
        <w:rPr>
          <w:rFonts w:hint="eastAsia" w:ascii="宋体" w:hAnsi="Times New Roman" w:eastAsia="宋体" w:cs="Times New Roman"/>
          <w:sz w:val="21"/>
          <w:highlight w:val="none"/>
          <w:lang w:val="en-US" w:eastAsia="zh-CN" w:bidi="ar-SA"/>
        </w:rPr>
      </w:pPr>
      <w:r>
        <w:rPr>
          <w:rFonts w:hint="eastAsia" w:ascii="宋体" w:hAnsi="宋体" w:eastAsia="宋体" w:cs="宋体"/>
          <w:b w:val="0"/>
          <w:bCs/>
          <w:kern w:val="2"/>
          <w:sz w:val="21"/>
          <w:szCs w:val="21"/>
          <w:highlight w:val="none"/>
          <w:lang w:val="en-US" w:eastAsia="zh-CN" w:bidi="ar-SA"/>
        </w:rPr>
        <w:t>表A.1规定了智慧菜园</w:t>
      </w:r>
      <w:r>
        <w:rPr>
          <w:rFonts w:hint="eastAsia" w:ascii="宋体" w:hAnsi="Times New Roman" w:eastAsia="宋体" w:cs="宋体"/>
          <w:b w:val="0"/>
          <w:bCs/>
          <w:kern w:val="2"/>
          <w:sz w:val="21"/>
          <w:szCs w:val="21"/>
          <w:highlight w:val="none"/>
          <w:lang w:val="en-US" w:eastAsia="zh-CN" w:bidi="ar-SA"/>
        </w:rPr>
        <w:t>示范基地</w:t>
      </w:r>
      <w:r>
        <w:rPr>
          <w:rFonts w:hint="eastAsia" w:ascii="宋体" w:hAnsi="宋体" w:eastAsia="宋体" w:cs="宋体"/>
          <w:b w:val="0"/>
          <w:bCs/>
          <w:kern w:val="2"/>
          <w:sz w:val="21"/>
          <w:szCs w:val="21"/>
          <w:highlight w:val="none"/>
          <w:lang w:val="en-US" w:eastAsia="zh-CN" w:bidi="ar-SA"/>
        </w:rPr>
        <w:t>评价内容及分值。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outlineLvl w:val="0"/>
        <w:rPr>
          <w:rFonts w:hint="eastAsia" w:ascii="黑体" w:hAnsi="Times New Roman" w:eastAsia="黑体" w:cs="Times New Roman"/>
          <w:sz w:val="21"/>
          <w:szCs w:val="21"/>
          <w:highlight w:val="none"/>
          <w:lang w:val="en-US" w:eastAsia="zh-CN" w:bidi="ar-SA"/>
        </w:rPr>
      </w:pPr>
      <w:bookmarkStart w:id="127" w:name="_Toc25493"/>
      <w:bookmarkStart w:id="128" w:name="_Toc9926"/>
      <w:bookmarkStart w:id="129" w:name="_Toc16401"/>
      <w:bookmarkStart w:id="130" w:name="_Toc4726"/>
      <w:bookmarkStart w:id="131" w:name="_Toc28537"/>
      <w:bookmarkStart w:id="132" w:name="_Toc28840"/>
      <w:r>
        <w:rPr>
          <w:rFonts w:hint="eastAsia" w:ascii="黑体" w:hAnsi="Times New Roman" w:eastAsia="黑体" w:cs="Times New Roman"/>
          <w:sz w:val="21"/>
          <w:szCs w:val="21"/>
          <w:highlight w:val="none"/>
          <w:lang w:val="en-US" w:eastAsia="zh-CN" w:bidi="ar-SA"/>
        </w:rPr>
        <w:t>表A.1  智慧菜园示范基地</w:t>
      </w:r>
      <w:bookmarkEnd w:id="127"/>
      <w:bookmarkEnd w:id="128"/>
      <w:r>
        <w:rPr>
          <w:rFonts w:hint="eastAsia" w:ascii="黑体" w:hAnsi="Times New Roman" w:eastAsia="黑体" w:cs="Times New Roman"/>
          <w:sz w:val="21"/>
          <w:szCs w:val="21"/>
          <w:highlight w:val="none"/>
          <w:lang w:val="en-US" w:eastAsia="zh-CN" w:bidi="ar-SA"/>
        </w:rPr>
        <w:t>评价细则</w:t>
      </w:r>
      <w:bookmarkEnd w:id="129"/>
      <w:bookmarkEnd w:id="130"/>
      <w:bookmarkEnd w:id="131"/>
      <w:bookmarkEnd w:id="132"/>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137"/>
        <w:gridCol w:w="1781"/>
        <w:gridCol w:w="1860"/>
        <w:gridCol w:w="9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blHeader/>
        </w:trPr>
        <w:tc>
          <w:tcPr>
            <w:tcW w:w="23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序号</w:t>
            </w:r>
          </w:p>
        </w:tc>
        <w:tc>
          <w:tcPr>
            <w:tcW w:w="39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一级指标</w:t>
            </w:r>
          </w:p>
        </w:tc>
        <w:tc>
          <w:tcPr>
            <w:tcW w:w="61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二级指标</w:t>
            </w:r>
          </w:p>
        </w:tc>
        <w:tc>
          <w:tcPr>
            <w:tcW w:w="64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三级指标</w:t>
            </w:r>
          </w:p>
        </w:tc>
        <w:tc>
          <w:tcPr>
            <w:tcW w:w="31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rPr>
              <w:t>评价内容及</w:t>
            </w:r>
            <w:r>
              <w:rPr>
                <w:rFonts w:hint="eastAsia" w:ascii="宋体" w:hAnsi="宋体" w:eastAsia="宋体" w:cs="宋体"/>
                <w:b w:val="0"/>
                <w:bCs w:val="0"/>
                <w:color w:val="auto"/>
                <w:kern w:val="0"/>
                <w:sz w:val="18"/>
                <w:szCs w:val="18"/>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3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w:t>
            </w:r>
          </w:p>
        </w:tc>
        <w:tc>
          <w:tcPr>
            <w:tcW w:w="392"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基本情况</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（10分）</w:t>
            </w:r>
          </w:p>
        </w:tc>
        <w:tc>
          <w:tcPr>
            <w:tcW w:w="61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规模（5分）</w:t>
            </w:r>
          </w:p>
        </w:tc>
        <w:tc>
          <w:tcPr>
            <w:tcW w:w="64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设施规模（5分）</w:t>
            </w:r>
          </w:p>
        </w:tc>
        <w:tc>
          <w:tcPr>
            <w:tcW w:w="31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设施面积大于等于</w:t>
            </w:r>
            <w:r>
              <w:rPr>
                <w:rFonts w:hint="eastAsia" w:ascii="宋体" w:hAnsi="宋体" w:eastAsia="宋体" w:cs="宋体"/>
                <w:b w:val="0"/>
                <w:bCs w:val="0"/>
                <w:color w:val="auto"/>
                <w:kern w:val="0"/>
                <w:sz w:val="18"/>
                <w:szCs w:val="18"/>
                <w:highlight w:val="none"/>
                <w:lang w:val="en-US" w:eastAsia="zh-CN"/>
              </w:rPr>
              <w:t>20</w:t>
            </w:r>
            <w:r>
              <w:rPr>
                <w:rFonts w:hint="eastAsia" w:ascii="宋体" w:hAnsi="宋体" w:eastAsia="宋体" w:cs="宋体"/>
                <w:b w:val="0"/>
                <w:bCs w:val="0"/>
                <w:color w:val="auto"/>
                <w:kern w:val="0"/>
                <w:sz w:val="18"/>
                <w:szCs w:val="18"/>
                <w:highlight w:val="none"/>
              </w:rPr>
              <w:t>000平方米得5分；设施面积大于等于</w:t>
            </w:r>
            <w:r>
              <w:rPr>
                <w:rFonts w:hint="eastAsia" w:ascii="宋体" w:hAnsi="宋体" w:eastAsia="宋体" w:cs="宋体"/>
                <w:b w:val="0"/>
                <w:bCs w:val="0"/>
                <w:color w:val="auto"/>
                <w:kern w:val="0"/>
                <w:sz w:val="18"/>
                <w:szCs w:val="18"/>
                <w:highlight w:val="none"/>
                <w:lang w:val="en-US" w:eastAsia="zh-CN"/>
              </w:rPr>
              <w:t>15000平方米小于20000平方米得4分</w:t>
            </w:r>
            <w:r>
              <w:rPr>
                <w:rFonts w:hint="eastAsia" w:ascii="宋体" w:hAnsi="宋体" w:eastAsia="宋体" w:cs="宋体"/>
                <w:b w:val="0"/>
                <w:bCs w:val="0"/>
                <w:color w:val="auto"/>
                <w:kern w:val="0"/>
                <w:sz w:val="18"/>
                <w:szCs w:val="18"/>
                <w:highlight w:val="none"/>
                <w:lang w:eastAsia="zh-CN"/>
              </w:rPr>
              <w:t>；设施面积大于等于</w:t>
            </w:r>
            <w:r>
              <w:rPr>
                <w:rFonts w:hint="eastAsia" w:ascii="宋体" w:hAnsi="宋体" w:eastAsia="宋体" w:cs="宋体"/>
                <w:b w:val="0"/>
                <w:bCs w:val="0"/>
                <w:color w:val="auto"/>
                <w:kern w:val="0"/>
                <w:sz w:val="18"/>
                <w:szCs w:val="18"/>
                <w:highlight w:val="none"/>
                <w:lang w:val="en-US" w:eastAsia="zh-CN"/>
              </w:rPr>
              <w:t>10000平方米小于15000平方米得3分</w:t>
            </w:r>
            <w:r>
              <w:rPr>
                <w:rFonts w:hint="eastAsia" w:ascii="宋体" w:hAnsi="宋体" w:eastAsia="宋体" w:cs="宋体"/>
                <w:b w:val="0"/>
                <w:bCs w:val="0"/>
                <w:color w:val="auto"/>
                <w:kern w:val="0"/>
                <w:sz w:val="18"/>
                <w:szCs w:val="18"/>
                <w:highlight w:val="none"/>
                <w:lang w:eastAsia="zh-CN"/>
              </w:rPr>
              <w:t>；设施面积大于等于</w:t>
            </w:r>
            <w:r>
              <w:rPr>
                <w:rFonts w:hint="eastAsia" w:ascii="宋体" w:hAnsi="宋体" w:eastAsia="宋体" w:cs="宋体"/>
                <w:b w:val="0"/>
                <w:bCs w:val="0"/>
                <w:color w:val="auto"/>
                <w:kern w:val="0"/>
                <w:sz w:val="18"/>
                <w:szCs w:val="18"/>
                <w:highlight w:val="none"/>
                <w:lang w:val="en-US" w:eastAsia="zh-CN"/>
              </w:rPr>
              <w:t>5000平方米小于10000平方米得2分</w:t>
            </w:r>
            <w:r>
              <w:rPr>
                <w:rFonts w:hint="eastAsia" w:ascii="宋体" w:hAnsi="宋体" w:eastAsia="宋体" w:cs="宋体"/>
                <w:b w:val="0"/>
                <w:bCs w:val="0"/>
                <w:color w:val="auto"/>
                <w:kern w:val="0"/>
                <w:sz w:val="18"/>
                <w:szCs w:val="18"/>
                <w:highlight w:val="none"/>
                <w:lang w:eastAsia="zh-CN"/>
              </w:rPr>
              <w:t>；小于</w:t>
            </w:r>
            <w:r>
              <w:rPr>
                <w:rFonts w:hint="eastAsia" w:ascii="宋体" w:hAnsi="宋体" w:eastAsia="宋体" w:cs="宋体"/>
                <w:b w:val="0"/>
                <w:bCs w:val="0"/>
                <w:color w:val="auto"/>
                <w:kern w:val="0"/>
                <w:sz w:val="18"/>
                <w:szCs w:val="18"/>
                <w:highlight w:val="none"/>
              </w:rPr>
              <w:t>5000平</w:t>
            </w:r>
            <w:r>
              <w:rPr>
                <w:rFonts w:hint="eastAsia" w:ascii="宋体" w:hAnsi="宋体" w:eastAsia="宋体" w:cs="宋体"/>
                <w:b w:val="0"/>
                <w:bCs w:val="0"/>
                <w:color w:val="auto"/>
                <w:kern w:val="0"/>
                <w:sz w:val="18"/>
                <w:szCs w:val="18"/>
                <w:highlight w:val="none"/>
                <w:lang w:eastAsia="zh-CN"/>
              </w:rPr>
              <w:t>方</w:t>
            </w:r>
            <w:r>
              <w:rPr>
                <w:rFonts w:hint="eastAsia" w:ascii="宋体" w:hAnsi="宋体" w:eastAsia="宋体" w:cs="宋体"/>
                <w:b w:val="0"/>
                <w:bCs w:val="0"/>
                <w:color w:val="auto"/>
                <w:kern w:val="0"/>
                <w:sz w:val="18"/>
                <w:szCs w:val="18"/>
                <w:highlight w:val="none"/>
              </w:rPr>
              <w:t>米得0分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2</w:t>
            </w:r>
          </w:p>
        </w:tc>
        <w:tc>
          <w:tcPr>
            <w:tcW w:w="392"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1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信息化投资（5分）</w:t>
            </w:r>
          </w:p>
        </w:tc>
        <w:tc>
          <w:tcPr>
            <w:tcW w:w="64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软硬件投资（5分）</w:t>
            </w:r>
          </w:p>
        </w:tc>
        <w:tc>
          <w:tcPr>
            <w:tcW w:w="31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近</w:t>
            </w:r>
            <w:r>
              <w:rPr>
                <w:rFonts w:hint="eastAsia" w:ascii="宋体" w:hAnsi="宋体" w:eastAsia="宋体" w:cs="宋体"/>
                <w:b w:val="0"/>
                <w:bCs w:val="0"/>
                <w:color w:val="auto"/>
                <w:kern w:val="0"/>
                <w:sz w:val="18"/>
                <w:szCs w:val="18"/>
                <w:highlight w:val="none"/>
                <w:lang w:val="en-US" w:eastAsia="zh-CN"/>
              </w:rPr>
              <w:t>3</w:t>
            </w:r>
            <w:r>
              <w:rPr>
                <w:rFonts w:hint="eastAsia" w:ascii="宋体" w:hAnsi="宋体" w:eastAsia="宋体" w:cs="宋体"/>
                <w:b w:val="0"/>
                <w:bCs w:val="0"/>
                <w:color w:val="auto"/>
                <w:kern w:val="0"/>
                <w:sz w:val="18"/>
                <w:szCs w:val="18"/>
                <w:highlight w:val="none"/>
              </w:rPr>
              <w:t>年软硬件投资大于300万得5分；介于150-300万之间得3分；小于150万得1分；没有投入得0分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3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3</w:t>
            </w:r>
          </w:p>
        </w:tc>
        <w:tc>
          <w:tcPr>
            <w:tcW w:w="392" w:type="pct"/>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lang w:eastAsia="zh-CN"/>
              </w:rPr>
              <w:t>产销</w:t>
            </w:r>
            <w:r>
              <w:rPr>
                <w:rFonts w:hint="eastAsia" w:ascii="宋体" w:hAnsi="宋体" w:eastAsia="宋体" w:cs="宋体"/>
                <w:b w:val="0"/>
                <w:bCs w:val="0"/>
                <w:color w:val="auto"/>
                <w:kern w:val="0"/>
                <w:sz w:val="18"/>
                <w:szCs w:val="18"/>
                <w:highlight w:val="none"/>
              </w:rPr>
              <w:t>过程</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（55分）</w:t>
            </w:r>
          </w:p>
        </w:tc>
        <w:tc>
          <w:tcPr>
            <w:tcW w:w="614" w:type="pct"/>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育苗和投入品</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w:t>
            </w:r>
            <w:r>
              <w:rPr>
                <w:rFonts w:hint="eastAsia" w:ascii="宋体" w:hAnsi="宋体" w:eastAsia="宋体" w:cs="宋体"/>
                <w:b w:val="0"/>
                <w:bCs w:val="0"/>
                <w:color w:val="auto"/>
                <w:kern w:val="0"/>
                <w:sz w:val="18"/>
                <w:szCs w:val="18"/>
                <w:highlight w:val="none"/>
                <w:lang w:val="en-US" w:eastAsia="zh-CN"/>
              </w:rPr>
              <w:t>8</w:t>
            </w:r>
            <w:r>
              <w:rPr>
                <w:rFonts w:hint="eastAsia" w:ascii="宋体" w:hAnsi="宋体" w:eastAsia="宋体" w:cs="宋体"/>
                <w:b w:val="0"/>
                <w:bCs w:val="0"/>
                <w:color w:val="auto"/>
                <w:kern w:val="0"/>
                <w:sz w:val="18"/>
                <w:szCs w:val="18"/>
                <w:highlight w:val="none"/>
              </w:rPr>
              <w:t>分）</w:t>
            </w:r>
          </w:p>
        </w:tc>
        <w:tc>
          <w:tcPr>
            <w:tcW w:w="64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投入品管理（4分）</w:t>
            </w:r>
          </w:p>
        </w:tc>
        <w:tc>
          <w:tcPr>
            <w:tcW w:w="31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采用信息化管理系统对种子、农药、肥料、农用覆盖薄膜等投入品进行管理</w:t>
            </w:r>
            <w:r>
              <w:rPr>
                <w:rFonts w:hint="eastAsia" w:ascii="宋体" w:hAnsi="宋体" w:eastAsia="宋体" w:cs="宋体"/>
                <w:b w:val="0"/>
                <w:bCs w:val="0"/>
                <w:color w:val="auto"/>
                <w:sz w:val="18"/>
                <w:szCs w:val="18"/>
                <w:highlight w:val="none"/>
                <w:lang w:eastAsia="zh-CN"/>
              </w:rPr>
              <w:t>，</w:t>
            </w:r>
            <w:r>
              <w:rPr>
                <w:rFonts w:hint="eastAsia" w:ascii="宋体" w:hAnsi="宋体" w:eastAsia="宋体" w:cs="宋体"/>
                <w:color w:val="auto"/>
                <w:kern w:val="0"/>
                <w:sz w:val="18"/>
                <w:szCs w:val="18"/>
                <w:highlight w:val="none"/>
              </w:rPr>
              <w:t>每</w:t>
            </w:r>
            <w:r>
              <w:rPr>
                <w:rFonts w:hint="eastAsia" w:ascii="宋体" w:hAnsi="宋体" w:eastAsia="宋体" w:cs="宋体"/>
                <w:color w:val="auto"/>
                <w:kern w:val="0"/>
                <w:sz w:val="18"/>
                <w:szCs w:val="18"/>
                <w:highlight w:val="none"/>
                <w:lang w:val="en-US" w:eastAsia="zh-CN"/>
              </w:rPr>
              <w:t>有</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val="en-US" w:eastAsia="zh-CN"/>
              </w:rPr>
              <w:t>投入品纳入管理得</w:t>
            </w:r>
            <w:r>
              <w:rPr>
                <w:rFonts w:hint="eastAsia" w:ascii="宋体" w:hAnsi="宋体" w:eastAsia="宋体" w:cs="宋体"/>
                <w:color w:val="auto"/>
                <w:kern w:val="0"/>
                <w:sz w:val="18"/>
                <w:szCs w:val="18"/>
                <w:highlight w:val="none"/>
              </w:rPr>
              <w:t>1分</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4</w:t>
            </w:r>
          </w:p>
        </w:tc>
        <w:tc>
          <w:tcPr>
            <w:tcW w:w="392"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1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4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育苗设施（</w:t>
            </w:r>
            <w:r>
              <w:rPr>
                <w:rFonts w:hint="eastAsia" w:ascii="宋体" w:hAnsi="宋体" w:eastAsia="宋体" w:cs="宋体"/>
                <w:b w:val="0"/>
                <w:bCs w:val="0"/>
                <w:color w:val="auto"/>
                <w:kern w:val="0"/>
                <w:sz w:val="18"/>
                <w:szCs w:val="18"/>
                <w:highlight w:val="none"/>
                <w:lang w:val="en-US" w:eastAsia="zh-CN"/>
              </w:rPr>
              <w:t>4</w:t>
            </w:r>
            <w:r>
              <w:rPr>
                <w:rFonts w:hint="eastAsia" w:ascii="宋体" w:hAnsi="宋体" w:eastAsia="宋体" w:cs="宋体"/>
                <w:b w:val="0"/>
                <w:bCs w:val="0"/>
                <w:color w:val="auto"/>
                <w:kern w:val="0"/>
                <w:sz w:val="18"/>
                <w:szCs w:val="18"/>
                <w:highlight w:val="none"/>
              </w:rPr>
              <w:t>分）</w:t>
            </w:r>
          </w:p>
        </w:tc>
        <w:tc>
          <w:tcPr>
            <w:tcW w:w="31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w:t>
            </w:r>
            <w:r>
              <w:rPr>
                <w:rFonts w:hint="eastAsia" w:ascii="宋体" w:hAnsi="宋体" w:eastAsia="宋体" w:cs="宋体"/>
                <w:b w:val="0"/>
                <w:bCs w:val="0"/>
                <w:color w:val="auto"/>
                <w:kern w:val="0"/>
                <w:sz w:val="18"/>
                <w:szCs w:val="18"/>
                <w:highlight w:val="none"/>
                <w:lang w:val="en-US" w:eastAsia="zh-CN"/>
              </w:rPr>
              <w:t>数字化育苗方式</w:t>
            </w:r>
            <w:r>
              <w:rPr>
                <w:rFonts w:hint="eastAsia" w:ascii="宋体" w:hAnsi="宋体" w:eastAsia="宋体" w:cs="宋体"/>
                <w:b w:val="0"/>
                <w:bCs w:val="0"/>
                <w:color w:val="auto"/>
                <w:kern w:val="0"/>
                <w:sz w:val="18"/>
                <w:szCs w:val="18"/>
                <w:highlight w:val="none"/>
              </w:rPr>
              <w:t>得</w:t>
            </w:r>
            <w:r>
              <w:rPr>
                <w:rFonts w:hint="eastAsia" w:ascii="宋体" w:hAnsi="宋体" w:eastAsia="宋体" w:cs="宋体"/>
                <w:b w:val="0"/>
                <w:bCs w:val="0"/>
                <w:color w:val="auto"/>
                <w:kern w:val="0"/>
                <w:sz w:val="18"/>
                <w:szCs w:val="18"/>
                <w:highlight w:val="none"/>
                <w:lang w:val="en-US" w:eastAsia="zh-CN"/>
              </w:rPr>
              <w:t>4</w:t>
            </w:r>
            <w:r>
              <w:rPr>
                <w:rFonts w:hint="eastAsia" w:ascii="宋体" w:hAnsi="宋体" w:eastAsia="宋体" w:cs="宋体"/>
                <w:b w:val="0"/>
                <w:bCs w:val="0"/>
                <w:color w:val="auto"/>
                <w:kern w:val="0"/>
                <w:sz w:val="18"/>
                <w:szCs w:val="18"/>
                <w:highlight w:val="none"/>
              </w:rPr>
              <w:t>分；</w:t>
            </w:r>
            <w:r>
              <w:rPr>
                <w:rFonts w:hint="eastAsia" w:ascii="宋体" w:hAnsi="宋体" w:eastAsia="宋体" w:cs="宋体"/>
                <w:b w:val="0"/>
                <w:bCs w:val="0"/>
                <w:color w:val="auto"/>
                <w:kern w:val="0"/>
                <w:sz w:val="18"/>
                <w:szCs w:val="18"/>
                <w:highlight w:val="none"/>
                <w:lang w:val="en-US" w:eastAsia="zh-CN"/>
              </w:rPr>
              <w:t>未采用</w:t>
            </w:r>
            <w:r>
              <w:rPr>
                <w:rFonts w:hint="eastAsia" w:ascii="宋体" w:hAnsi="宋体" w:eastAsia="宋体" w:cs="宋体"/>
                <w:b w:val="0"/>
                <w:bCs w:val="0"/>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3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5</w:t>
            </w:r>
          </w:p>
        </w:tc>
        <w:tc>
          <w:tcPr>
            <w:tcW w:w="39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14"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栽培方式（2分）</w:t>
            </w:r>
          </w:p>
        </w:tc>
        <w:tc>
          <w:tcPr>
            <w:tcW w:w="64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定植方式（2分）</w:t>
            </w:r>
          </w:p>
        </w:tc>
        <w:tc>
          <w:tcPr>
            <w:tcW w:w="31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采用自动定植方式得2分；</w:t>
            </w:r>
            <w:r>
              <w:rPr>
                <w:rFonts w:hint="eastAsia" w:ascii="宋体" w:hAnsi="宋体" w:eastAsia="宋体" w:cs="宋体"/>
                <w:b w:val="0"/>
                <w:bCs w:val="0"/>
                <w:color w:val="auto"/>
                <w:kern w:val="0"/>
                <w:sz w:val="18"/>
                <w:szCs w:val="18"/>
                <w:highlight w:val="none"/>
                <w:lang w:val="en-US" w:eastAsia="zh-CN"/>
              </w:rPr>
              <w:t>未采用</w:t>
            </w:r>
            <w:r>
              <w:rPr>
                <w:rFonts w:hint="eastAsia" w:ascii="宋体" w:hAnsi="宋体" w:eastAsia="宋体" w:cs="宋体"/>
                <w:b w:val="0"/>
                <w:bCs w:val="0"/>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3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6</w:t>
            </w:r>
          </w:p>
        </w:tc>
        <w:tc>
          <w:tcPr>
            <w:tcW w:w="392"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14"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生长环境监测调控</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（12分）</w:t>
            </w:r>
          </w:p>
        </w:tc>
        <w:tc>
          <w:tcPr>
            <w:tcW w:w="641"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环境监测（6分）</w:t>
            </w:r>
          </w:p>
        </w:tc>
        <w:tc>
          <w:tcPr>
            <w:tcW w:w="31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u w:val="none"/>
              </w:rPr>
            </w:pPr>
            <w:r>
              <w:rPr>
                <w:rFonts w:hint="eastAsia" w:ascii="宋体" w:hAnsi="宋体" w:eastAsia="宋体" w:cs="宋体"/>
                <w:b w:val="0"/>
                <w:bCs w:val="0"/>
                <w:color w:val="auto"/>
                <w:kern w:val="0"/>
                <w:sz w:val="18"/>
                <w:szCs w:val="18"/>
                <w:highlight w:val="none"/>
                <w:u w:val="none"/>
              </w:rPr>
              <w:t>采用物联网设备监测温度、湿度、光照、二氧化碳等空气环境要素，</w:t>
            </w:r>
            <w:r>
              <w:rPr>
                <w:rFonts w:hint="eastAsia" w:ascii="宋体" w:hAnsi="宋体" w:eastAsia="宋体" w:cs="宋体"/>
                <w:color w:val="auto"/>
                <w:kern w:val="0"/>
                <w:sz w:val="18"/>
                <w:szCs w:val="18"/>
                <w:highlight w:val="none"/>
              </w:rPr>
              <w:t>每</w:t>
            </w:r>
            <w:r>
              <w:rPr>
                <w:rFonts w:hint="eastAsia" w:ascii="宋体" w:hAnsi="宋体" w:eastAsia="宋体" w:cs="宋体"/>
                <w:color w:val="auto"/>
                <w:kern w:val="0"/>
                <w:sz w:val="18"/>
                <w:szCs w:val="18"/>
                <w:highlight w:val="none"/>
                <w:lang w:val="en-US" w:eastAsia="zh-CN"/>
              </w:rPr>
              <w:t>监测</w:t>
            </w:r>
            <w:r>
              <w:rPr>
                <w:rFonts w:hint="eastAsia" w:ascii="宋体" w:hAnsi="宋体" w:eastAsia="宋体" w:cs="宋体"/>
                <w:color w:val="auto"/>
                <w:kern w:val="0"/>
                <w:sz w:val="18"/>
                <w:szCs w:val="18"/>
                <w:highlight w:val="none"/>
              </w:rPr>
              <w:t>1个环境</w:t>
            </w:r>
            <w:r>
              <w:rPr>
                <w:rFonts w:hint="eastAsia" w:ascii="宋体" w:hAnsi="宋体" w:eastAsia="宋体" w:cs="宋体"/>
                <w:color w:val="auto"/>
                <w:kern w:val="0"/>
                <w:sz w:val="18"/>
                <w:szCs w:val="18"/>
                <w:highlight w:val="none"/>
                <w:lang w:eastAsia="zh-CN"/>
              </w:rPr>
              <w:t>要素</w:t>
            </w:r>
            <w:r>
              <w:rPr>
                <w:rFonts w:hint="eastAsia" w:ascii="宋体" w:hAnsi="宋体" w:eastAsia="宋体" w:cs="宋体"/>
                <w:color w:val="auto"/>
                <w:kern w:val="0"/>
                <w:sz w:val="18"/>
                <w:szCs w:val="18"/>
                <w:highlight w:val="none"/>
                <w:lang w:val="en-US" w:eastAsia="zh-CN"/>
              </w:rPr>
              <w:t>得</w:t>
            </w:r>
            <w:r>
              <w:rPr>
                <w:rFonts w:hint="eastAsia" w:ascii="宋体" w:hAnsi="宋体" w:eastAsia="宋体" w:cs="宋体"/>
                <w:color w:val="auto"/>
                <w:kern w:val="0"/>
                <w:sz w:val="18"/>
                <w:szCs w:val="18"/>
                <w:highlight w:val="none"/>
              </w:rPr>
              <w:t>1分</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3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7</w:t>
            </w:r>
          </w:p>
        </w:tc>
        <w:tc>
          <w:tcPr>
            <w:tcW w:w="392"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1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41"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31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u w:val="none"/>
              </w:rPr>
            </w:pPr>
            <w:r>
              <w:rPr>
                <w:rFonts w:hint="eastAsia" w:ascii="宋体" w:hAnsi="宋体" w:eastAsia="宋体" w:cs="宋体"/>
                <w:b w:val="0"/>
                <w:bCs w:val="0"/>
                <w:color w:val="auto"/>
                <w:kern w:val="0"/>
                <w:sz w:val="18"/>
                <w:szCs w:val="18"/>
                <w:highlight w:val="none"/>
                <w:u w:val="none"/>
              </w:rPr>
              <w:t>采用物联网设备监测土壤/水/基质的</w:t>
            </w:r>
            <w:r>
              <w:rPr>
                <w:rFonts w:hint="eastAsia" w:ascii="宋体" w:hAnsi="宋体" w:eastAsia="宋体" w:cs="宋体"/>
                <w:b w:val="0"/>
                <w:bCs w:val="0"/>
                <w:color w:val="auto"/>
                <w:kern w:val="0"/>
                <w:sz w:val="18"/>
                <w:szCs w:val="18"/>
                <w:highlight w:val="none"/>
                <w:u w:val="none"/>
                <w:lang w:val="en-US" w:eastAsia="zh-CN"/>
              </w:rPr>
              <w:t>pH</w:t>
            </w:r>
            <w:r>
              <w:rPr>
                <w:rFonts w:hint="eastAsia" w:ascii="宋体" w:hAnsi="宋体" w:eastAsia="宋体" w:cs="宋体"/>
                <w:b w:val="0"/>
                <w:bCs w:val="0"/>
                <w:color w:val="auto"/>
                <w:kern w:val="0"/>
                <w:sz w:val="18"/>
                <w:szCs w:val="18"/>
                <w:highlight w:val="none"/>
                <w:u w:val="none"/>
              </w:rPr>
              <w:t>和EC等环境要素</w:t>
            </w:r>
            <w:r>
              <w:rPr>
                <w:rFonts w:hint="eastAsia" w:ascii="宋体" w:hAnsi="宋体" w:eastAsia="宋体" w:cs="宋体"/>
                <w:color w:val="auto"/>
                <w:kern w:val="0"/>
                <w:sz w:val="18"/>
                <w:szCs w:val="18"/>
                <w:highlight w:val="none"/>
                <w:lang w:val="en-US" w:eastAsia="zh-CN"/>
              </w:rPr>
              <w:t>，</w:t>
            </w:r>
            <w:r>
              <w:rPr>
                <w:rFonts w:hint="eastAsia" w:ascii="宋体" w:hAnsi="宋体" w:eastAsia="宋体" w:cs="宋体"/>
                <w:color w:val="auto"/>
                <w:kern w:val="0"/>
                <w:sz w:val="18"/>
                <w:szCs w:val="18"/>
                <w:highlight w:val="none"/>
              </w:rPr>
              <w:t>每</w:t>
            </w:r>
            <w:r>
              <w:rPr>
                <w:rFonts w:hint="eastAsia" w:ascii="宋体" w:hAnsi="宋体" w:eastAsia="宋体" w:cs="宋体"/>
                <w:color w:val="auto"/>
                <w:kern w:val="0"/>
                <w:sz w:val="18"/>
                <w:szCs w:val="18"/>
                <w:highlight w:val="none"/>
                <w:lang w:val="en-US" w:eastAsia="zh-CN"/>
              </w:rPr>
              <w:t>监测</w:t>
            </w:r>
            <w:r>
              <w:rPr>
                <w:rFonts w:hint="eastAsia" w:ascii="宋体" w:hAnsi="宋体" w:eastAsia="宋体" w:cs="宋体"/>
                <w:color w:val="auto"/>
                <w:kern w:val="0"/>
                <w:sz w:val="18"/>
                <w:szCs w:val="18"/>
                <w:highlight w:val="none"/>
              </w:rPr>
              <w:t>1个环境</w:t>
            </w:r>
            <w:r>
              <w:rPr>
                <w:rFonts w:hint="eastAsia" w:ascii="宋体" w:hAnsi="宋体" w:eastAsia="宋体" w:cs="宋体"/>
                <w:color w:val="auto"/>
                <w:kern w:val="0"/>
                <w:sz w:val="18"/>
                <w:szCs w:val="18"/>
                <w:highlight w:val="none"/>
                <w:lang w:eastAsia="zh-CN"/>
              </w:rPr>
              <w:t>要素</w:t>
            </w:r>
            <w:r>
              <w:rPr>
                <w:rFonts w:hint="eastAsia" w:ascii="宋体" w:hAnsi="宋体" w:eastAsia="宋体" w:cs="宋体"/>
                <w:color w:val="auto"/>
                <w:kern w:val="0"/>
                <w:sz w:val="18"/>
                <w:szCs w:val="18"/>
                <w:highlight w:val="none"/>
                <w:lang w:val="en-US" w:eastAsia="zh-CN"/>
              </w:rPr>
              <w:t>得</w:t>
            </w:r>
            <w:r>
              <w:rPr>
                <w:rFonts w:hint="eastAsia" w:ascii="宋体" w:hAnsi="宋体" w:eastAsia="宋体" w:cs="宋体"/>
                <w:color w:val="auto"/>
                <w:kern w:val="0"/>
                <w:sz w:val="18"/>
                <w:szCs w:val="18"/>
                <w:highlight w:val="none"/>
              </w:rPr>
              <w:t>1分</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3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8</w:t>
            </w:r>
          </w:p>
        </w:tc>
        <w:tc>
          <w:tcPr>
            <w:tcW w:w="392"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1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4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温室控制（6分）</w:t>
            </w:r>
          </w:p>
        </w:tc>
        <w:tc>
          <w:tcPr>
            <w:tcW w:w="31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系统自动控制温室环境得6分；远程人工控制温室环境得4分；无法</w:t>
            </w:r>
            <w:r>
              <w:rPr>
                <w:rFonts w:hint="eastAsia" w:ascii="宋体" w:hAnsi="宋体" w:eastAsia="宋体" w:cs="宋体"/>
                <w:b w:val="0"/>
                <w:bCs w:val="0"/>
                <w:color w:val="auto"/>
                <w:kern w:val="0"/>
                <w:sz w:val="18"/>
                <w:szCs w:val="18"/>
                <w:highlight w:val="none"/>
                <w:lang w:eastAsia="zh-CN"/>
              </w:rPr>
              <w:t>远程</w:t>
            </w:r>
            <w:r>
              <w:rPr>
                <w:rFonts w:hint="eastAsia" w:ascii="宋体" w:hAnsi="宋体" w:eastAsia="宋体" w:cs="宋体"/>
                <w:b w:val="0"/>
                <w:bCs w:val="0"/>
                <w:color w:val="auto"/>
                <w:kern w:val="0"/>
                <w:sz w:val="18"/>
                <w:szCs w:val="18"/>
                <w:highlight w:val="none"/>
              </w:rPr>
              <w:t>控制温室环境得0分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3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9</w:t>
            </w:r>
          </w:p>
        </w:tc>
        <w:tc>
          <w:tcPr>
            <w:tcW w:w="392"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14"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生长过程监测调控</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（15分）</w:t>
            </w:r>
          </w:p>
        </w:tc>
        <w:tc>
          <w:tcPr>
            <w:tcW w:w="64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水肥一体化（8分）</w:t>
            </w:r>
          </w:p>
        </w:tc>
        <w:tc>
          <w:tcPr>
            <w:tcW w:w="31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采用变量精准控制水肥一体化设备得8分；采用定量水肥一体化设备得3分；未采用水肥一体化设备得0分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3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10</w:t>
            </w:r>
          </w:p>
        </w:tc>
        <w:tc>
          <w:tcPr>
            <w:tcW w:w="392"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1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4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模拟和调控（2分）</w:t>
            </w:r>
          </w:p>
        </w:tc>
        <w:tc>
          <w:tcPr>
            <w:tcW w:w="31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采用生长模型进行生长模拟和调控得2分；</w:t>
            </w:r>
            <w:r>
              <w:rPr>
                <w:rFonts w:hint="eastAsia" w:ascii="宋体" w:hAnsi="宋体" w:eastAsia="宋体" w:cs="宋体"/>
                <w:b w:val="0"/>
                <w:bCs w:val="0"/>
                <w:color w:val="auto"/>
                <w:kern w:val="0"/>
                <w:sz w:val="18"/>
                <w:szCs w:val="18"/>
                <w:highlight w:val="none"/>
                <w:lang w:eastAsia="zh-CN"/>
              </w:rPr>
              <w:t>未采用</w:t>
            </w:r>
            <w:r>
              <w:rPr>
                <w:rFonts w:hint="eastAsia" w:ascii="宋体" w:hAnsi="宋体" w:eastAsia="宋体" w:cs="宋体"/>
                <w:b w:val="0"/>
                <w:bCs w:val="0"/>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3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11</w:t>
            </w:r>
          </w:p>
        </w:tc>
        <w:tc>
          <w:tcPr>
            <w:tcW w:w="392"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1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41"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病虫害监测与防控</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（5分）</w:t>
            </w:r>
          </w:p>
        </w:tc>
        <w:tc>
          <w:tcPr>
            <w:tcW w:w="31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lang w:eastAsia="zh-CN"/>
              </w:rPr>
              <w:t>实现</w:t>
            </w:r>
            <w:r>
              <w:rPr>
                <w:rFonts w:hint="eastAsia" w:ascii="宋体" w:hAnsi="宋体" w:eastAsia="宋体" w:cs="宋体"/>
                <w:b w:val="0"/>
                <w:bCs w:val="0"/>
                <w:color w:val="auto"/>
                <w:kern w:val="0"/>
                <w:sz w:val="18"/>
                <w:szCs w:val="18"/>
                <w:highlight w:val="none"/>
              </w:rPr>
              <w:t>智能监测病虫害得</w:t>
            </w:r>
            <w:r>
              <w:rPr>
                <w:rFonts w:hint="eastAsia" w:ascii="宋体" w:hAnsi="宋体" w:eastAsia="宋体" w:cs="宋体"/>
                <w:b w:val="0"/>
                <w:bCs w:val="0"/>
                <w:color w:val="auto"/>
                <w:kern w:val="0"/>
                <w:sz w:val="18"/>
                <w:szCs w:val="18"/>
                <w:highlight w:val="none"/>
                <w:lang w:val="en-US" w:eastAsia="zh-CN"/>
              </w:rPr>
              <w:t>2</w:t>
            </w:r>
            <w:r>
              <w:rPr>
                <w:rFonts w:hint="eastAsia" w:ascii="宋体" w:hAnsi="宋体" w:eastAsia="宋体" w:cs="宋体"/>
                <w:b w:val="0"/>
                <w:bCs w:val="0"/>
                <w:color w:val="auto"/>
                <w:kern w:val="0"/>
                <w:sz w:val="18"/>
                <w:szCs w:val="18"/>
                <w:highlight w:val="none"/>
              </w:rPr>
              <w:t>分；</w:t>
            </w:r>
            <w:r>
              <w:rPr>
                <w:rFonts w:hint="eastAsia" w:ascii="宋体" w:hAnsi="宋体" w:eastAsia="宋体" w:cs="宋体"/>
                <w:b w:val="0"/>
                <w:bCs w:val="0"/>
                <w:color w:val="auto"/>
                <w:kern w:val="0"/>
                <w:sz w:val="18"/>
                <w:szCs w:val="18"/>
                <w:highlight w:val="none"/>
                <w:lang w:eastAsia="zh-CN"/>
              </w:rPr>
              <w:t>未采用</w:t>
            </w:r>
            <w:r>
              <w:rPr>
                <w:rFonts w:hint="eastAsia" w:ascii="宋体" w:hAnsi="宋体" w:eastAsia="宋体" w:cs="宋体"/>
                <w:b w:val="0"/>
                <w:bCs w:val="0"/>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3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12</w:t>
            </w:r>
          </w:p>
        </w:tc>
        <w:tc>
          <w:tcPr>
            <w:tcW w:w="392"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14"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4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311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kern w:val="0"/>
                <w:sz w:val="18"/>
                <w:szCs w:val="18"/>
                <w:highlight w:val="none"/>
                <w:lang w:eastAsia="zh-CN"/>
              </w:rPr>
              <w:t>实现智能防控病虫害得</w:t>
            </w:r>
            <w:r>
              <w:rPr>
                <w:rFonts w:hint="eastAsia" w:ascii="宋体" w:hAnsi="宋体" w:eastAsia="宋体" w:cs="宋体"/>
                <w:b w:val="0"/>
                <w:bCs w:val="0"/>
                <w:color w:val="auto"/>
                <w:kern w:val="0"/>
                <w:sz w:val="18"/>
                <w:szCs w:val="18"/>
                <w:highlight w:val="none"/>
                <w:lang w:val="en-US" w:eastAsia="zh-CN"/>
              </w:rPr>
              <w:t>3</w:t>
            </w:r>
            <w:r>
              <w:rPr>
                <w:rFonts w:hint="eastAsia" w:ascii="宋体" w:hAnsi="宋体" w:eastAsia="宋体" w:cs="宋体"/>
                <w:b w:val="0"/>
                <w:bCs w:val="0"/>
                <w:color w:val="auto"/>
                <w:kern w:val="0"/>
                <w:sz w:val="18"/>
                <w:szCs w:val="18"/>
                <w:highlight w:val="none"/>
                <w:lang w:eastAsia="zh-CN"/>
              </w:rPr>
              <w:t>分；未采用得0分</w:t>
            </w:r>
          </w:p>
        </w:tc>
      </w:tr>
    </w:tbl>
    <w:p>
      <w:pPr>
        <w:rPr>
          <w:rFonts w:hint="eastAsia" w:ascii="黑体" w:hAnsi="Times New Roman" w:eastAsia="黑体" w:cs="Times New Roman"/>
          <w:sz w:val="21"/>
          <w:szCs w:val="21"/>
          <w:highlight w:val="none"/>
          <w:lang w:val="en-US" w:eastAsia="zh-CN" w:bidi="ar-SA"/>
        </w:rPr>
      </w:pPr>
      <w:bookmarkStart w:id="133" w:name="_Toc20161"/>
      <w:bookmarkStart w:id="134" w:name="_Toc17463"/>
      <w:bookmarkStart w:id="135" w:name="_Toc22518"/>
      <w:bookmarkStart w:id="136" w:name="_Toc2019"/>
      <w:r>
        <w:rPr>
          <w:rFonts w:hint="eastAsia" w:ascii="黑体" w:hAnsi="Times New Roman" w:eastAsia="黑体" w:cs="Times New Roman"/>
          <w:sz w:val="21"/>
          <w:szCs w:val="21"/>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outlineLvl w:val="0"/>
        <w:rPr>
          <w:rFonts w:ascii="黑体" w:hAnsi="Times New Roman" w:eastAsia="黑体" w:cs="Times New Roman"/>
          <w:sz w:val="21"/>
          <w:highlight w:val="none"/>
          <w:lang w:val="en-US" w:eastAsia="zh-CN" w:bidi="ar-SA"/>
        </w:rPr>
      </w:pPr>
      <w:r>
        <w:rPr>
          <w:rFonts w:hint="eastAsia" w:ascii="黑体" w:hAnsi="Times New Roman" w:eastAsia="黑体" w:cs="Times New Roman"/>
          <w:sz w:val="21"/>
          <w:szCs w:val="21"/>
          <w:highlight w:val="none"/>
          <w:lang w:val="en-US" w:eastAsia="zh-CN" w:bidi="ar-SA"/>
        </w:rPr>
        <w:t>表A.1  智慧菜园示范基地评价细则</w:t>
      </w:r>
      <w:bookmarkEnd w:id="133"/>
      <w:bookmarkEnd w:id="134"/>
      <w:bookmarkEnd w:id="135"/>
      <w:bookmarkEnd w:id="136"/>
      <w:r>
        <w:rPr>
          <w:rFonts w:hint="eastAsia" w:ascii="宋体" w:hAnsi="宋体" w:eastAsia="宋体" w:cs="宋体"/>
          <w:bCs/>
          <w:kern w:val="2"/>
          <w:szCs w:val="21"/>
          <w:lang w:eastAsia="zh-CN"/>
        </w:rPr>
        <w:t>（</w:t>
      </w:r>
      <w:r>
        <w:rPr>
          <w:rFonts w:hint="eastAsia" w:ascii="宋体" w:hAnsi="宋体" w:eastAsia="宋体" w:cs="宋体"/>
          <w:bCs/>
          <w:kern w:val="2"/>
          <w:szCs w:val="21"/>
          <w:lang w:val="en-US" w:eastAsia="zh-CN"/>
        </w:rPr>
        <w:t>续</w:t>
      </w:r>
      <w:r>
        <w:rPr>
          <w:rFonts w:hint="eastAsia" w:ascii="宋体" w:hAnsi="宋体" w:eastAsia="宋体" w:cs="宋体"/>
          <w:bCs/>
          <w:kern w:val="2"/>
          <w:szCs w:val="21"/>
          <w:lang w:eastAsia="zh-CN"/>
        </w:rPr>
        <w:t>）</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134"/>
        <w:gridCol w:w="1813"/>
        <w:gridCol w:w="2239"/>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30"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rPr>
              <w:t>序号</w:t>
            </w:r>
          </w:p>
        </w:tc>
        <w:tc>
          <w:tcPr>
            <w:tcW w:w="39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rPr>
              <w:t>一级指标</w:t>
            </w:r>
          </w:p>
        </w:tc>
        <w:tc>
          <w:tcPr>
            <w:tcW w:w="62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rPr>
              <w:t>二级指标</w:t>
            </w:r>
          </w:p>
        </w:tc>
        <w:tc>
          <w:tcPr>
            <w:tcW w:w="77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rPr>
              <w:t>三级指标</w:t>
            </w:r>
          </w:p>
        </w:tc>
        <w:tc>
          <w:tcPr>
            <w:tcW w:w="2980"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rPr>
              <w:t>评价内容及</w:t>
            </w:r>
            <w:r>
              <w:rPr>
                <w:rFonts w:hint="eastAsia" w:ascii="宋体" w:hAnsi="宋体" w:eastAsia="宋体" w:cs="宋体"/>
                <w:b w:val="0"/>
                <w:bCs w:val="0"/>
                <w:color w:val="auto"/>
                <w:kern w:val="0"/>
                <w:sz w:val="18"/>
                <w:szCs w:val="18"/>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30"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rPr>
              <w:t>13</w:t>
            </w:r>
          </w:p>
        </w:tc>
        <w:tc>
          <w:tcPr>
            <w:tcW w:w="391" w:type="pct"/>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lang w:eastAsia="zh-CN"/>
              </w:rPr>
              <w:t>产销</w:t>
            </w:r>
            <w:r>
              <w:rPr>
                <w:rFonts w:hint="eastAsia" w:ascii="宋体" w:hAnsi="宋体" w:eastAsia="宋体" w:cs="宋体"/>
                <w:b w:val="0"/>
                <w:bCs w:val="0"/>
                <w:color w:val="auto"/>
                <w:kern w:val="0"/>
                <w:sz w:val="18"/>
                <w:szCs w:val="18"/>
                <w:highlight w:val="none"/>
              </w:rPr>
              <w:t>过程</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（55分）</w:t>
            </w:r>
          </w:p>
        </w:tc>
        <w:tc>
          <w:tcPr>
            <w:tcW w:w="625"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产品采收与运输</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（4分）</w:t>
            </w:r>
          </w:p>
        </w:tc>
        <w:tc>
          <w:tcPr>
            <w:tcW w:w="77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采收（2分）</w:t>
            </w:r>
          </w:p>
        </w:tc>
        <w:tc>
          <w:tcPr>
            <w:tcW w:w="2980"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自动化采收得2分；半自动化采收得1分；人工采收得0分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30"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rPr>
              <w:t>14</w:t>
            </w:r>
          </w:p>
        </w:tc>
        <w:tc>
          <w:tcPr>
            <w:tcW w:w="391"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25"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77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运输（2分）</w:t>
            </w:r>
          </w:p>
        </w:tc>
        <w:tc>
          <w:tcPr>
            <w:tcW w:w="2980"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自动化运输得2分；半自动化运输得1分；人工运输得0分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0"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rPr>
              <w:t>15</w:t>
            </w:r>
          </w:p>
        </w:tc>
        <w:tc>
          <w:tcPr>
            <w:tcW w:w="391"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25"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产品分级与包装</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（4分）</w:t>
            </w:r>
          </w:p>
        </w:tc>
        <w:tc>
          <w:tcPr>
            <w:tcW w:w="77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分级（2分）</w:t>
            </w:r>
          </w:p>
        </w:tc>
        <w:tc>
          <w:tcPr>
            <w:tcW w:w="2980"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采用机器进行产品自动分级得2分；</w:t>
            </w:r>
            <w:r>
              <w:rPr>
                <w:rFonts w:hint="eastAsia" w:ascii="宋体" w:hAnsi="宋体" w:eastAsia="宋体" w:cs="宋体"/>
                <w:b w:val="0"/>
                <w:bCs w:val="0"/>
                <w:color w:val="auto"/>
                <w:kern w:val="0"/>
                <w:sz w:val="18"/>
                <w:szCs w:val="18"/>
                <w:highlight w:val="none"/>
                <w:lang w:eastAsia="zh-CN"/>
              </w:rPr>
              <w:t>未采用</w:t>
            </w:r>
            <w:r>
              <w:rPr>
                <w:rFonts w:hint="eastAsia" w:ascii="宋体" w:hAnsi="宋体" w:eastAsia="宋体" w:cs="宋体"/>
                <w:b w:val="0"/>
                <w:bCs w:val="0"/>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30"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rPr>
              <w:t>16</w:t>
            </w:r>
          </w:p>
        </w:tc>
        <w:tc>
          <w:tcPr>
            <w:tcW w:w="391"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25"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77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包装（2分）</w:t>
            </w:r>
          </w:p>
        </w:tc>
        <w:tc>
          <w:tcPr>
            <w:tcW w:w="2980"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采用机器进行产品自动包装得2分；</w:t>
            </w:r>
            <w:r>
              <w:rPr>
                <w:rFonts w:hint="eastAsia" w:ascii="宋体" w:hAnsi="宋体" w:eastAsia="宋体" w:cs="宋体"/>
                <w:b w:val="0"/>
                <w:bCs w:val="0"/>
                <w:color w:val="auto"/>
                <w:kern w:val="0"/>
                <w:sz w:val="18"/>
                <w:szCs w:val="18"/>
                <w:highlight w:val="none"/>
                <w:lang w:eastAsia="zh-CN"/>
              </w:rPr>
              <w:t>未采用</w:t>
            </w:r>
            <w:r>
              <w:rPr>
                <w:rFonts w:hint="eastAsia" w:ascii="宋体" w:hAnsi="宋体" w:eastAsia="宋体" w:cs="宋体"/>
                <w:b w:val="0"/>
                <w:bCs w:val="0"/>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30"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rPr>
              <w:t>17</w:t>
            </w:r>
          </w:p>
        </w:tc>
        <w:tc>
          <w:tcPr>
            <w:tcW w:w="391"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2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尾菜处理（2分）</w:t>
            </w:r>
          </w:p>
        </w:tc>
        <w:tc>
          <w:tcPr>
            <w:tcW w:w="77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尾菜资源化利用</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（2分）</w:t>
            </w:r>
          </w:p>
        </w:tc>
        <w:tc>
          <w:tcPr>
            <w:tcW w:w="2980"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采用智能化装备进行尾菜处理得2分；</w:t>
            </w:r>
            <w:r>
              <w:rPr>
                <w:rFonts w:hint="eastAsia" w:ascii="宋体" w:hAnsi="宋体" w:eastAsia="宋体" w:cs="宋体"/>
                <w:b w:val="0"/>
                <w:bCs w:val="0"/>
                <w:color w:val="auto"/>
                <w:kern w:val="0"/>
                <w:sz w:val="18"/>
                <w:szCs w:val="18"/>
                <w:highlight w:val="none"/>
                <w:lang w:eastAsia="zh-CN"/>
              </w:rPr>
              <w:t>未采用</w:t>
            </w:r>
            <w:r>
              <w:rPr>
                <w:rFonts w:hint="eastAsia" w:ascii="宋体" w:hAnsi="宋体" w:eastAsia="宋体" w:cs="宋体"/>
                <w:b w:val="0"/>
                <w:bCs w:val="0"/>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30"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rPr>
              <w:t>18</w:t>
            </w:r>
          </w:p>
        </w:tc>
        <w:tc>
          <w:tcPr>
            <w:tcW w:w="391"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2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销售（</w:t>
            </w:r>
            <w:r>
              <w:rPr>
                <w:rFonts w:hint="eastAsia" w:ascii="宋体" w:hAnsi="宋体" w:eastAsia="宋体" w:cs="宋体"/>
                <w:b w:val="0"/>
                <w:bCs w:val="0"/>
                <w:color w:val="auto"/>
                <w:kern w:val="0"/>
                <w:sz w:val="18"/>
                <w:szCs w:val="18"/>
                <w:highlight w:val="none"/>
                <w:lang w:val="en-US" w:eastAsia="zh-CN"/>
              </w:rPr>
              <w:t>3</w:t>
            </w:r>
            <w:r>
              <w:rPr>
                <w:rFonts w:hint="eastAsia" w:ascii="宋体" w:hAnsi="宋体" w:eastAsia="宋体" w:cs="宋体"/>
                <w:b w:val="0"/>
                <w:bCs w:val="0"/>
                <w:color w:val="auto"/>
                <w:kern w:val="0"/>
                <w:sz w:val="18"/>
                <w:szCs w:val="18"/>
                <w:highlight w:val="none"/>
              </w:rPr>
              <w:t>分）</w:t>
            </w:r>
          </w:p>
        </w:tc>
        <w:tc>
          <w:tcPr>
            <w:tcW w:w="77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trike/>
                <w:color w:val="auto"/>
                <w:kern w:val="0"/>
                <w:sz w:val="18"/>
                <w:szCs w:val="18"/>
                <w:highlight w:val="none"/>
              </w:rPr>
            </w:pPr>
            <w:r>
              <w:rPr>
                <w:rFonts w:hint="eastAsia" w:ascii="宋体" w:hAnsi="宋体" w:eastAsia="宋体" w:cs="宋体"/>
                <w:b w:val="0"/>
                <w:bCs w:val="0"/>
                <w:color w:val="auto"/>
                <w:kern w:val="0"/>
                <w:sz w:val="18"/>
                <w:szCs w:val="18"/>
                <w:highlight w:val="none"/>
              </w:rPr>
              <w:t>电子商务（</w:t>
            </w:r>
            <w:r>
              <w:rPr>
                <w:rFonts w:hint="eastAsia" w:ascii="宋体" w:hAnsi="宋体" w:eastAsia="宋体" w:cs="宋体"/>
                <w:b w:val="0"/>
                <w:bCs w:val="0"/>
                <w:color w:val="auto"/>
                <w:kern w:val="0"/>
                <w:sz w:val="18"/>
                <w:szCs w:val="18"/>
                <w:highlight w:val="none"/>
                <w:lang w:val="en-US" w:eastAsia="zh-CN"/>
              </w:rPr>
              <w:t>3</w:t>
            </w:r>
            <w:r>
              <w:rPr>
                <w:rFonts w:hint="eastAsia" w:ascii="宋体" w:hAnsi="宋体" w:eastAsia="宋体" w:cs="宋体"/>
                <w:b w:val="0"/>
                <w:bCs w:val="0"/>
                <w:color w:val="auto"/>
                <w:kern w:val="0"/>
                <w:sz w:val="18"/>
                <w:szCs w:val="18"/>
                <w:highlight w:val="none"/>
              </w:rPr>
              <w:t>分）</w:t>
            </w:r>
          </w:p>
        </w:tc>
        <w:tc>
          <w:tcPr>
            <w:tcW w:w="2980"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trike/>
                <w:color w:val="auto"/>
                <w:kern w:val="0"/>
                <w:sz w:val="18"/>
                <w:szCs w:val="18"/>
                <w:highlight w:val="none"/>
              </w:rPr>
            </w:pPr>
            <w:r>
              <w:rPr>
                <w:rFonts w:hint="eastAsia" w:ascii="宋体" w:hAnsi="宋体" w:eastAsia="宋体" w:cs="宋体"/>
                <w:color w:val="auto"/>
                <w:kern w:val="0"/>
                <w:sz w:val="18"/>
                <w:szCs w:val="18"/>
                <w:highlight w:val="none"/>
              </w:rPr>
              <w:t>利用现代信息化技术和互联网平台，搭建</w:t>
            </w:r>
            <w:r>
              <w:rPr>
                <w:rFonts w:hint="eastAsia" w:ascii="宋体" w:hAnsi="宋体" w:eastAsia="宋体" w:cs="宋体"/>
                <w:color w:val="auto"/>
                <w:kern w:val="0"/>
                <w:sz w:val="18"/>
                <w:szCs w:val="18"/>
                <w:highlight w:val="none"/>
                <w:lang w:val="en-US" w:eastAsia="zh-CN"/>
              </w:rPr>
              <w:t>或采用第三方电商平台</w:t>
            </w:r>
            <w:r>
              <w:rPr>
                <w:rFonts w:hint="eastAsia" w:ascii="宋体" w:hAnsi="宋体" w:eastAsia="宋体" w:cs="宋体"/>
                <w:color w:val="auto"/>
                <w:kern w:val="0"/>
                <w:sz w:val="18"/>
                <w:szCs w:val="18"/>
                <w:highlight w:val="none"/>
              </w:rPr>
              <w:t>进行线上销售</w:t>
            </w:r>
            <w:r>
              <w:rPr>
                <w:rFonts w:hint="eastAsia" w:ascii="宋体" w:hAnsi="宋体" w:eastAsia="宋体" w:cs="宋体"/>
                <w:color w:val="auto"/>
                <w:kern w:val="0"/>
                <w:sz w:val="18"/>
                <w:szCs w:val="18"/>
                <w:highlight w:val="none"/>
                <w:lang w:eastAsia="zh-CN"/>
              </w:rPr>
              <w:t>，有交易记录的</w:t>
            </w:r>
            <w:r>
              <w:rPr>
                <w:rFonts w:hint="eastAsia" w:ascii="宋体" w:hAnsi="宋体" w:eastAsia="宋体" w:cs="宋体"/>
                <w:color w:val="auto"/>
                <w:kern w:val="0"/>
                <w:sz w:val="18"/>
                <w:szCs w:val="18"/>
                <w:highlight w:val="none"/>
              </w:rPr>
              <w:t>得</w:t>
            </w:r>
            <w:r>
              <w:rPr>
                <w:rFonts w:hint="eastAsia" w:ascii="宋体" w:hAnsi="宋体" w:eastAsia="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没有</w:t>
            </w:r>
            <w:r>
              <w:rPr>
                <w:rFonts w:hint="eastAsia" w:ascii="宋体" w:hAnsi="宋体" w:eastAsia="宋体" w:cs="宋体"/>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30" w:type="pct"/>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rPr>
              <w:t>19</w:t>
            </w:r>
          </w:p>
        </w:tc>
        <w:tc>
          <w:tcPr>
            <w:tcW w:w="391"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2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质量管理（5分）</w:t>
            </w:r>
          </w:p>
        </w:tc>
        <w:tc>
          <w:tcPr>
            <w:tcW w:w="77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可追溯（5分）</w:t>
            </w:r>
          </w:p>
        </w:tc>
        <w:tc>
          <w:tcPr>
            <w:tcW w:w="2980"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建有区块链追溯系统且接入省市县追溯平台，投入品、产品、农事作业记录可查，得</w:t>
            </w:r>
            <w:r>
              <w:rPr>
                <w:rFonts w:hint="eastAsia" w:ascii="宋体" w:hAnsi="宋体" w:eastAsia="宋体" w:cs="宋体"/>
                <w:b w:val="0"/>
                <w:bCs w:val="0"/>
                <w:color w:val="auto"/>
                <w:kern w:val="0"/>
                <w:sz w:val="18"/>
                <w:szCs w:val="18"/>
                <w:highlight w:val="none"/>
                <w:lang w:val="en-US" w:eastAsia="zh-CN"/>
              </w:rPr>
              <w:t>5</w:t>
            </w:r>
            <w:r>
              <w:rPr>
                <w:rFonts w:hint="eastAsia" w:ascii="宋体" w:hAnsi="宋体" w:eastAsia="宋体" w:cs="宋体"/>
                <w:b w:val="0"/>
                <w:bCs w:val="0"/>
                <w:color w:val="auto"/>
                <w:kern w:val="0"/>
                <w:sz w:val="18"/>
                <w:szCs w:val="18"/>
                <w:highlight w:val="none"/>
              </w:rPr>
              <w:t>分；采用常规质量追溯系统或接入省市县追溯平台，投入品、产品、农事作业记录可查，得</w:t>
            </w:r>
            <w:r>
              <w:rPr>
                <w:rFonts w:hint="eastAsia" w:ascii="宋体" w:hAnsi="宋体" w:eastAsia="宋体" w:cs="宋体"/>
                <w:b w:val="0"/>
                <w:bCs w:val="0"/>
                <w:color w:val="auto"/>
                <w:kern w:val="0"/>
                <w:sz w:val="18"/>
                <w:szCs w:val="18"/>
                <w:highlight w:val="none"/>
                <w:lang w:val="en-US" w:eastAsia="zh-CN"/>
              </w:rPr>
              <w:t>3</w:t>
            </w:r>
            <w:r>
              <w:rPr>
                <w:rFonts w:hint="eastAsia" w:ascii="宋体" w:hAnsi="宋体" w:eastAsia="宋体" w:cs="宋体"/>
                <w:b w:val="0"/>
                <w:bCs w:val="0"/>
                <w:color w:val="auto"/>
                <w:kern w:val="0"/>
                <w:sz w:val="18"/>
                <w:szCs w:val="18"/>
                <w:highlight w:val="none"/>
              </w:rPr>
              <w:t>分；不可追溯得0分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0"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rPr>
              <w:t>20</w:t>
            </w:r>
          </w:p>
        </w:tc>
        <w:tc>
          <w:tcPr>
            <w:tcW w:w="391" w:type="pct"/>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管理决策</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（10分）</w:t>
            </w:r>
          </w:p>
        </w:tc>
        <w:tc>
          <w:tcPr>
            <w:tcW w:w="625"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人员管理（2分）</w:t>
            </w:r>
          </w:p>
        </w:tc>
        <w:tc>
          <w:tcPr>
            <w:tcW w:w="77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信息化专业背景人员</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（2分）</w:t>
            </w:r>
          </w:p>
        </w:tc>
        <w:tc>
          <w:tcPr>
            <w:tcW w:w="2980"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lang w:val="en-US" w:eastAsia="zh-CN"/>
              </w:rPr>
              <w:t>具有信息化专业背景、资历证书或完成信息化培训的人员，</w:t>
            </w:r>
            <w:r>
              <w:rPr>
                <w:rFonts w:hint="eastAsia" w:ascii="宋体" w:hAnsi="宋体" w:eastAsia="宋体" w:cs="宋体"/>
                <w:b w:val="0"/>
                <w:bCs w:val="0"/>
                <w:color w:val="auto"/>
                <w:kern w:val="0"/>
                <w:sz w:val="18"/>
                <w:szCs w:val="18"/>
                <w:highlight w:val="none"/>
                <w:lang w:eastAsia="zh-CN"/>
              </w:rPr>
              <w:t>能够熟练使用智慧化系统和智慧化装备的</w:t>
            </w:r>
            <w:r>
              <w:rPr>
                <w:rFonts w:hint="eastAsia" w:ascii="宋体" w:hAnsi="宋体" w:eastAsia="宋体" w:cs="宋体"/>
                <w:b w:val="0"/>
                <w:bCs w:val="0"/>
                <w:color w:val="auto"/>
                <w:kern w:val="0"/>
                <w:sz w:val="18"/>
                <w:szCs w:val="18"/>
                <w:highlight w:val="none"/>
              </w:rPr>
              <w:t>，每</w:t>
            </w:r>
            <w:r>
              <w:rPr>
                <w:rFonts w:hint="eastAsia" w:ascii="宋体" w:hAnsi="宋体" w:eastAsia="宋体" w:cs="宋体"/>
                <w:b w:val="0"/>
                <w:bCs w:val="0"/>
                <w:color w:val="auto"/>
                <w:kern w:val="0"/>
                <w:sz w:val="18"/>
                <w:szCs w:val="18"/>
                <w:highlight w:val="none"/>
                <w:lang w:eastAsia="zh-CN"/>
              </w:rPr>
              <w:t>有</w:t>
            </w:r>
            <w:r>
              <w:rPr>
                <w:rFonts w:hint="eastAsia" w:ascii="宋体" w:hAnsi="宋体" w:eastAsia="宋体" w:cs="宋体"/>
                <w:b w:val="0"/>
                <w:bCs w:val="0"/>
                <w:color w:val="auto"/>
                <w:kern w:val="0"/>
                <w:sz w:val="18"/>
                <w:szCs w:val="18"/>
                <w:highlight w:val="none"/>
                <w:lang w:val="en-US" w:eastAsia="zh-CN"/>
              </w:rPr>
              <w:t>1</w:t>
            </w:r>
            <w:r>
              <w:rPr>
                <w:rFonts w:hint="eastAsia" w:ascii="宋体" w:hAnsi="宋体" w:eastAsia="宋体" w:cs="宋体"/>
                <w:b w:val="0"/>
                <w:bCs w:val="0"/>
                <w:color w:val="auto"/>
                <w:kern w:val="0"/>
                <w:sz w:val="18"/>
                <w:szCs w:val="18"/>
                <w:highlight w:val="none"/>
              </w:rPr>
              <w:t>人</w:t>
            </w:r>
            <w:r>
              <w:rPr>
                <w:rFonts w:hint="eastAsia" w:ascii="宋体" w:hAnsi="宋体" w:eastAsia="宋体" w:cs="宋体"/>
                <w:b w:val="0"/>
                <w:bCs w:val="0"/>
                <w:color w:val="auto"/>
                <w:kern w:val="0"/>
                <w:sz w:val="18"/>
                <w:szCs w:val="18"/>
                <w:highlight w:val="none"/>
                <w:lang w:eastAsia="zh-CN"/>
              </w:rPr>
              <w:t>得</w:t>
            </w:r>
            <w:r>
              <w:rPr>
                <w:rFonts w:hint="eastAsia" w:ascii="宋体" w:hAnsi="宋体" w:eastAsia="宋体" w:cs="宋体"/>
                <w:b w:val="0"/>
                <w:bCs w:val="0"/>
                <w:color w:val="auto"/>
                <w:kern w:val="0"/>
                <w:sz w:val="18"/>
                <w:szCs w:val="18"/>
                <w:highlight w:val="none"/>
              </w:rPr>
              <w:t>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0"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rPr>
              <w:t>21</w:t>
            </w:r>
          </w:p>
        </w:tc>
        <w:tc>
          <w:tcPr>
            <w:tcW w:w="391"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25" w:type="pct"/>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决策支持（8分）</w:t>
            </w:r>
          </w:p>
        </w:tc>
        <w:tc>
          <w:tcPr>
            <w:tcW w:w="77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互联互通（4分）</w:t>
            </w:r>
          </w:p>
        </w:tc>
        <w:tc>
          <w:tcPr>
            <w:tcW w:w="2980"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lang w:eastAsia="zh-CN"/>
              </w:rPr>
              <w:t>实现</w:t>
            </w:r>
            <w:r>
              <w:rPr>
                <w:rFonts w:hint="eastAsia" w:ascii="宋体" w:hAnsi="宋体" w:eastAsia="宋体" w:cs="宋体"/>
                <w:b w:val="0"/>
                <w:bCs w:val="0"/>
                <w:color w:val="auto"/>
                <w:kern w:val="0"/>
                <w:sz w:val="18"/>
                <w:szCs w:val="18"/>
                <w:highlight w:val="none"/>
              </w:rPr>
              <w:t>各类软硬件设备互联互通</w:t>
            </w:r>
            <w:r>
              <w:rPr>
                <w:rFonts w:hint="eastAsia" w:ascii="宋体" w:hAnsi="宋体" w:eastAsia="宋体" w:cs="宋体"/>
                <w:b w:val="0"/>
                <w:bCs w:val="0"/>
                <w:color w:val="auto"/>
                <w:kern w:val="0"/>
                <w:sz w:val="18"/>
                <w:szCs w:val="18"/>
                <w:highlight w:val="none"/>
                <w:lang w:eastAsia="zh-CN"/>
              </w:rPr>
              <w:t>的</w:t>
            </w:r>
            <w:r>
              <w:rPr>
                <w:rFonts w:hint="eastAsia" w:ascii="宋体" w:hAnsi="宋体" w:eastAsia="宋体" w:cs="宋体"/>
                <w:b w:val="0"/>
                <w:bCs w:val="0"/>
                <w:color w:val="auto"/>
                <w:kern w:val="0"/>
                <w:sz w:val="18"/>
                <w:szCs w:val="18"/>
                <w:highlight w:val="none"/>
              </w:rPr>
              <w:t>得4分；</w:t>
            </w:r>
            <w:r>
              <w:rPr>
                <w:rFonts w:hint="eastAsia" w:ascii="宋体" w:hAnsi="宋体" w:eastAsia="宋体" w:cs="宋体"/>
                <w:b w:val="0"/>
                <w:bCs w:val="0"/>
                <w:color w:val="auto"/>
                <w:kern w:val="0"/>
                <w:sz w:val="18"/>
                <w:szCs w:val="18"/>
                <w:highlight w:val="none"/>
                <w:lang w:eastAsia="zh-CN"/>
              </w:rPr>
              <w:t>未实现</w:t>
            </w:r>
            <w:r>
              <w:rPr>
                <w:rFonts w:hint="eastAsia" w:ascii="宋体" w:hAnsi="宋体" w:eastAsia="宋体" w:cs="宋体"/>
                <w:b w:val="0"/>
                <w:bCs w:val="0"/>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30"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22</w:t>
            </w:r>
          </w:p>
        </w:tc>
        <w:tc>
          <w:tcPr>
            <w:tcW w:w="391"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625" w:type="pct"/>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772"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决策模式（4分）</w:t>
            </w:r>
          </w:p>
        </w:tc>
        <w:tc>
          <w:tcPr>
            <w:tcW w:w="2980" w:type="pct"/>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具有智能决策支持中心，能根据监测数据自动给出决策指令得4分；需辅以人工判断的半自动决策方式得2分；完全</w:t>
            </w:r>
            <w:r>
              <w:rPr>
                <w:rFonts w:hint="eastAsia" w:ascii="宋体" w:hAnsi="宋体" w:eastAsia="宋体" w:cs="宋体"/>
                <w:b w:val="0"/>
                <w:bCs w:val="0"/>
                <w:color w:val="auto"/>
                <w:kern w:val="0"/>
                <w:sz w:val="18"/>
                <w:szCs w:val="18"/>
                <w:highlight w:val="none"/>
                <w:lang w:eastAsia="zh-CN"/>
              </w:rPr>
              <w:t>依靠</w:t>
            </w:r>
            <w:r>
              <w:rPr>
                <w:rFonts w:hint="eastAsia" w:ascii="宋体" w:hAnsi="宋体" w:eastAsia="宋体" w:cs="宋体"/>
                <w:b w:val="0"/>
                <w:bCs w:val="0"/>
                <w:color w:val="auto"/>
                <w:kern w:val="0"/>
                <w:sz w:val="18"/>
                <w:szCs w:val="18"/>
                <w:highlight w:val="none"/>
              </w:rPr>
              <w:t>人工决策得0分</w:t>
            </w:r>
          </w:p>
        </w:tc>
      </w:tr>
    </w:tbl>
    <w:p>
      <w:pPr>
        <w:rPr>
          <w:rFonts w:hint="eastAsia" w:ascii="黑体" w:hAnsi="Times New Roman" w:eastAsia="黑体" w:cs="Times New Roman"/>
          <w:sz w:val="21"/>
          <w:szCs w:val="21"/>
          <w:highlight w:val="none"/>
          <w:lang w:val="en-US" w:eastAsia="zh-CN" w:bidi="ar-SA"/>
        </w:rPr>
      </w:pPr>
      <w:bookmarkStart w:id="137" w:name="_Toc4811"/>
      <w:bookmarkStart w:id="138" w:name="_Toc22498"/>
      <w:bookmarkStart w:id="139" w:name="_Toc7274"/>
      <w:bookmarkStart w:id="140" w:name="_Toc2921"/>
      <w:r>
        <w:rPr>
          <w:rFonts w:hint="eastAsia" w:ascii="黑体" w:hAnsi="Times New Roman" w:eastAsia="黑体" w:cs="Times New Roman"/>
          <w:sz w:val="21"/>
          <w:szCs w:val="21"/>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outlineLvl w:val="0"/>
        <w:rPr>
          <w:rFonts w:ascii="黑体" w:hAnsi="Times New Roman" w:eastAsia="黑体" w:cs="Times New Roman"/>
          <w:sz w:val="21"/>
          <w:highlight w:val="none"/>
          <w:lang w:val="en-US" w:eastAsia="zh-CN" w:bidi="ar-SA"/>
        </w:rPr>
      </w:pPr>
      <w:r>
        <w:rPr>
          <w:rFonts w:hint="eastAsia" w:ascii="黑体" w:hAnsi="Times New Roman" w:eastAsia="黑体" w:cs="Times New Roman"/>
          <w:sz w:val="21"/>
          <w:szCs w:val="21"/>
          <w:highlight w:val="none"/>
          <w:lang w:val="en-US" w:eastAsia="zh-CN" w:bidi="ar-SA"/>
        </w:rPr>
        <w:t>表A.1  智慧菜园示范基地评价细则</w:t>
      </w:r>
      <w:bookmarkEnd w:id="137"/>
      <w:bookmarkEnd w:id="138"/>
      <w:bookmarkEnd w:id="139"/>
      <w:bookmarkEnd w:id="140"/>
      <w:r>
        <w:rPr>
          <w:rFonts w:hint="eastAsia" w:ascii="宋体" w:hAnsi="宋体" w:eastAsia="宋体" w:cs="宋体"/>
          <w:bCs/>
          <w:kern w:val="2"/>
          <w:szCs w:val="21"/>
          <w:lang w:eastAsia="zh-CN"/>
        </w:rPr>
        <w:t>（</w:t>
      </w:r>
      <w:r>
        <w:rPr>
          <w:rFonts w:hint="eastAsia" w:ascii="宋体" w:hAnsi="宋体" w:eastAsia="宋体" w:cs="宋体"/>
          <w:bCs/>
          <w:kern w:val="2"/>
          <w:szCs w:val="21"/>
          <w:lang w:val="en-US" w:eastAsia="zh-CN"/>
        </w:rPr>
        <w:t>续</w:t>
      </w:r>
      <w:r>
        <w:rPr>
          <w:rFonts w:hint="eastAsia" w:ascii="宋体" w:hAnsi="宋体" w:eastAsia="宋体" w:cs="宋体"/>
          <w:bCs/>
          <w:kern w:val="2"/>
          <w:szCs w:val="21"/>
          <w:lang w:eastAsia="zh-CN"/>
        </w:rPr>
        <w:t>）</w:t>
      </w:r>
    </w:p>
    <w:tbl>
      <w:tblPr>
        <w:tblStyle w:val="20"/>
        <w:tblW w:w="49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255"/>
        <w:gridCol w:w="1644"/>
        <w:gridCol w:w="2205"/>
        <w:gridCol w:w="8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27"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序号</w:t>
            </w:r>
          </w:p>
        </w:tc>
        <w:tc>
          <w:tcPr>
            <w:tcW w:w="43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一级指标</w:t>
            </w:r>
          </w:p>
        </w:tc>
        <w:tc>
          <w:tcPr>
            <w:tcW w:w="57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二级指标</w:t>
            </w:r>
          </w:p>
        </w:tc>
        <w:tc>
          <w:tcPr>
            <w:tcW w:w="77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三级指标</w:t>
            </w:r>
          </w:p>
        </w:tc>
        <w:tc>
          <w:tcPr>
            <w:tcW w:w="298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评价内容及分值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27" w:type="pct"/>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23</w:t>
            </w:r>
          </w:p>
        </w:tc>
        <w:tc>
          <w:tcPr>
            <w:tcW w:w="439" w:type="pct"/>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产出效益</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（15分）</w:t>
            </w:r>
          </w:p>
        </w:tc>
        <w:tc>
          <w:tcPr>
            <w:tcW w:w="575"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经济效益（10分）</w:t>
            </w:r>
          </w:p>
        </w:tc>
        <w:tc>
          <w:tcPr>
            <w:tcW w:w="771"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减工降本（5分）</w:t>
            </w:r>
          </w:p>
        </w:tc>
        <w:tc>
          <w:tcPr>
            <w:tcW w:w="298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通过全产业链机械化和智能化实现</w:t>
            </w:r>
            <w:r>
              <w:rPr>
                <w:rFonts w:hint="eastAsia" w:ascii="宋体" w:hAnsi="宋体" w:eastAsia="宋体" w:cs="宋体"/>
                <w:b w:val="0"/>
                <w:bCs w:val="0"/>
                <w:color w:val="auto"/>
                <w:kern w:val="0"/>
                <w:sz w:val="18"/>
                <w:szCs w:val="18"/>
                <w:highlight w:val="none"/>
                <w:lang w:val="en-US" w:eastAsia="zh-CN"/>
              </w:rPr>
              <w:t>用工减少超过50%得3分；介于30%-50%之间得2分；介于10%-30%之间得1分；低于10%得0分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27"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18"/>
                <w:szCs w:val="18"/>
                <w:highlight w:val="none"/>
              </w:rPr>
            </w:pPr>
          </w:p>
        </w:tc>
        <w:tc>
          <w:tcPr>
            <w:tcW w:w="439"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18"/>
                <w:szCs w:val="18"/>
                <w:highlight w:val="none"/>
              </w:rPr>
            </w:pPr>
          </w:p>
        </w:tc>
        <w:tc>
          <w:tcPr>
            <w:tcW w:w="57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18"/>
                <w:szCs w:val="18"/>
                <w:highlight w:val="none"/>
              </w:rPr>
            </w:pPr>
          </w:p>
        </w:tc>
        <w:tc>
          <w:tcPr>
            <w:tcW w:w="77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18"/>
                <w:szCs w:val="18"/>
                <w:highlight w:val="none"/>
              </w:rPr>
            </w:pPr>
          </w:p>
        </w:tc>
        <w:tc>
          <w:tcPr>
            <w:tcW w:w="298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通过全产业链机械化和智能化实现</w:t>
            </w:r>
            <w:r>
              <w:rPr>
                <w:rFonts w:hint="eastAsia" w:ascii="宋体" w:hAnsi="宋体" w:eastAsia="宋体" w:cs="宋体"/>
                <w:b w:val="0"/>
                <w:bCs w:val="0"/>
                <w:color w:val="auto"/>
                <w:kern w:val="0"/>
                <w:sz w:val="18"/>
                <w:szCs w:val="18"/>
                <w:highlight w:val="none"/>
                <w:lang w:val="en-US" w:eastAsia="zh-CN"/>
              </w:rPr>
              <w:t>生产成本减少超过30%得2分；</w:t>
            </w:r>
            <w:r>
              <w:rPr>
                <w:rFonts w:hint="eastAsia" w:ascii="宋体" w:hAnsi="宋体" w:eastAsia="宋体" w:cs="宋体"/>
                <w:b w:val="0"/>
                <w:bCs w:val="0"/>
                <w:color w:val="auto"/>
                <w:kern w:val="0"/>
                <w:sz w:val="18"/>
                <w:szCs w:val="18"/>
                <w:highlight w:val="none"/>
              </w:rPr>
              <w:t>介于</w:t>
            </w:r>
            <w:r>
              <w:rPr>
                <w:rFonts w:hint="eastAsia" w:ascii="宋体" w:hAnsi="宋体" w:eastAsia="宋体" w:cs="宋体"/>
                <w:b w:val="0"/>
                <w:bCs w:val="0"/>
                <w:color w:val="auto"/>
                <w:kern w:val="0"/>
                <w:sz w:val="18"/>
                <w:szCs w:val="18"/>
                <w:highlight w:val="none"/>
                <w:lang w:val="en-US" w:eastAsia="zh-CN"/>
              </w:rPr>
              <w:t>1</w:t>
            </w:r>
            <w:r>
              <w:rPr>
                <w:rFonts w:hint="eastAsia" w:ascii="宋体" w:hAnsi="宋体" w:eastAsia="宋体" w:cs="宋体"/>
                <w:b w:val="0"/>
                <w:bCs w:val="0"/>
                <w:color w:val="auto"/>
                <w:kern w:val="0"/>
                <w:sz w:val="18"/>
                <w:szCs w:val="18"/>
                <w:highlight w:val="none"/>
              </w:rPr>
              <w:t>0%-</w:t>
            </w:r>
            <w:r>
              <w:rPr>
                <w:rFonts w:hint="eastAsia" w:ascii="宋体" w:hAnsi="宋体" w:eastAsia="宋体" w:cs="宋体"/>
                <w:b w:val="0"/>
                <w:bCs w:val="0"/>
                <w:color w:val="auto"/>
                <w:kern w:val="0"/>
                <w:sz w:val="18"/>
                <w:szCs w:val="18"/>
                <w:highlight w:val="none"/>
                <w:lang w:val="en-US" w:eastAsia="zh-CN"/>
              </w:rPr>
              <w:t>3</w:t>
            </w:r>
            <w:r>
              <w:rPr>
                <w:rFonts w:hint="eastAsia" w:ascii="宋体" w:hAnsi="宋体" w:eastAsia="宋体" w:cs="宋体"/>
                <w:b w:val="0"/>
                <w:bCs w:val="0"/>
                <w:color w:val="auto"/>
                <w:kern w:val="0"/>
                <w:sz w:val="18"/>
                <w:szCs w:val="18"/>
                <w:highlight w:val="none"/>
              </w:rPr>
              <w:t>0%之间得</w:t>
            </w:r>
            <w:r>
              <w:rPr>
                <w:rFonts w:hint="eastAsia" w:ascii="宋体" w:hAnsi="宋体" w:eastAsia="宋体" w:cs="宋体"/>
                <w:b w:val="0"/>
                <w:bCs w:val="0"/>
                <w:color w:val="auto"/>
                <w:kern w:val="0"/>
                <w:sz w:val="18"/>
                <w:szCs w:val="18"/>
                <w:highlight w:val="none"/>
                <w:lang w:val="en-US" w:eastAsia="zh-CN"/>
              </w:rPr>
              <w:t>1</w:t>
            </w:r>
            <w:r>
              <w:rPr>
                <w:rFonts w:hint="eastAsia" w:ascii="宋体" w:hAnsi="宋体" w:eastAsia="宋体" w:cs="宋体"/>
                <w:b w:val="0"/>
                <w:bCs w:val="0"/>
                <w:color w:val="auto"/>
                <w:kern w:val="0"/>
                <w:sz w:val="18"/>
                <w:szCs w:val="18"/>
                <w:highlight w:val="none"/>
              </w:rPr>
              <w:t>分</w:t>
            </w:r>
            <w:r>
              <w:rPr>
                <w:rFonts w:hint="eastAsia" w:ascii="宋体" w:hAnsi="宋体" w:eastAsia="宋体" w:cs="宋体"/>
                <w:b w:val="0"/>
                <w:bCs w:val="0"/>
                <w:color w:val="auto"/>
                <w:kern w:val="0"/>
                <w:sz w:val="18"/>
                <w:szCs w:val="18"/>
                <w:highlight w:val="none"/>
                <w:lang w:eastAsia="zh-CN"/>
              </w:rPr>
              <w:t>；</w:t>
            </w:r>
            <w:r>
              <w:rPr>
                <w:rFonts w:hint="eastAsia" w:ascii="宋体" w:hAnsi="宋体" w:eastAsia="宋体" w:cs="宋体"/>
                <w:b w:val="0"/>
                <w:bCs w:val="0"/>
                <w:color w:val="auto"/>
                <w:kern w:val="0"/>
                <w:sz w:val="18"/>
                <w:szCs w:val="18"/>
                <w:highlight w:val="none"/>
              </w:rPr>
              <w:t>低于</w:t>
            </w:r>
            <w:r>
              <w:rPr>
                <w:rFonts w:hint="eastAsia" w:ascii="宋体" w:hAnsi="宋体" w:eastAsia="宋体" w:cs="宋体"/>
                <w:b w:val="0"/>
                <w:bCs w:val="0"/>
                <w:color w:val="auto"/>
                <w:kern w:val="0"/>
                <w:sz w:val="18"/>
                <w:szCs w:val="18"/>
                <w:highlight w:val="none"/>
                <w:lang w:val="en-US" w:eastAsia="zh-CN"/>
              </w:rPr>
              <w:t>1</w:t>
            </w:r>
            <w:r>
              <w:rPr>
                <w:rFonts w:hint="eastAsia" w:ascii="宋体" w:hAnsi="宋体" w:eastAsia="宋体" w:cs="宋体"/>
                <w:b w:val="0"/>
                <w:bCs w:val="0"/>
                <w:color w:val="auto"/>
                <w:kern w:val="0"/>
                <w:sz w:val="18"/>
                <w:szCs w:val="18"/>
                <w:highlight w:val="none"/>
              </w:rPr>
              <w:t>0%</w:t>
            </w:r>
            <w:r>
              <w:rPr>
                <w:rFonts w:hint="eastAsia" w:ascii="宋体" w:hAnsi="宋体" w:eastAsia="宋体" w:cs="宋体"/>
                <w:b w:val="0"/>
                <w:bCs w:val="0"/>
                <w:color w:val="auto"/>
                <w:kern w:val="0"/>
                <w:sz w:val="18"/>
                <w:szCs w:val="18"/>
                <w:highlight w:val="none"/>
                <w:lang w:val="en-US" w:eastAsia="zh-CN"/>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24</w:t>
            </w:r>
          </w:p>
        </w:tc>
        <w:tc>
          <w:tcPr>
            <w:tcW w:w="439" w:type="pct"/>
            <w:vMerge w:val="continue"/>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57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771"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提质增效（5分）</w:t>
            </w:r>
          </w:p>
        </w:tc>
        <w:tc>
          <w:tcPr>
            <w:tcW w:w="298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highlight w:val="none"/>
                <w:lang w:val="en-US" w:eastAsia="zh-CN"/>
              </w:rPr>
            </w:pPr>
            <w:r>
              <w:rPr>
                <w:rFonts w:hint="eastAsia" w:ascii="宋体" w:hAnsi="宋体" w:eastAsia="宋体" w:cs="宋体"/>
                <w:b w:val="0"/>
                <w:bCs w:val="0"/>
                <w:color w:val="auto"/>
                <w:kern w:val="0"/>
                <w:sz w:val="18"/>
                <w:szCs w:val="18"/>
                <w:highlight w:val="none"/>
                <w:lang w:val="en-US" w:eastAsia="zh-CN"/>
              </w:rPr>
              <w:t>每有一项“两品一标”认证得1分，最多得2分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2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25</w:t>
            </w:r>
          </w:p>
        </w:tc>
        <w:tc>
          <w:tcPr>
            <w:tcW w:w="439" w:type="pct"/>
            <w:vMerge w:val="continue"/>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18"/>
                <w:szCs w:val="18"/>
                <w:highlight w:val="none"/>
              </w:rPr>
            </w:pPr>
          </w:p>
        </w:tc>
        <w:tc>
          <w:tcPr>
            <w:tcW w:w="57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18"/>
                <w:szCs w:val="18"/>
                <w:highlight w:val="none"/>
              </w:rPr>
            </w:pPr>
          </w:p>
        </w:tc>
        <w:tc>
          <w:tcPr>
            <w:tcW w:w="77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18"/>
                <w:szCs w:val="18"/>
                <w:highlight w:val="none"/>
              </w:rPr>
            </w:pPr>
          </w:p>
        </w:tc>
        <w:tc>
          <w:tcPr>
            <w:tcW w:w="298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实现单位面积收益提升超过10%得3分；介于5%-10%之间得2分；低于5%得0分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27"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rPr>
              <w:t>26</w:t>
            </w:r>
          </w:p>
        </w:tc>
        <w:tc>
          <w:tcPr>
            <w:tcW w:w="439"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575"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生态效益（5分）</w:t>
            </w:r>
          </w:p>
        </w:tc>
        <w:tc>
          <w:tcPr>
            <w:tcW w:w="771"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资源节约（5分）</w:t>
            </w:r>
          </w:p>
        </w:tc>
        <w:tc>
          <w:tcPr>
            <w:tcW w:w="298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化肥减量使用超过20%得2分；低于20%得1分；未实现化肥减量得0分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27"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rPr>
              <w:t>27</w:t>
            </w:r>
          </w:p>
        </w:tc>
        <w:tc>
          <w:tcPr>
            <w:tcW w:w="439"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57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771"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298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农药减量使用超过20%得3分；介于10%-20%之间得2分；低于10%得1分；未实现农药减量得0分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27"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rPr>
              <w:t>28</w:t>
            </w:r>
          </w:p>
        </w:tc>
        <w:tc>
          <w:tcPr>
            <w:tcW w:w="439"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创新与规划</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（10分）</w:t>
            </w:r>
          </w:p>
        </w:tc>
        <w:tc>
          <w:tcPr>
            <w:tcW w:w="575"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创新（8分）</w:t>
            </w:r>
          </w:p>
        </w:tc>
        <w:tc>
          <w:tcPr>
            <w:tcW w:w="77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模式培育（5分）</w:t>
            </w:r>
          </w:p>
        </w:tc>
        <w:tc>
          <w:tcPr>
            <w:tcW w:w="298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培育形成具有特色的智慧农业应用模式创新，并</w:t>
            </w:r>
            <w:r>
              <w:rPr>
                <w:rFonts w:hint="eastAsia" w:ascii="宋体" w:hAnsi="宋体" w:eastAsia="宋体" w:cs="宋体"/>
                <w:b w:val="0"/>
                <w:bCs w:val="0"/>
                <w:color w:val="auto"/>
                <w:kern w:val="0"/>
                <w:sz w:val="18"/>
                <w:szCs w:val="18"/>
                <w:highlight w:val="none"/>
                <w:lang w:val="en-US" w:eastAsia="zh-CN"/>
              </w:rPr>
              <w:t>在其他农业企业、农户中推广复制</w:t>
            </w:r>
            <w:r>
              <w:rPr>
                <w:rFonts w:hint="eastAsia" w:ascii="宋体" w:hAnsi="宋体" w:eastAsia="宋体" w:cs="宋体"/>
                <w:b w:val="0"/>
                <w:bCs w:val="0"/>
                <w:color w:val="auto"/>
                <w:kern w:val="0"/>
                <w:sz w:val="18"/>
                <w:szCs w:val="18"/>
                <w:highlight w:val="none"/>
              </w:rPr>
              <w:t>得5分；</w:t>
            </w:r>
            <w:r>
              <w:rPr>
                <w:rFonts w:hint="eastAsia" w:ascii="宋体" w:hAnsi="宋体" w:eastAsia="宋体" w:cs="宋体"/>
                <w:b w:val="0"/>
                <w:bCs w:val="0"/>
                <w:color w:val="auto"/>
                <w:kern w:val="0"/>
                <w:sz w:val="18"/>
                <w:szCs w:val="18"/>
                <w:highlight w:val="none"/>
                <w:lang w:val="en-US" w:eastAsia="zh-CN"/>
              </w:rPr>
              <w:t>仅</w:t>
            </w:r>
            <w:r>
              <w:rPr>
                <w:rFonts w:hint="eastAsia" w:ascii="宋体" w:hAnsi="宋体" w:eastAsia="宋体" w:cs="宋体"/>
                <w:b w:val="0"/>
                <w:bCs w:val="0"/>
                <w:color w:val="auto"/>
                <w:kern w:val="0"/>
                <w:sz w:val="18"/>
                <w:szCs w:val="18"/>
                <w:highlight w:val="none"/>
              </w:rPr>
              <w:t>培育形成具有特色的智慧农业应用模式创新</w:t>
            </w:r>
            <w:r>
              <w:rPr>
                <w:rFonts w:hint="eastAsia" w:ascii="宋体" w:hAnsi="宋体" w:eastAsia="宋体" w:cs="宋体"/>
                <w:b w:val="0"/>
                <w:bCs w:val="0"/>
                <w:color w:val="auto"/>
                <w:kern w:val="0"/>
                <w:sz w:val="18"/>
                <w:szCs w:val="18"/>
                <w:highlight w:val="none"/>
                <w:lang w:val="en-US" w:eastAsia="zh-CN"/>
              </w:rPr>
              <w:t>得2分；未</w:t>
            </w:r>
            <w:r>
              <w:rPr>
                <w:rFonts w:hint="eastAsia" w:ascii="宋体" w:hAnsi="宋体" w:eastAsia="宋体" w:cs="宋体"/>
                <w:b w:val="0"/>
                <w:bCs w:val="0"/>
                <w:color w:val="auto"/>
                <w:kern w:val="0"/>
                <w:sz w:val="18"/>
                <w:szCs w:val="18"/>
                <w:highlight w:val="none"/>
              </w:rPr>
              <w:t>形成具有特色的智慧农业应用模式创新</w:t>
            </w:r>
            <w:r>
              <w:rPr>
                <w:rFonts w:hint="eastAsia" w:ascii="宋体" w:hAnsi="宋体" w:eastAsia="宋体" w:cs="宋体"/>
                <w:b w:val="0"/>
                <w:bCs w:val="0"/>
                <w:color w:val="auto"/>
                <w:kern w:val="0"/>
                <w:sz w:val="18"/>
                <w:szCs w:val="18"/>
                <w:highlight w:val="none"/>
                <w:lang w:val="en-US" w:eastAsia="zh-CN"/>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27"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29</w:t>
            </w:r>
          </w:p>
        </w:tc>
        <w:tc>
          <w:tcPr>
            <w:tcW w:w="439"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575"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77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科技项目申报（3分）</w:t>
            </w:r>
          </w:p>
        </w:tc>
        <w:tc>
          <w:tcPr>
            <w:tcW w:w="298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近3年牵头申报并成功入选市级以上与智慧农业相关的科技项目得3分；作为参与单位申报并成功入选智慧农业相关的科技项目得1分；未承担科技项目得0分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27"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30</w:t>
            </w:r>
          </w:p>
        </w:tc>
        <w:tc>
          <w:tcPr>
            <w:tcW w:w="439"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p>
        </w:tc>
        <w:tc>
          <w:tcPr>
            <w:tcW w:w="57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规划（2分）</w:t>
            </w:r>
          </w:p>
        </w:tc>
        <w:tc>
          <w:tcPr>
            <w:tcW w:w="77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规划（2分）</w:t>
            </w:r>
          </w:p>
        </w:tc>
        <w:tc>
          <w:tcPr>
            <w:tcW w:w="298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对基地未来3年的智慧化建设有清晰的规划得2分；没有清晰的规划得0分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000" w:type="pct"/>
            <w:gridSpan w:val="5"/>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360" w:firstLineChars="200"/>
              <w:jc w:val="left"/>
              <w:textAlignment w:val="auto"/>
              <w:rPr>
                <w:rFonts w:hint="eastAsia" w:ascii="宋体" w:hAnsi="宋体" w:eastAsia="宋体" w:cs="宋体"/>
                <w:b w:val="0"/>
                <w:bCs w:val="0"/>
                <w:color w:val="auto"/>
                <w:kern w:val="0"/>
                <w:sz w:val="18"/>
                <w:szCs w:val="18"/>
                <w:highlight w:val="none"/>
              </w:rPr>
            </w:pPr>
            <w:r>
              <w:rPr>
                <w:rFonts w:hint="eastAsia" w:ascii="黑体" w:hAnsi="黑体" w:eastAsia="黑体" w:cs="黑体"/>
                <w:sz w:val="18"/>
                <w:szCs w:val="18"/>
                <w:highlight w:val="none"/>
                <w:lang w:val="en-US" w:eastAsia="zh-CN"/>
              </w:rPr>
              <w:t>注：</w:t>
            </w:r>
            <w:r>
              <w:rPr>
                <w:rFonts w:hint="eastAsia" w:ascii="宋体" w:hAnsi="宋体" w:eastAsia="宋体" w:cs="宋体"/>
                <w:sz w:val="18"/>
                <w:szCs w:val="18"/>
                <w:highlight w:val="none"/>
              </w:rPr>
              <w:t>两品一标指的是绿色食品、有机农产品和农产品地理标志</w:t>
            </w:r>
          </w:p>
        </w:tc>
      </w:tr>
    </w:tbl>
    <w:p>
      <w:pPr>
        <w:adjustRightInd w:val="0"/>
        <w:spacing w:line="400" w:lineRule="exact"/>
        <w:rPr>
          <w:rFonts w:ascii="Calibri" w:hAnsi="Calibri" w:eastAsia="宋体" w:cs="Times New Roman"/>
          <w:b/>
          <w:bCs/>
          <w:szCs w:val="21"/>
          <w:highlight w:val="none"/>
        </w:rPr>
      </w:pPr>
    </w:p>
    <w:p>
      <w:pPr>
        <w:widowControl/>
        <w:adjustRightInd/>
        <w:spacing w:line="240" w:lineRule="auto"/>
        <w:jc w:val="left"/>
        <w:rPr>
          <w:rFonts w:hint="default" w:ascii="黑体" w:hAnsi="黑体" w:eastAsia="黑体" w:cs="黑体"/>
          <w:sz w:val="18"/>
          <w:szCs w:val="18"/>
          <w:highlight w:val="none"/>
          <w:lang w:val="en-US" w:eastAsia="zh-CN"/>
        </w:rPr>
      </w:pPr>
      <w:r>
        <w:rPr>
          <w:rFonts w:ascii="Calibri" w:hAnsi="Calibri" w:eastAsia="宋体" w:cs="Times New Roman"/>
          <w:sz w:val="21"/>
          <w:szCs w:val="21"/>
          <w:highlight w:val="none"/>
        </w:rPr>
        <mc:AlternateContent>
          <mc:Choice Requires="wps">
            <w:drawing>
              <wp:anchor distT="0" distB="0" distL="114300" distR="114300" simplePos="0" relativeHeight="251671552" behindDoc="0" locked="0" layoutInCell="1" allowOverlap="1">
                <wp:simplePos x="0" y="0"/>
                <wp:positionH relativeFrom="column">
                  <wp:posOffset>3023870</wp:posOffset>
                </wp:positionH>
                <wp:positionV relativeFrom="paragraph">
                  <wp:posOffset>57785</wp:posOffset>
                </wp:positionV>
                <wp:extent cx="2268220" cy="8255"/>
                <wp:effectExtent l="0" t="0" r="0" b="0"/>
                <wp:wrapTopAndBottom/>
                <wp:docPr id="1" name="直接连接符 1"/>
                <wp:cNvGraphicFramePr/>
                <a:graphic xmlns:a="http://schemas.openxmlformats.org/drawingml/2006/main">
                  <a:graphicData uri="http://schemas.microsoft.com/office/word/2010/wordprocessingShape">
                    <wps:wsp>
                      <wps:cNvCnPr/>
                      <wps:spPr>
                        <a:xfrm>
                          <a:off x="0" y="0"/>
                          <a:ext cx="2268220" cy="8255"/>
                        </a:xfrm>
                        <a:prstGeom prst="line">
                          <a:avLst/>
                        </a:prstGeom>
                        <a:noFill/>
                        <a:ln w="6350" cap="flat" cmpd="sng" algn="ctr">
                          <a:solidFill>
                            <a:srgbClr val="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8.1pt;margin-top:4.55pt;height:0.65pt;width:178.6pt;mso-wrap-distance-bottom:0pt;mso-wrap-distance-top:0pt;z-index:251671552;mso-width-relative:page;mso-height-relative:page;" filled="f" stroked="t" coordsize="21600,21600" o:gfxdata="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ixD6g1wAAAAgB&#10;AAAPAAAAAAAAAAEAIAAAADgAAABkcnMvZG93bnJldi54bWxQSwECFAAUAAAACACHTuJAHb4AQM0B&#10;AAB0AwAADgAAAAAAAAABACAAAAA8AQAAZHJzL2Uyb0RvYy54bWxQSwUGAAAAAAYABgBZAQAAewUA&#10;AAAA&#10;">
                <v:fill on="f" focussize="0,0"/>
                <v:stroke weight="0.5pt" color="#000000 [3204]" miterlimit="8" joinstyle="miter"/>
                <v:imagedata o:title=""/>
                <o:lock v:ext="edit" aspectratio="f"/>
                <w10:wrap type="topAndBottom"/>
              </v:line>
            </w:pict>
          </mc:Fallback>
        </mc:AlternateContent>
      </w:r>
    </w:p>
    <w:sectPr>
      <w:footerReference r:id="rId19" w:type="default"/>
      <w:footerReference r:id="rId20" w:type="even"/>
      <w:pgSz w:w="16838" w:h="11906" w:orient="landscape"/>
      <w:pgMar w:top="1417" w:right="1417" w:bottom="1134" w:left="1134" w:header="1417" w:footer="1417" w:gutter="284"/>
      <w:pgNumType w:fmt="decimal"/>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方正小标宋_GBK">
    <w:panose1 w:val="02000000000000000000"/>
    <w:charset w:val="86"/>
    <w:family w:val="script"/>
    <w:pitch w:val="default"/>
    <w:sig w:usb0="00000001" w:usb1="08000000" w:usb2="00000000" w:usb3="00000000" w:csb0="00040000" w:csb1="00000000"/>
  </w:font>
  <w:font w:name="Dotum,Bold">
    <w:altName w:val="宋体"/>
    <w:panose1 w:val="00000000000000000000"/>
    <w:charset w:val="86"/>
    <w:family w:val="auto"/>
    <w:pitch w:val="default"/>
    <w:sig w:usb0="00000000" w:usb1="00000000" w:usb2="00000010" w:usb3="00000000" w:csb0="00040000" w:csb1="00000000"/>
  </w:font>
  <w:font w:name="SimSun,Bold">
    <w:altName w:val="宋体"/>
    <w:panose1 w:val="00000000000000000000"/>
    <w:charset w:val="86"/>
    <w:family w:val="auto"/>
    <w:pitch w:val="default"/>
    <w:sig w:usb0="00000000" w:usb1="00000000" w:usb2="0000001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10</w:t>
                          </w:r>
                          <w:r>
                            <w:rPr>
                              <w:rFonts w:asciiTheme="minorEastAsia" w:hAnsiTheme="minor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R+mXFQIAABs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cR+mXFQIAABsEAAAOAAAAAAAAAAEAIAAAADUBAABkcnMvZTJvRG9jLnhtbFBLBQYAAAAABgAG&#10;AFkBAAC8BQAAAAA=&#10;">
              <v:fill on="f" focussize="0,0"/>
              <v:stroke on="f" weight="0.5pt"/>
              <v:imagedata o:title=""/>
              <o:lock v:ext="edit" aspectratio="f"/>
              <v:textbox inset="0mm,0mm,0mm,0mm" style="mso-fit-shape-to-text:t;">
                <w:txbxContent>
                  <w:p>
                    <w:pPr>
                      <w:pStyle w:val="13"/>
                    </w:pP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10</w:t>
                    </w:r>
                    <w:r>
                      <w:rPr>
                        <w:rFonts w:asciiTheme="minorEastAsia" w:hAnsiTheme="minor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bidi w:val="0"/>
      <w:adjustRightInd/>
      <w:snapToGrid/>
      <w:ind w:right="0"/>
      <w:jc w:val="right"/>
      <w:textAlignment w:val="auto"/>
      <w:rPr>
        <w:rFonts w:ascii="宋体" w:hAnsi="Times New Roman" w:eastAsia="宋体" w:cs="Times New Roman"/>
        <w:sz w:val="18"/>
        <w:lang w:val="en-US" w:eastAsia="zh-CN" w:bidi="ar-SA"/>
      </w:rPr>
    </w:pPr>
    <w:r>
      <w:rPr>
        <w:rFonts w:ascii="宋体" w:hAnsi="Times New Roman" w:eastAsia="宋体" w:cs="Times New Roman"/>
        <w:sz w:val="18"/>
        <w:lang w:val="en-US" w:eastAsia="zh-CN" w:bidi="ar-SA"/>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ind w:right="0"/>
                            <w:jc w:val="right"/>
                            <w:textAlignment w:val="auto"/>
                            <w:rPr>
                              <w:rFonts w:ascii="宋体" w:hAnsi="Times New Roman" w:eastAsia="宋体" w:cs="Times New Roman"/>
                              <w:sz w:val="18"/>
                              <w:lang w:val="en-US" w:eastAsia="zh-CN" w:bidi="ar-SA"/>
                            </w:rPr>
                          </w:pPr>
                          <w:r>
                            <w:rPr>
                              <w:rFonts w:ascii="宋体" w:hAnsi="Times New Roman" w:eastAsia="宋体" w:cs="Times New Roman"/>
                              <w:sz w:val="18"/>
                              <w:lang w:val="en-US" w:eastAsia="zh-CN" w:bidi="ar-SA"/>
                            </w:rPr>
                            <w:fldChar w:fldCharType="begin"/>
                          </w:r>
                          <w:r>
                            <w:rPr>
                              <w:rFonts w:ascii="宋体" w:hAnsi="Times New Roman" w:eastAsia="宋体" w:cs="Times New Roman"/>
                              <w:sz w:val="18"/>
                              <w:lang w:val="en-US" w:eastAsia="zh-CN" w:bidi="ar-SA"/>
                            </w:rPr>
                            <w:instrText xml:space="preserve">PAGE   \* MERGEFORMAT</w:instrText>
                          </w:r>
                          <w:r>
                            <w:rPr>
                              <w:rFonts w:ascii="宋体" w:hAnsi="Times New Roman" w:eastAsia="宋体" w:cs="Times New Roman"/>
                              <w:sz w:val="18"/>
                              <w:lang w:val="en-US" w:eastAsia="zh-CN" w:bidi="ar-SA"/>
                            </w:rPr>
                            <w:fldChar w:fldCharType="separate"/>
                          </w:r>
                          <w:r>
                            <w:rPr>
                              <w:rFonts w:ascii="宋体" w:hAnsi="Times New Roman" w:eastAsia="宋体" w:cs="Times New Roman"/>
                              <w:sz w:val="18"/>
                              <w:lang w:val="zh-CN" w:eastAsia="zh-CN" w:bidi="ar-SA"/>
                            </w:rPr>
                            <w:t>9</w:t>
                          </w:r>
                          <w:r>
                            <w:rPr>
                              <w:rFonts w:ascii="宋体" w:hAnsi="Times New Roman" w:eastAsia="宋体" w:cs="Times New Roman"/>
                              <w:sz w:val="18"/>
                              <w:lang w:val="en-US" w:eastAsia="zh-CN" w:bidi="ar-S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W/3CIgIAADc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L1v9wiICAAA3BAAADgAAAAAAAAABACAAAAA1AQAAZHJzL2Uyb0RvYy54&#10;bWxQSwUGAAAAAAYABgBZAQAAyQ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bidi w:val="0"/>
                      <w:adjustRightInd/>
                      <w:snapToGrid/>
                      <w:ind w:right="0"/>
                      <w:jc w:val="right"/>
                      <w:textAlignment w:val="auto"/>
                      <w:rPr>
                        <w:rFonts w:ascii="宋体" w:hAnsi="Times New Roman" w:eastAsia="宋体" w:cs="Times New Roman"/>
                        <w:sz w:val="18"/>
                        <w:lang w:val="en-US" w:eastAsia="zh-CN" w:bidi="ar-SA"/>
                      </w:rPr>
                    </w:pPr>
                    <w:r>
                      <w:rPr>
                        <w:rFonts w:ascii="宋体" w:hAnsi="Times New Roman" w:eastAsia="宋体" w:cs="Times New Roman"/>
                        <w:sz w:val="18"/>
                        <w:lang w:val="en-US" w:eastAsia="zh-CN" w:bidi="ar-SA"/>
                      </w:rPr>
                      <w:fldChar w:fldCharType="begin"/>
                    </w:r>
                    <w:r>
                      <w:rPr>
                        <w:rFonts w:ascii="宋体" w:hAnsi="Times New Roman" w:eastAsia="宋体" w:cs="Times New Roman"/>
                        <w:sz w:val="18"/>
                        <w:lang w:val="en-US" w:eastAsia="zh-CN" w:bidi="ar-SA"/>
                      </w:rPr>
                      <w:instrText xml:space="preserve">PAGE   \* MERGEFORMAT</w:instrText>
                    </w:r>
                    <w:r>
                      <w:rPr>
                        <w:rFonts w:ascii="宋体" w:hAnsi="Times New Roman" w:eastAsia="宋体" w:cs="Times New Roman"/>
                        <w:sz w:val="18"/>
                        <w:lang w:val="en-US" w:eastAsia="zh-CN" w:bidi="ar-SA"/>
                      </w:rPr>
                      <w:fldChar w:fldCharType="separate"/>
                    </w:r>
                    <w:r>
                      <w:rPr>
                        <w:rFonts w:ascii="宋体" w:hAnsi="Times New Roman" w:eastAsia="宋体" w:cs="Times New Roman"/>
                        <w:sz w:val="18"/>
                        <w:lang w:val="zh-CN" w:eastAsia="zh-CN" w:bidi="ar-SA"/>
                      </w:rPr>
                      <w:t>9</w:t>
                    </w:r>
                    <w:r>
                      <w:rPr>
                        <w:rFonts w:ascii="宋体" w:hAnsi="Times New Roman" w:eastAsia="宋体" w:cs="Times New Roman"/>
                        <w:sz w:val="18"/>
                        <w:lang w:val="en-US" w:eastAsia="zh-CN" w:bidi="ar-S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Times New Roman" w:eastAsia="宋体" w:cs="Times New Roman"/>
        <w:sz w:val="18"/>
        <w:lang w:val="en-US" w:eastAsia="zh-CN" w:bidi="ar-SA"/>
      </w:rPr>
    </w:pPr>
    <w:r>
      <w:rPr>
        <w:rFonts w:ascii="宋体" w:hAnsi="Times New Roman" w:eastAsia="宋体" w:cs="Times New Roman"/>
        <w:sz w:val="18"/>
        <w:lang w:val="en-US" w:eastAsia="zh-CN" w:bidi="ar-SA"/>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ind w:left="0"/>
                            <w:textAlignment w:val="auto"/>
                            <w:rPr>
                              <w:rFonts w:ascii="宋体" w:hAnsi="Times New Roman" w:eastAsia="宋体" w:cs="Times New Roman"/>
                              <w:sz w:val="18"/>
                              <w:lang w:val="en-US" w:eastAsia="zh-CN" w:bidi="ar-SA"/>
                            </w:rPr>
                          </w:pPr>
                          <w:r>
                            <w:rPr>
                              <w:rFonts w:ascii="宋体" w:hAnsi="Times New Roman" w:eastAsia="宋体" w:cs="Times New Roman"/>
                              <w:sz w:val="18"/>
                              <w:lang w:val="en-US" w:eastAsia="zh-CN" w:bidi="ar-SA"/>
                            </w:rPr>
                            <w:fldChar w:fldCharType="begin"/>
                          </w:r>
                          <w:r>
                            <w:rPr>
                              <w:rFonts w:ascii="宋体" w:hAnsi="Times New Roman" w:eastAsia="宋体" w:cs="Times New Roman"/>
                              <w:sz w:val="18"/>
                              <w:lang w:val="en-US" w:eastAsia="zh-CN" w:bidi="ar-SA"/>
                            </w:rPr>
                            <w:instrText xml:space="preserve"> PAGE   \* MERGEFORMAT \* MERGEFORMAT </w:instrText>
                          </w:r>
                          <w:r>
                            <w:rPr>
                              <w:rFonts w:ascii="宋体" w:hAnsi="Times New Roman" w:eastAsia="宋体" w:cs="Times New Roman"/>
                              <w:sz w:val="18"/>
                              <w:lang w:val="en-US" w:eastAsia="zh-CN" w:bidi="ar-SA"/>
                            </w:rPr>
                            <w:fldChar w:fldCharType="separate"/>
                          </w:r>
                          <w:r>
                            <w:rPr>
                              <w:rFonts w:ascii="宋体" w:hAnsi="Times New Roman" w:eastAsia="宋体" w:cs="Times New Roman"/>
                              <w:sz w:val="18"/>
                              <w:lang w:val="en-US" w:eastAsia="zh-CN" w:bidi="ar-SA"/>
                            </w:rPr>
                            <w:t>8</w:t>
                          </w:r>
                          <w:r>
                            <w:rPr>
                              <w:rFonts w:ascii="宋体" w:hAnsi="Times New Roman" w:eastAsia="宋体" w:cs="Times New Roman"/>
                              <w:sz w:val="18"/>
                              <w:lang w:val="en-US" w:eastAsia="zh-CN" w:bidi="ar-S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MCtmvAjAgAAOQQAAA4AAAAAAAAAAQAgAAAANQEAAGRycy9lMm9Eb2Mu&#10;eG1sUEsFBgAAAAAGAAYAWQEAAMo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bidi w:val="0"/>
                      <w:adjustRightInd/>
                      <w:snapToGrid/>
                      <w:ind w:left="0"/>
                      <w:textAlignment w:val="auto"/>
                      <w:rPr>
                        <w:rFonts w:ascii="宋体" w:hAnsi="Times New Roman" w:eastAsia="宋体" w:cs="Times New Roman"/>
                        <w:sz w:val="18"/>
                        <w:lang w:val="en-US" w:eastAsia="zh-CN" w:bidi="ar-SA"/>
                      </w:rPr>
                    </w:pPr>
                    <w:r>
                      <w:rPr>
                        <w:rFonts w:ascii="宋体" w:hAnsi="Times New Roman" w:eastAsia="宋体" w:cs="Times New Roman"/>
                        <w:sz w:val="18"/>
                        <w:lang w:val="en-US" w:eastAsia="zh-CN" w:bidi="ar-SA"/>
                      </w:rPr>
                      <w:fldChar w:fldCharType="begin"/>
                    </w:r>
                    <w:r>
                      <w:rPr>
                        <w:rFonts w:ascii="宋体" w:hAnsi="Times New Roman" w:eastAsia="宋体" w:cs="Times New Roman"/>
                        <w:sz w:val="18"/>
                        <w:lang w:val="en-US" w:eastAsia="zh-CN" w:bidi="ar-SA"/>
                      </w:rPr>
                      <w:instrText xml:space="preserve"> PAGE   \* MERGEFORMAT \* MERGEFORMAT </w:instrText>
                    </w:r>
                    <w:r>
                      <w:rPr>
                        <w:rFonts w:ascii="宋体" w:hAnsi="Times New Roman" w:eastAsia="宋体" w:cs="Times New Roman"/>
                        <w:sz w:val="18"/>
                        <w:lang w:val="en-US" w:eastAsia="zh-CN" w:bidi="ar-SA"/>
                      </w:rPr>
                      <w:fldChar w:fldCharType="separate"/>
                    </w:r>
                    <w:r>
                      <w:rPr>
                        <w:rFonts w:ascii="宋体" w:hAnsi="Times New Roman" w:eastAsia="宋体" w:cs="Times New Roman"/>
                        <w:sz w:val="18"/>
                        <w:lang w:val="en-US" w:eastAsia="zh-CN" w:bidi="ar-SA"/>
                      </w:rPr>
                      <w:t>8</w:t>
                    </w:r>
                    <w:r>
                      <w:rPr>
                        <w:rFonts w:ascii="宋体" w:hAnsi="Times New Roman" w:eastAsia="宋体" w:cs="Times New Roman"/>
                        <w:sz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TkRl0IgIAADk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k5EZdCICAAA5BAAADgAAAAAAAAABACAAAAA1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I</w:t>
                          </w:r>
                          <w:r>
                            <w:rPr>
                              <w:rFonts w:asciiTheme="minorEastAsia" w:hAnsiTheme="minor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uix5FQIAABsEAAAOAAAAZHJz&#10;L2Uyb0RvYy54bWytU8uO0zAU3SPxD5b3NGmBUV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vuix5FQIAABsEAAAOAAAAAAAAAAEAIAAAADUBAABkcnMvZTJvRG9jLnhtbFBLBQYAAAAABgAG&#10;AFkBAAC8BQAAAAA=&#10;">
              <v:fill on="f" focussize="0,0"/>
              <v:stroke on="f" weight="0.5pt"/>
              <v:imagedata o:title=""/>
              <o:lock v:ext="edit" aspectratio="f"/>
              <v:textbox inset="0mm,0mm,0mm,0mm" style="mso-fit-shape-to-text:t;">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I</w:t>
                    </w:r>
                    <w:r>
                      <w:rPr>
                        <w:rFonts w:asciiTheme="minorEastAsia" w:hAnsiTheme="minor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1</w:t>
                          </w:r>
                          <w:r>
                            <w:rPr>
                              <w:rFonts w:asciiTheme="minorEastAsia" w:hAnsiTheme="minor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1</w:t>
                    </w:r>
                    <w:r>
                      <w:rPr>
                        <w:rFonts w:asciiTheme="minorEastAsia" w:hAnsiTheme="minor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bidi w:val="0"/>
      <w:adjustRightInd/>
      <w:snapToGrid/>
      <w:spacing w:after="283"/>
      <w:jc w:val="right"/>
      <w:textAlignment w:val="auto"/>
      <w:rPr>
        <w:rStyle w:val="34"/>
        <w:rFonts w:ascii="黑体" w:hAnsi="黑体" w:eastAsia="黑体"/>
        <w:i w:val="0"/>
        <w:color w:val="808080" w:themeColor="text1" w:themeTint="80"/>
        <w14:textFill>
          <w14:solidFill>
            <w14:schemeClr w14:val="tx1">
              <w14:lumMod w14:val="50000"/>
              <w14:lumOff w14:val="50000"/>
            </w14:schemeClr>
          </w14:solidFill>
        </w14:textFill>
      </w:rPr>
    </w:pPr>
    <w:r>
      <w:ptab w:relativeTo="margin" w:alignment="right" w:leader="none"/>
    </w:r>
    <w:r>
      <w:rPr>
        <w:rFonts w:hint="eastAsia" w:ascii="黑体" w:hAnsi="黑体" w:eastAsia="黑体"/>
      </w:rPr>
      <w:t>DB32</w:t>
    </w:r>
    <w:r>
      <w:rPr>
        <w:rFonts w:ascii="黑体" w:hAnsi="黑体" w:eastAsia="黑体"/>
      </w:rPr>
      <w:t>05</w:t>
    </w:r>
    <w:r>
      <w:rPr>
        <w:rFonts w:hint="eastAsia" w:ascii="黑体" w:hAnsi="黑体" w:eastAsia="黑体"/>
      </w:rPr>
      <w:t>/T XXX—</w:t>
    </w:r>
    <w:r>
      <w:rPr>
        <w:rFonts w:hint="eastAsia" w:ascii="黑体" w:hAnsi="黑体" w:eastAsia="黑体"/>
        <w:lang w:eastAsia="zh-CN"/>
      </w:rPr>
      <w:t>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Fonts w:hint="eastAsia" w:ascii="黑体" w:hAnsi="黑体" w:eastAsia="黑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after="284"/>
      <w:jc w:val="right"/>
      <w:rPr>
        <w:rStyle w:val="34"/>
        <w:rFonts w:hint="eastAsia" w:ascii="黑体" w:hAnsi="黑体" w:eastAsia="黑体"/>
        <w:i w:val="0"/>
        <w:color w:val="808080" w:themeColor="text1" w:themeTint="80"/>
        <w:lang w:eastAsia="zh-CN"/>
        <w14:textFill>
          <w14:solidFill>
            <w14:schemeClr w14:val="tx1">
              <w14:lumMod w14:val="50000"/>
              <w14:lumOff w14:val="50000"/>
            </w14:schemeClr>
          </w14:solidFill>
        </w14:textFill>
      </w:rPr>
    </w:pPr>
    <w:r>
      <w:rPr>
        <w:rStyle w:val="34"/>
        <w:rFonts w:hint="eastAsia" w:ascii="黑体" w:hAnsi="黑体" w:eastAsia="黑体"/>
        <w:i w:val="0"/>
        <w:color w:val="808080" w:themeColor="text1" w:themeTint="80"/>
        <w14:textFill>
          <w14:solidFill>
            <w14:schemeClr w14:val="tx1">
              <w14:lumMod w14:val="50000"/>
              <w14:lumOff w14:val="50000"/>
            </w14:schemeClr>
          </w14:solidFill>
        </w14:textFill>
      </w:rPr>
      <w:t>DB32</w:t>
    </w:r>
    <w:r>
      <w:rPr>
        <w:rStyle w:val="34"/>
        <w:rFonts w:ascii="黑体" w:hAnsi="黑体" w:eastAsia="黑体"/>
        <w:i w:val="0"/>
        <w:color w:val="808080" w:themeColor="text1" w:themeTint="80"/>
        <w14:textFill>
          <w14:solidFill>
            <w14:schemeClr w14:val="tx1">
              <w14:lumMod w14:val="50000"/>
              <w14:lumOff w14:val="50000"/>
            </w14:schemeClr>
          </w14:solidFill>
        </w14:textFill>
      </w:rPr>
      <w:t>05</w:t>
    </w:r>
    <w:r>
      <w:rPr>
        <w:rStyle w:val="34"/>
        <w:rFonts w:hint="eastAsia" w:ascii="黑体" w:hAnsi="黑体" w:eastAsia="黑体"/>
        <w:i w:val="0"/>
        <w:color w:val="808080" w:themeColor="text1" w:themeTint="80"/>
        <w14:textFill>
          <w14:solidFill>
            <w14:schemeClr w14:val="tx1">
              <w14:lumMod w14:val="50000"/>
              <w14:lumOff w14:val="50000"/>
            </w14:schemeClr>
          </w14:solidFill>
        </w14:textFill>
      </w:rPr>
      <w:t>/T XXX—</w:t>
    </w:r>
    <w:r>
      <w:rPr>
        <w:rStyle w:val="34"/>
        <w:rFonts w:hint="eastAsia" w:ascii="黑体" w:hAnsi="黑体" w:eastAsia="黑体"/>
        <w:i w:val="0"/>
        <w:color w:val="808080" w:themeColor="text1" w:themeTint="80"/>
        <w:lang w:eastAsia="zh-CN"/>
        <w14:textFill>
          <w14:solidFill>
            <w14:schemeClr w14:val="tx1">
              <w14:lumMod w14:val="50000"/>
              <w14:lumOff w14:val="50000"/>
            </w14:schemeClr>
          </w14:solidFill>
        </w14:textFill>
      </w:rPr>
      <w:t>2024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Fonts w:hint="eastAsia" w:ascii="黑体" w:hAnsi="黑体" w:eastAsia="黑体"/>
        <w:lang w:eastAsia="zh-CN"/>
      </w:rPr>
    </w:pPr>
    <w:r>
      <w:ptab w:relativeTo="margin" w:alignment="left" w:leader="none"/>
    </w:r>
    <w:r>
      <w:rPr>
        <w:rFonts w:hint="eastAsia" w:ascii="黑体" w:hAnsi="黑体" w:eastAsia="黑体"/>
      </w:rPr>
      <w:t>DB32</w:t>
    </w:r>
    <w:r>
      <w:rPr>
        <w:rFonts w:ascii="黑体" w:hAnsi="黑体" w:eastAsia="黑体"/>
      </w:rPr>
      <w:t>05</w:t>
    </w:r>
    <w:r>
      <w:rPr>
        <w:rFonts w:hint="eastAsia" w:ascii="黑体" w:hAnsi="黑体" w:eastAsia="黑体"/>
      </w:rPr>
      <w:t>/T XXX—</w:t>
    </w:r>
    <w:r>
      <w:rPr>
        <w:rFonts w:hint="eastAsia" w:ascii="黑体" w:hAnsi="黑体" w:eastAsia="黑体"/>
        <w:lang w:eastAsia="zh-CN"/>
      </w:rPr>
      <w:t>2024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Fonts w:hint="eastAsia" w:ascii="黑体" w:hAnsi="黑体" w:eastAsia="黑体"/>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val="0"/>
      <w:snapToGrid w:val="0"/>
      <w:spacing w:after="283"/>
      <w:textAlignment w:val="auto"/>
      <w:rPr>
        <w:rFonts w:hint="eastAsia" w:ascii="黑体" w:hAnsi="黑体" w:eastAsia="黑体"/>
        <w:lang w:eastAsia="zh-CN"/>
      </w:rPr>
    </w:pPr>
    <w:r>
      <w:ptab w:relativeTo="margin" w:alignment="left" w:leader="none"/>
    </w:r>
    <w:r>
      <w:rPr>
        <w:rFonts w:hint="eastAsia" w:ascii="黑体" w:hAnsi="黑体" w:eastAsia="黑体"/>
      </w:rPr>
      <w:t>DB32</w:t>
    </w:r>
    <w:r>
      <w:rPr>
        <w:rFonts w:ascii="黑体" w:hAnsi="黑体" w:eastAsia="黑体"/>
      </w:rPr>
      <w:t>05</w:t>
    </w:r>
    <w:r>
      <w:rPr>
        <w:rFonts w:hint="eastAsia" w:ascii="黑体" w:hAnsi="黑体" w:eastAsia="黑体"/>
      </w:rPr>
      <w:t>/T XXX—</w:t>
    </w:r>
    <w:r>
      <w:rPr>
        <w:rFonts w:hint="eastAsia" w:ascii="黑体" w:hAnsi="黑体" w:eastAsia="黑体"/>
        <w:lang w:eastAsia="zh-CN"/>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49"/>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5EF0C26"/>
    <w:multiLevelType w:val="multilevel"/>
    <w:tmpl w:val="15EF0C26"/>
    <w:lvl w:ilvl="0" w:tentative="0">
      <w:start w:val="1"/>
      <w:numFmt w:val="lowerLetter"/>
      <w:pStyle w:val="55"/>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1FC91163"/>
    <w:multiLevelType w:val="multilevel"/>
    <w:tmpl w:val="1FC91163"/>
    <w:lvl w:ilvl="0" w:tentative="0">
      <w:start w:val="1"/>
      <w:numFmt w:val="decimal"/>
      <w:pStyle w:val="5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5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C5917C3"/>
    <w:multiLevelType w:val="multilevel"/>
    <w:tmpl w:val="2C5917C3"/>
    <w:lvl w:ilvl="0" w:tentative="0">
      <w:start w:val="1"/>
      <w:numFmt w:val="none"/>
      <w:suff w:val="nothing"/>
      <w:lvlText w:val="%1——"/>
      <w:lvlJc w:val="left"/>
      <w:pPr>
        <w:ind w:left="833" w:hanging="408"/>
      </w:pPr>
      <w:rPr>
        <w:rFonts w:hint="eastAsia"/>
        <w:lang w:val="en-US"/>
      </w:rPr>
    </w:lvl>
    <w:lvl w:ilvl="1" w:tentative="0">
      <w:start w:val="1"/>
      <w:numFmt w:val="bullet"/>
      <w:pStyle w:val="56"/>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48802D1C"/>
    <w:multiLevelType w:val="multilevel"/>
    <w:tmpl w:val="48802D1C"/>
    <w:lvl w:ilvl="0" w:tentative="0">
      <w:start w:val="1"/>
      <w:numFmt w:val="upperLetter"/>
      <w:lvlText w:val="%1"/>
      <w:lvlJc w:val="left"/>
      <w:pPr>
        <w:ind w:left="420" w:hanging="420"/>
      </w:pPr>
      <w:rPr>
        <w:rFonts w:hint="eastAsia"/>
      </w:rPr>
    </w:lvl>
    <w:lvl w:ilvl="1" w:tentative="0">
      <w:start w:val="1"/>
      <w:numFmt w:val="decimal"/>
      <w:pStyle w:val="7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646260FA"/>
    <w:multiLevelType w:val="multilevel"/>
    <w:tmpl w:val="646260FA"/>
    <w:lvl w:ilvl="0" w:tentative="0">
      <w:start w:val="1"/>
      <w:numFmt w:val="decimal"/>
      <w:pStyle w:val="6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tentative="0">
      <w:start w:val="1"/>
      <w:numFmt w:val="upperLetter"/>
      <w:pStyle w:val="59"/>
      <w:suff w:val="nothing"/>
      <w:lvlText w:val="附　录　%1"/>
      <w:lvlJc w:val="left"/>
      <w:pPr>
        <w:ind w:left="4410" w:firstLine="0"/>
      </w:pPr>
      <w:rPr>
        <w:rFonts w:hint="eastAsia" w:ascii="黑体" w:hAnsi="Times New Roman" w:eastAsia="黑体"/>
        <w:b w:val="0"/>
        <w:i w:val="0"/>
        <w:spacing w:val="0"/>
        <w:w w:val="100"/>
        <w:sz w:val="21"/>
      </w:rPr>
    </w:lvl>
    <w:lvl w:ilvl="1" w:tentative="0">
      <w:start w:val="1"/>
      <w:numFmt w:val="decimal"/>
      <w:pStyle w:val="73"/>
      <w:suff w:val="nothing"/>
      <w:lvlText w:val="%1.%2　"/>
      <w:lvlJc w:val="left"/>
      <w:pPr>
        <w:ind w:left="44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4410" w:firstLine="0"/>
      </w:pPr>
      <w:rPr>
        <w:rFonts w:hint="eastAsia" w:ascii="黑体" w:hAnsi="Times New Roman" w:eastAsia="黑体"/>
        <w:b w:val="0"/>
        <w:i w:val="0"/>
        <w:sz w:val="21"/>
      </w:rPr>
    </w:lvl>
    <w:lvl w:ilvl="3" w:tentative="0">
      <w:start w:val="1"/>
      <w:numFmt w:val="decimal"/>
      <w:suff w:val="nothing"/>
      <w:lvlText w:val="%1.%2.%3.%4　"/>
      <w:lvlJc w:val="left"/>
      <w:pPr>
        <w:ind w:left="4410" w:firstLine="0"/>
      </w:pPr>
      <w:rPr>
        <w:rFonts w:hint="eastAsia" w:ascii="黑体" w:hAnsi="Times New Roman" w:eastAsia="黑体"/>
        <w:b w:val="0"/>
        <w:i w:val="0"/>
        <w:sz w:val="21"/>
      </w:rPr>
    </w:lvl>
    <w:lvl w:ilvl="4" w:tentative="0">
      <w:start w:val="1"/>
      <w:numFmt w:val="decimal"/>
      <w:suff w:val="nothing"/>
      <w:lvlText w:val="%1.%2.%3.%4.%5　"/>
      <w:lvlJc w:val="left"/>
      <w:pPr>
        <w:ind w:left="4410" w:firstLine="0"/>
      </w:pPr>
      <w:rPr>
        <w:rFonts w:hint="eastAsia" w:ascii="黑体" w:hAnsi="Times New Roman" w:eastAsia="黑体"/>
        <w:b w:val="0"/>
        <w:i w:val="0"/>
        <w:sz w:val="21"/>
      </w:rPr>
    </w:lvl>
    <w:lvl w:ilvl="5" w:tentative="0">
      <w:start w:val="1"/>
      <w:numFmt w:val="decimal"/>
      <w:suff w:val="nothing"/>
      <w:lvlText w:val="%1.%2.%3.%4.%5.%6　"/>
      <w:lvlJc w:val="left"/>
      <w:pPr>
        <w:ind w:left="4410" w:firstLine="0"/>
      </w:pPr>
      <w:rPr>
        <w:rFonts w:hint="eastAsia" w:ascii="黑体" w:hAnsi="Times New Roman" w:eastAsia="黑体"/>
        <w:b w:val="0"/>
        <w:i w:val="0"/>
        <w:sz w:val="21"/>
      </w:rPr>
    </w:lvl>
    <w:lvl w:ilvl="6" w:tentative="0">
      <w:start w:val="1"/>
      <w:numFmt w:val="decimal"/>
      <w:suff w:val="nothing"/>
      <w:lvlText w:val="%1.%2.%3.%4.%5.%6.%7　"/>
      <w:lvlJc w:val="left"/>
      <w:pPr>
        <w:ind w:left="441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8804" w:hanging="1418"/>
      </w:pPr>
      <w:rPr>
        <w:rFonts w:hint="eastAsia"/>
      </w:rPr>
    </w:lvl>
    <w:lvl w:ilvl="8" w:tentative="0">
      <w:start w:val="1"/>
      <w:numFmt w:val="decimal"/>
      <w:lvlText w:val="%1.%2.%3.%4.%5.%6.%7.%8.%9"/>
      <w:lvlJc w:val="left"/>
      <w:pPr>
        <w:tabs>
          <w:tab w:val="left" w:pos="5102"/>
        </w:tabs>
        <w:ind w:left="9512" w:hanging="1700"/>
      </w:pPr>
      <w:rPr>
        <w:rFonts w:hint="eastAsia"/>
      </w:rPr>
    </w:lvl>
  </w:abstractNum>
  <w:abstractNum w:abstractNumId="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66"/>
      <w:suff w:val="nothing"/>
      <w:lvlText w:val="%1%2　"/>
      <w:lvlJc w:val="left"/>
      <w:pPr>
        <w:ind w:left="0" w:firstLine="0"/>
      </w:pPr>
      <w:rPr>
        <w:rFonts w:hint="eastAsia" w:ascii="黑体" w:eastAsia="黑体"/>
        <w:b w:val="0"/>
        <w:i w:val="0"/>
        <w:sz w:val="21"/>
      </w:rPr>
    </w:lvl>
    <w:lvl w:ilvl="2" w:tentative="0">
      <w:start w:val="1"/>
      <w:numFmt w:val="decimal"/>
      <w:pStyle w:val="6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2"/>
  </w:num>
  <w:num w:numId="3">
    <w:abstractNumId w:val="1"/>
  </w:num>
  <w:num w:numId="4">
    <w:abstractNumId w:val="3"/>
  </w:num>
  <w:num w:numId="5">
    <w:abstractNumId w:val="8"/>
  </w:num>
  <w:num w:numId="6">
    <w:abstractNumId w:val="6"/>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true"/>
  <w:bordersDoNotSurroundHeader w:val="false"/>
  <w:bordersDoNotSurroundFooter w:val="false"/>
  <w:documentProtection w:edit="trackedChanges"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YmFmZDBmMTAxMmFkNTVhMzIxYzJlZWUzN2QwYTMifQ=="/>
    <w:docVar w:name="KSO_WPS_MARK_KEY" w:val="52548aae-2002-4139-9182-7b8689647ee4"/>
  </w:docVars>
  <w:rsids>
    <w:rsidRoot w:val="002C4A7A"/>
    <w:rsid w:val="00000C6F"/>
    <w:rsid w:val="00002D7A"/>
    <w:rsid w:val="00005817"/>
    <w:rsid w:val="00013861"/>
    <w:rsid w:val="000173A8"/>
    <w:rsid w:val="0001746B"/>
    <w:rsid w:val="00031630"/>
    <w:rsid w:val="0003782B"/>
    <w:rsid w:val="000505F8"/>
    <w:rsid w:val="000511AD"/>
    <w:rsid w:val="0005686E"/>
    <w:rsid w:val="00056E11"/>
    <w:rsid w:val="0006343E"/>
    <w:rsid w:val="00065304"/>
    <w:rsid w:val="00071463"/>
    <w:rsid w:val="00074CE1"/>
    <w:rsid w:val="00075ADA"/>
    <w:rsid w:val="00081105"/>
    <w:rsid w:val="000814DC"/>
    <w:rsid w:val="0009093B"/>
    <w:rsid w:val="0009104A"/>
    <w:rsid w:val="00092A3E"/>
    <w:rsid w:val="000944B1"/>
    <w:rsid w:val="000946C9"/>
    <w:rsid w:val="0009741B"/>
    <w:rsid w:val="000A05E2"/>
    <w:rsid w:val="000B1AD2"/>
    <w:rsid w:val="000B5222"/>
    <w:rsid w:val="000C1F9F"/>
    <w:rsid w:val="000D3EF6"/>
    <w:rsid w:val="000D5C84"/>
    <w:rsid w:val="000E084D"/>
    <w:rsid w:val="000E4AD1"/>
    <w:rsid w:val="000F2CB4"/>
    <w:rsid w:val="001103A2"/>
    <w:rsid w:val="00110D5E"/>
    <w:rsid w:val="00110EC6"/>
    <w:rsid w:val="00112AF7"/>
    <w:rsid w:val="00113409"/>
    <w:rsid w:val="001202C0"/>
    <w:rsid w:val="00120961"/>
    <w:rsid w:val="0012099B"/>
    <w:rsid w:val="00133094"/>
    <w:rsid w:val="0014534C"/>
    <w:rsid w:val="001462B7"/>
    <w:rsid w:val="00147278"/>
    <w:rsid w:val="00147564"/>
    <w:rsid w:val="00147A7E"/>
    <w:rsid w:val="00147F7E"/>
    <w:rsid w:val="001516E1"/>
    <w:rsid w:val="0015700F"/>
    <w:rsid w:val="0016095C"/>
    <w:rsid w:val="0016154E"/>
    <w:rsid w:val="001720FB"/>
    <w:rsid w:val="00173651"/>
    <w:rsid w:val="0017564C"/>
    <w:rsid w:val="00175A7C"/>
    <w:rsid w:val="001760F7"/>
    <w:rsid w:val="00176E61"/>
    <w:rsid w:val="00195C90"/>
    <w:rsid w:val="0019613E"/>
    <w:rsid w:val="001A1683"/>
    <w:rsid w:val="001A2848"/>
    <w:rsid w:val="001A2A72"/>
    <w:rsid w:val="001A2CD6"/>
    <w:rsid w:val="001B007D"/>
    <w:rsid w:val="001B0CF3"/>
    <w:rsid w:val="001B3AC1"/>
    <w:rsid w:val="001C0F5C"/>
    <w:rsid w:val="001C10DE"/>
    <w:rsid w:val="001C3415"/>
    <w:rsid w:val="001C4DED"/>
    <w:rsid w:val="001C7FB4"/>
    <w:rsid w:val="001D0910"/>
    <w:rsid w:val="001D2F2F"/>
    <w:rsid w:val="001D2F99"/>
    <w:rsid w:val="001D48D0"/>
    <w:rsid w:val="001D70CD"/>
    <w:rsid w:val="001E0871"/>
    <w:rsid w:val="001E3D11"/>
    <w:rsid w:val="001E4804"/>
    <w:rsid w:val="001E7BD6"/>
    <w:rsid w:val="001F47C8"/>
    <w:rsid w:val="00211953"/>
    <w:rsid w:val="002209AC"/>
    <w:rsid w:val="00220A99"/>
    <w:rsid w:val="00222A27"/>
    <w:rsid w:val="00223A5B"/>
    <w:rsid w:val="00223BD4"/>
    <w:rsid w:val="00230CF6"/>
    <w:rsid w:val="00230F2F"/>
    <w:rsid w:val="00247720"/>
    <w:rsid w:val="00251127"/>
    <w:rsid w:val="00251550"/>
    <w:rsid w:val="002517ED"/>
    <w:rsid w:val="00262444"/>
    <w:rsid w:val="00276A28"/>
    <w:rsid w:val="002829F1"/>
    <w:rsid w:val="0028337F"/>
    <w:rsid w:val="00285357"/>
    <w:rsid w:val="00286986"/>
    <w:rsid w:val="00290F18"/>
    <w:rsid w:val="00293BD3"/>
    <w:rsid w:val="002950A9"/>
    <w:rsid w:val="00296094"/>
    <w:rsid w:val="002A2A23"/>
    <w:rsid w:val="002A4D51"/>
    <w:rsid w:val="002A5A01"/>
    <w:rsid w:val="002A5BCE"/>
    <w:rsid w:val="002B3E52"/>
    <w:rsid w:val="002B5800"/>
    <w:rsid w:val="002C253D"/>
    <w:rsid w:val="002C3A09"/>
    <w:rsid w:val="002C4A7A"/>
    <w:rsid w:val="002C57A0"/>
    <w:rsid w:val="002C639A"/>
    <w:rsid w:val="002D2351"/>
    <w:rsid w:val="002D38F3"/>
    <w:rsid w:val="002D49DC"/>
    <w:rsid w:val="002D54BC"/>
    <w:rsid w:val="002E5B5C"/>
    <w:rsid w:val="002F2052"/>
    <w:rsid w:val="002F2C23"/>
    <w:rsid w:val="002F3CCA"/>
    <w:rsid w:val="00301D6E"/>
    <w:rsid w:val="0030224A"/>
    <w:rsid w:val="00302D0D"/>
    <w:rsid w:val="00304C82"/>
    <w:rsid w:val="00311B67"/>
    <w:rsid w:val="0031322E"/>
    <w:rsid w:val="00317DB9"/>
    <w:rsid w:val="00327834"/>
    <w:rsid w:val="00330DE3"/>
    <w:rsid w:val="00334B35"/>
    <w:rsid w:val="00334DA4"/>
    <w:rsid w:val="00335ABA"/>
    <w:rsid w:val="00340030"/>
    <w:rsid w:val="00340CAC"/>
    <w:rsid w:val="003422C6"/>
    <w:rsid w:val="003438AA"/>
    <w:rsid w:val="00344E14"/>
    <w:rsid w:val="0034543B"/>
    <w:rsid w:val="00346C04"/>
    <w:rsid w:val="00354DAE"/>
    <w:rsid w:val="00355096"/>
    <w:rsid w:val="003568F1"/>
    <w:rsid w:val="00362FF0"/>
    <w:rsid w:val="003662BC"/>
    <w:rsid w:val="00366DB7"/>
    <w:rsid w:val="00367200"/>
    <w:rsid w:val="0037136A"/>
    <w:rsid w:val="003720DC"/>
    <w:rsid w:val="00375FCF"/>
    <w:rsid w:val="00387FF8"/>
    <w:rsid w:val="00393266"/>
    <w:rsid w:val="003A0DBB"/>
    <w:rsid w:val="003A238B"/>
    <w:rsid w:val="003B6878"/>
    <w:rsid w:val="003C0E5B"/>
    <w:rsid w:val="003C2C65"/>
    <w:rsid w:val="003C31B0"/>
    <w:rsid w:val="003D0151"/>
    <w:rsid w:val="003D13FA"/>
    <w:rsid w:val="003D1497"/>
    <w:rsid w:val="003E0580"/>
    <w:rsid w:val="003E28CE"/>
    <w:rsid w:val="003F714F"/>
    <w:rsid w:val="00407B9E"/>
    <w:rsid w:val="00417738"/>
    <w:rsid w:val="0042003E"/>
    <w:rsid w:val="004212D3"/>
    <w:rsid w:val="00422051"/>
    <w:rsid w:val="0042333A"/>
    <w:rsid w:val="00426BC8"/>
    <w:rsid w:val="00430DD2"/>
    <w:rsid w:val="004426FC"/>
    <w:rsid w:val="0044581A"/>
    <w:rsid w:val="00451407"/>
    <w:rsid w:val="00451847"/>
    <w:rsid w:val="00454031"/>
    <w:rsid w:val="0045451F"/>
    <w:rsid w:val="004574AE"/>
    <w:rsid w:val="004610BF"/>
    <w:rsid w:val="00471508"/>
    <w:rsid w:val="004926A0"/>
    <w:rsid w:val="00495E4E"/>
    <w:rsid w:val="004A0644"/>
    <w:rsid w:val="004A132F"/>
    <w:rsid w:val="004A6AB6"/>
    <w:rsid w:val="004B01AE"/>
    <w:rsid w:val="004B12F5"/>
    <w:rsid w:val="004B2D06"/>
    <w:rsid w:val="004B540D"/>
    <w:rsid w:val="004C2F70"/>
    <w:rsid w:val="004C5E71"/>
    <w:rsid w:val="004D09E4"/>
    <w:rsid w:val="004D424C"/>
    <w:rsid w:val="004D5B9A"/>
    <w:rsid w:val="004E01DA"/>
    <w:rsid w:val="004E3E2D"/>
    <w:rsid w:val="004E4186"/>
    <w:rsid w:val="004E4DE6"/>
    <w:rsid w:val="004F0C75"/>
    <w:rsid w:val="004F3DCC"/>
    <w:rsid w:val="00506EF4"/>
    <w:rsid w:val="005102EF"/>
    <w:rsid w:val="00510EBE"/>
    <w:rsid w:val="005122CD"/>
    <w:rsid w:val="00520237"/>
    <w:rsid w:val="00523728"/>
    <w:rsid w:val="00524CE2"/>
    <w:rsid w:val="0053086A"/>
    <w:rsid w:val="00534D92"/>
    <w:rsid w:val="00536AD1"/>
    <w:rsid w:val="00540818"/>
    <w:rsid w:val="00542910"/>
    <w:rsid w:val="00546657"/>
    <w:rsid w:val="00554600"/>
    <w:rsid w:val="0055478B"/>
    <w:rsid w:val="005606B4"/>
    <w:rsid w:val="00563D0F"/>
    <w:rsid w:val="005701EA"/>
    <w:rsid w:val="00575480"/>
    <w:rsid w:val="00591331"/>
    <w:rsid w:val="005928C2"/>
    <w:rsid w:val="00596070"/>
    <w:rsid w:val="005A2C7F"/>
    <w:rsid w:val="005A4975"/>
    <w:rsid w:val="005A60AC"/>
    <w:rsid w:val="005B6D29"/>
    <w:rsid w:val="005C370B"/>
    <w:rsid w:val="005E015F"/>
    <w:rsid w:val="005E1CA7"/>
    <w:rsid w:val="005F2DCC"/>
    <w:rsid w:val="005F5CFF"/>
    <w:rsid w:val="00600F7C"/>
    <w:rsid w:val="006045C0"/>
    <w:rsid w:val="00610AF4"/>
    <w:rsid w:val="00613357"/>
    <w:rsid w:val="00616AFA"/>
    <w:rsid w:val="00621AD2"/>
    <w:rsid w:val="00626507"/>
    <w:rsid w:val="0062656D"/>
    <w:rsid w:val="00633884"/>
    <w:rsid w:val="00635FE2"/>
    <w:rsid w:val="00637850"/>
    <w:rsid w:val="00640CD9"/>
    <w:rsid w:val="00646C9D"/>
    <w:rsid w:val="006476F3"/>
    <w:rsid w:val="0065660B"/>
    <w:rsid w:val="00662568"/>
    <w:rsid w:val="006738FB"/>
    <w:rsid w:val="00673C24"/>
    <w:rsid w:val="006763FD"/>
    <w:rsid w:val="006839CD"/>
    <w:rsid w:val="006867E4"/>
    <w:rsid w:val="00686AB4"/>
    <w:rsid w:val="00687FF9"/>
    <w:rsid w:val="00694817"/>
    <w:rsid w:val="00695FD6"/>
    <w:rsid w:val="006965B2"/>
    <w:rsid w:val="00697323"/>
    <w:rsid w:val="006A3A00"/>
    <w:rsid w:val="006A587D"/>
    <w:rsid w:val="006B00F8"/>
    <w:rsid w:val="006B0EDD"/>
    <w:rsid w:val="006B4E4A"/>
    <w:rsid w:val="006D1713"/>
    <w:rsid w:val="006D3593"/>
    <w:rsid w:val="006D384B"/>
    <w:rsid w:val="006D7F23"/>
    <w:rsid w:val="006E42DF"/>
    <w:rsid w:val="006E6B90"/>
    <w:rsid w:val="00705B6D"/>
    <w:rsid w:val="0070744F"/>
    <w:rsid w:val="007078CB"/>
    <w:rsid w:val="00711444"/>
    <w:rsid w:val="00716D47"/>
    <w:rsid w:val="00717C25"/>
    <w:rsid w:val="00720335"/>
    <w:rsid w:val="00721D42"/>
    <w:rsid w:val="00723CE8"/>
    <w:rsid w:val="00724CC3"/>
    <w:rsid w:val="00732CFF"/>
    <w:rsid w:val="00732DD3"/>
    <w:rsid w:val="00733FAB"/>
    <w:rsid w:val="00734A6B"/>
    <w:rsid w:val="00736BCB"/>
    <w:rsid w:val="007373F7"/>
    <w:rsid w:val="007404DC"/>
    <w:rsid w:val="0074159C"/>
    <w:rsid w:val="0074173E"/>
    <w:rsid w:val="00741CBE"/>
    <w:rsid w:val="00743636"/>
    <w:rsid w:val="00751B91"/>
    <w:rsid w:val="00754A67"/>
    <w:rsid w:val="007569D0"/>
    <w:rsid w:val="00762676"/>
    <w:rsid w:val="007667E9"/>
    <w:rsid w:val="007747B0"/>
    <w:rsid w:val="00775703"/>
    <w:rsid w:val="0077630C"/>
    <w:rsid w:val="00777F91"/>
    <w:rsid w:val="00784961"/>
    <w:rsid w:val="007906E7"/>
    <w:rsid w:val="00790CFC"/>
    <w:rsid w:val="00793C9B"/>
    <w:rsid w:val="007A262B"/>
    <w:rsid w:val="007A325E"/>
    <w:rsid w:val="007B71FE"/>
    <w:rsid w:val="007B7740"/>
    <w:rsid w:val="007C5205"/>
    <w:rsid w:val="007C6FAF"/>
    <w:rsid w:val="007C72D7"/>
    <w:rsid w:val="007D209B"/>
    <w:rsid w:val="007D6D20"/>
    <w:rsid w:val="007D77B7"/>
    <w:rsid w:val="007E1F24"/>
    <w:rsid w:val="007E451F"/>
    <w:rsid w:val="007F0AD4"/>
    <w:rsid w:val="007F0CE2"/>
    <w:rsid w:val="007F3D33"/>
    <w:rsid w:val="007F7E53"/>
    <w:rsid w:val="008029D3"/>
    <w:rsid w:val="008034D8"/>
    <w:rsid w:val="00803B33"/>
    <w:rsid w:val="0080474D"/>
    <w:rsid w:val="00804961"/>
    <w:rsid w:val="008062A9"/>
    <w:rsid w:val="0081659D"/>
    <w:rsid w:val="008204BD"/>
    <w:rsid w:val="00820C60"/>
    <w:rsid w:val="00822BEB"/>
    <w:rsid w:val="008237E6"/>
    <w:rsid w:val="00823FD0"/>
    <w:rsid w:val="008338C4"/>
    <w:rsid w:val="00842185"/>
    <w:rsid w:val="008423AD"/>
    <w:rsid w:val="00844C83"/>
    <w:rsid w:val="0084707B"/>
    <w:rsid w:val="0085002F"/>
    <w:rsid w:val="0085316A"/>
    <w:rsid w:val="008570AF"/>
    <w:rsid w:val="008601C4"/>
    <w:rsid w:val="0086279F"/>
    <w:rsid w:val="00864F8B"/>
    <w:rsid w:val="00866D54"/>
    <w:rsid w:val="00867DB6"/>
    <w:rsid w:val="0087171A"/>
    <w:rsid w:val="00871E5F"/>
    <w:rsid w:val="00874360"/>
    <w:rsid w:val="00874E16"/>
    <w:rsid w:val="008778D8"/>
    <w:rsid w:val="008823C4"/>
    <w:rsid w:val="00885586"/>
    <w:rsid w:val="00886D2A"/>
    <w:rsid w:val="00892FE8"/>
    <w:rsid w:val="008A525F"/>
    <w:rsid w:val="008A778B"/>
    <w:rsid w:val="008A7A04"/>
    <w:rsid w:val="008B2AA1"/>
    <w:rsid w:val="008B4744"/>
    <w:rsid w:val="008B4CD3"/>
    <w:rsid w:val="008C1198"/>
    <w:rsid w:val="008C23EA"/>
    <w:rsid w:val="008C6DE2"/>
    <w:rsid w:val="008C754A"/>
    <w:rsid w:val="008D32D9"/>
    <w:rsid w:val="008D50F3"/>
    <w:rsid w:val="008D6AC9"/>
    <w:rsid w:val="008E1D3D"/>
    <w:rsid w:val="008E73CE"/>
    <w:rsid w:val="008F7846"/>
    <w:rsid w:val="00900625"/>
    <w:rsid w:val="00900D6C"/>
    <w:rsid w:val="00902C03"/>
    <w:rsid w:val="009056B3"/>
    <w:rsid w:val="00905EC8"/>
    <w:rsid w:val="00906EE2"/>
    <w:rsid w:val="00912AA0"/>
    <w:rsid w:val="00914E1E"/>
    <w:rsid w:val="0092183B"/>
    <w:rsid w:val="00922FAC"/>
    <w:rsid w:val="009304BF"/>
    <w:rsid w:val="00932FD3"/>
    <w:rsid w:val="00941A12"/>
    <w:rsid w:val="00941B18"/>
    <w:rsid w:val="009449CC"/>
    <w:rsid w:val="00945592"/>
    <w:rsid w:val="00953360"/>
    <w:rsid w:val="009534B7"/>
    <w:rsid w:val="0095703E"/>
    <w:rsid w:val="0096181B"/>
    <w:rsid w:val="00961EC7"/>
    <w:rsid w:val="00970C6E"/>
    <w:rsid w:val="00975728"/>
    <w:rsid w:val="00992159"/>
    <w:rsid w:val="0099488E"/>
    <w:rsid w:val="009956AD"/>
    <w:rsid w:val="00996CA4"/>
    <w:rsid w:val="009A18CB"/>
    <w:rsid w:val="009A67D7"/>
    <w:rsid w:val="009A7D1D"/>
    <w:rsid w:val="009B2735"/>
    <w:rsid w:val="009B5AFA"/>
    <w:rsid w:val="009B6DC7"/>
    <w:rsid w:val="009B7156"/>
    <w:rsid w:val="009C15D7"/>
    <w:rsid w:val="009C71D1"/>
    <w:rsid w:val="009D11D8"/>
    <w:rsid w:val="009D27A6"/>
    <w:rsid w:val="009D5852"/>
    <w:rsid w:val="009E229D"/>
    <w:rsid w:val="009E4501"/>
    <w:rsid w:val="009F022A"/>
    <w:rsid w:val="009F25EB"/>
    <w:rsid w:val="009F4144"/>
    <w:rsid w:val="009F655E"/>
    <w:rsid w:val="00A0144F"/>
    <w:rsid w:val="00A0565D"/>
    <w:rsid w:val="00A0685D"/>
    <w:rsid w:val="00A06B8F"/>
    <w:rsid w:val="00A129D5"/>
    <w:rsid w:val="00A25BFF"/>
    <w:rsid w:val="00A26884"/>
    <w:rsid w:val="00A27283"/>
    <w:rsid w:val="00A2795C"/>
    <w:rsid w:val="00A31209"/>
    <w:rsid w:val="00A32E92"/>
    <w:rsid w:val="00A35EAE"/>
    <w:rsid w:val="00A415A9"/>
    <w:rsid w:val="00A421AD"/>
    <w:rsid w:val="00A516F3"/>
    <w:rsid w:val="00A52074"/>
    <w:rsid w:val="00A561C6"/>
    <w:rsid w:val="00A62CE9"/>
    <w:rsid w:val="00A634E6"/>
    <w:rsid w:val="00A66329"/>
    <w:rsid w:val="00A7056C"/>
    <w:rsid w:val="00A713B5"/>
    <w:rsid w:val="00A72B72"/>
    <w:rsid w:val="00A73768"/>
    <w:rsid w:val="00A87B13"/>
    <w:rsid w:val="00A92BF9"/>
    <w:rsid w:val="00A96125"/>
    <w:rsid w:val="00AA0DC4"/>
    <w:rsid w:val="00AA377C"/>
    <w:rsid w:val="00AA425D"/>
    <w:rsid w:val="00AB2CAF"/>
    <w:rsid w:val="00AB64F6"/>
    <w:rsid w:val="00AD00A8"/>
    <w:rsid w:val="00AD428E"/>
    <w:rsid w:val="00AD74A7"/>
    <w:rsid w:val="00AE49BE"/>
    <w:rsid w:val="00AE55AC"/>
    <w:rsid w:val="00AE5F8A"/>
    <w:rsid w:val="00AF53DB"/>
    <w:rsid w:val="00AF7AFE"/>
    <w:rsid w:val="00B01237"/>
    <w:rsid w:val="00B02086"/>
    <w:rsid w:val="00B06017"/>
    <w:rsid w:val="00B10919"/>
    <w:rsid w:val="00B1286A"/>
    <w:rsid w:val="00B1318E"/>
    <w:rsid w:val="00B17747"/>
    <w:rsid w:val="00B21CF9"/>
    <w:rsid w:val="00B309C2"/>
    <w:rsid w:val="00B319F3"/>
    <w:rsid w:val="00B33754"/>
    <w:rsid w:val="00B36BE0"/>
    <w:rsid w:val="00B37391"/>
    <w:rsid w:val="00B42D11"/>
    <w:rsid w:val="00B42FF5"/>
    <w:rsid w:val="00B450A3"/>
    <w:rsid w:val="00B61230"/>
    <w:rsid w:val="00B61250"/>
    <w:rsid w:val="00B618E8"/>
    <w:rsid w:val="00B634DB"/>
    <w:rsid w:val="00B64FF7"/>
    <w:rsid w:val="00B66014"/>
    <w:rsid w:val="00B759FB"/>
    <w:rsid w:val="00B857D0"/>
    <w:rsid w:val="00B97265"/>
    <w:rsid w:val="00BA4CDD"/>
    <w:rsid w:val="00BA70BA"/>
    <w:rsid w:val="00BA7E3E"/>
    <w:rsid w:val="00BB0517"/>
    <w:rsid w:val="00BC34A7"/>
    <w:rsid w:val="00BC6585"/>
    <w:rsid w:val="00BC76F2"/>
    <w:rsid w:val="00BD3F71"/>
    <w:rsid w:val="00BD44B5"/>
    <w:rsid w:val="00BE3C8C"/>
    <w:rsid w:val="00BE537A"/>
    <w:rsid w:val="00BE6581"/>
    <w:rsid w:val="00BF4AEF"/>
    <w:rsid w:val="00C042FA"/>
    <w:rsid w:val="00C1161C"/>
    <w:rsid w:val="00C16AD7"/>
    <w:rsid w:val="00C20320"/>
    <w:rsid w:val="00C2384C"/>
    <w:rsid w:val="00C245B1"/>
    <w:rsid w:val="00C27A7C"/>
    <w:rsid w:val="00C30043"/>
    <w:rsid w:val="00C33755"/>
    <w:rsid w:val="00C34933"/>
    <w:rsid w:val="00C40C1D"/>
    <w:rsid w:val="00C40E79"/>
    <w:rsid w:val="00C42E3C"/>
    <w:rsid w:val="00C45C14"/>
    <w:rsid w:val="00C462F3"/>
    <w:rsid w:val="00C46ADD"/>
    <w:rsid w:val="00C477F2"/>
    <w:rsid w:val="00C47CFD"/>
    <w:rsid w:val="00C50974"/>
    <w:rsid w:val="00C51190"/>
    <w:rsid w:val="00C624AE"/>
    <w:rsid w:val="00C657CE"/>
    <w:rsid w:val="00C65B45"/>
    <w:rsid w:val="00C672AB"/>
    <w:rsid w:val="00C67BC0"/>
    <w:rsid w:val="00C7008A"/>
    <w:rsid w:val="00C72B93"/>
    <w:rsid w:val="00C7460A"/>
    <w:rsid w:val="00C774B2"/>
    <w:rsid w:val="00C83947"/>
    <w:rsid w:val="00C84D5C"/>
    <w:rsid w:val="00C91A53"/>
    <w:rsid w:val="00C93A0F"/>
    <w:rsid w:val="00C93CF3"/>
    <w:rsid w:val="00CA2979"/>
    <w:rsid w:val="00CA3ECD"/>
    <w:rsid w:val="00CA5E90"/>
    <w:rsid w:val="00CB084A"/>
    <w:rsid w:val="00CB251A"/>
    <w:rsid w:val="00CB69C0"/>
    <w:rsid w:val="00CB6A26"/>
    <w:rsid w:val="00CC212B"/>
    <w:rsid w:val="00CE0575"/>
    <w:rsid w:val="00CE1209"/>
    <w:rsid w:val="00CE274E"/>
    <w:rsid w:val="00CE5A6D"/>
    <w:rsid w:val="00CF2291"/>
    <w:rsid w:val="00D069E0"/>
    <w:rsid w:val="00D137EA"/>
    <w:rsid w:val="00D169F2"/>
    <w:rsid w:val="00D20D83"/>
    <w:rsid w:val="00D2420F"/>
    <w:rsid w:val="00D256C0"/>
    <w:rsid w:val="00D32A80"/>
    <w:rsid w:val="00D403C5"/>
    <w:rsid w:val="00D4585F"/>
    <w:rsid w:val="00D47CAE"/>
    <w:rsid w:val="00D50BA3"/>
    <w:rsid w:val="00D53255"/>
    <w:rsid w:val="00D6138F"/>
    <w:rsid w:val="00D624B9"/>
    <w:rsid w:val="00D6371B"/>
    <w:rsid w:val="00D642F5"/>
    <w:rsid w:val="00D7138D"/>
    <w:rsid w:val="00D7526C"/>
    <w:rsid w:val="00D77234"/>
    <w:rsid w:val="00D80501"/>
    <w:rsid w:val="00D81394"/>
    <w:rsid w:val="00D85470"/>
    <w:rsid w:val="00D86D72"/>
    <w:rsid w:val="00D914B1"/>
    <w:rsid w:val="00D91668"/>
    <w:rsid w:val="00D965AB"/>
    <w:rsid w:val="00D965BD"/>
    <w:rsid w:val="00DA7326"/>
    <w:rsid w:val="00DB3696"/>
    <w:rsid w:val="00DC418F"/>
    <w:rsid w:val="00DD4EC4"/>
    <w:rsid w:val="00DD5468"/>
    <w:rsid w:val="00DD6F40"/>
    <w:rsid w:val="00DE201D"/>
    <w:rsid w:val="00DF1EBF"/>
    <w:rsid w:val="00DF29FB"/>
    <w:rsid w:val="00DF3B2F"/>
    <w:rsid w:val="00DF48F2"/>
    <w:rsid w:val="00DF4BB1"/>
    <w:rsid w:val="00E0028F"/>
    <w:rsid w:val="00E0383F"/>
    <w:rsid w:val="00E03A13"/>
    <w:rsid w:val="00E03C54"/>
    <w:rsid w:val="00E0525C"/>
    <w:rsid w:val="00E1059E"/>
    <w:rsid w:val="00E120F0"/>
    <w:rsid w:val="00E14F1D"/>
    <w:rsid w:val="00E20A7B"/>
    <w:rsid w:val="00E22829"/>
    <w:rsid w:val="00E3004D"/>
    <w:rsid w:val="00E31B6C"/>
    <w:rsid w:val="00E3509B"/>
    <w:rsid w:val="00E3537D"/>
    <w:rsid w:val="00E36C78"/>
    <w:rsid w:val="00E401C4"/>
    <w:rsid w:val="00E42F0F"/>
    <w:rsid w:val="00E45044"/>
    <w:rsid w:val="00E504BD"/>
    <w:rsid w:val="00E537D1"/>
    <w:rsid w:val="00E55655"/>
    <w:rsid w:val="00E621A8"/>
    <w:rsid w:val="00E72AA8"/>
    <w:rsid w:val="00E72BBB"/>
    <w:rsid w:val="00E81B66"/>
    <w:rsid w:val="00E8389F"/>
    <w:rsid w:val="00E84983"/>
    <w:rsid w:val="00E90FDD"/>
    <w:rsid w:val="00E91C59"/>
    <w:rsid w:val="00E96805"/>
    <w:rsid w:val="00EA115D"/>
    <w:rsid w:val="00EB1109"/>
    <w:rsid w:val="00EB2C29"/>
    <w:rsid w:val="00EB2DBC"/>
    <w:rsid w:val="00EB3505"/>
    <w:rsid w:val="00EB3E6D"/>
    <w:rsid w:val="00EB474D"/>
    <w:rsid w:val="00EB5D5A"/>
    <w:rsid w:val="00EB6A2C"/>
    <w:rsid w:val="00EC1078"/>
    <w:rsid w:val="00EC6E3E"/>
    <w:rsid w:val="00ED3E70"/>
    <w:rsid w:val="00ED4091"/>
    <w:rsid w:val="00ED5E11"/>
    <w:rsid w:val="00EE07BC"/>
    <w:rsid w:val="00EE2AFA"/>
    <w:rsid w:val="00EE4615"/>
    <w:rsid w:val="00EE4642"/>
    <w:rsid w:val="00EF0721"/>
    <w:rsid w:val="00EF20A1"/>
    <w:rsid w:val="00F12CCA"/>
    <w:rsid w:val="00F16A12"/>
    <w:rsid w:val="00F16BA1"/>
    <w:rsid w:val="00F200FB"/>
    <w:rsid w:val="00F233DA"/>
    <w:rsid w:val="00F26471"/>
    <w:rsid w:val="00F31218"/>
    <w:rsid w:val="00F435EB"/>
    <w:rsid w:val="00F535DE"/>
    <w:rsid w:val="00F55043"/>
    <w:rsid w:val="00F57198"/>
    <w:rsid w:val="00F63CB5"/>
    <w:rsid w:val="00F65D80"/>
    <w:rsid w:val="00F7039A"/>
    <w:rsid w:val="00F71261"/>
    <w:rsid w:val="00F74A9C"/>
    <w:rsid w:val="00F770EC"/>
    <w:rsid w:val="00F7776A"/>
    <w:rsid w:val="00F86029"/>
    <w:rsid w:val="00F87873"/>
    <w:rsid w:val="00F936A8"/>
    <w:rsid w:val="00F9473B"/>
    <w:rsid w:val="00F95647"/>
    <w:rsid w:val="00FA7729"/>
    <w:rsid w:val="00FB2A20"/>
    <w:rsid w:val="00FB2C86"/>
    <w:rsid w:val="00FB5098"/>
    <w:rsid w:val="00FB5530"/>
    <w:rsid w:val="00FC4373"/>
    <w:rsid w:val="00FC741B"/>
    <w:rsid w:val="00FC7C26"/>
    <w:rsid w:val="00FD0995"/>
    <w:rsid w:val="00FD4916"/>
    <w:rsid w:val="00FD6E30"/>
    <w:rsid w:val="00FE06BE"/>
    <w:rsid w:val="00FE26D3"/>
    <w:rsid w:val="00FE6BAA"/>
    <w:rsid w:val="00FE7CB2"/>
    <w:rsid w:val="00FF2E8A"/>
    <w:rsid w:val="00FF47E6"/>
    <w:rsid w:val="02670DCF"/>
    <w:rsid w:val="043164D2"/>
    <w:rsid w:val="04DB69C7"/>
    <w:rsid w:val="05721EBC"/>
    <w:rsid w:val="06E453B1"/>
    <w:rsid w:val="078D3A1F"/>
    <w:rsid w:val="08D94A4A"/>
    <w:rsid w:val="09332050"/>
    <w:rsid w:val="09652865"/>
    <w:rsid w:val="097D3D26"/>
    <w:rsid w:val="09CC0938"/>
    <w:rsid w:val="0A802D1C"/>
    <w:rsid w:val="0ADA2F69"/>
    <w:rsid w:val="0AE10BBF"/>
    <w:rsid w:val="0B4B7E79"/>
    <w:rsid w:val="0BBA5614"/>
    <w:rsid w:val="0BBD0185"/>
    <w:rsid w:val="0CF67026"/>
    <w:rsid w:val="0D011260"/>
    <w:rsid w:val="0F6E2388"/>
    <w:rsid w:val="0FF7062A"/>
    <w:rsid w:val="10F22B45"/>
    <w:rsid w:val="11CA2B9E"/>
    <w:rsid w:val="11EA4A5D"/>
    <w:rsid w:val="123426ED"/>
    <w:rsid w:val="1330335A"/>
    <w:rsid w:val="14AB42D7"/>
    <w:rsid w:val="159863B1"/>
    <w:rsid w:val="1614131D"/>
    <w:rsid w:val="16B6476F"/>
    <w:rsid w:val="1986454E"/>
    <w:rsid w:val="19D653D3"/>
    <w:rsid w:val="1AF62448"/>
    <w:rsid w:val="1C2222A8"/>
    <w:rsid w:val="1CC06840"/>
    <w:rsid w:val="1CE617B0"/>
    <w:rsid w:val="1CEE360F"/>
    <w:rsid w:val="1D475092"/>
    <w:rsid w:val="1E901E0D"/>
    <w:rsid w:val="1F3709E9"/>
    <w:rsid w:val="1F5511FE"/>
    <w:rsid w:val="1F791B4A"/>
    <w:rsid w:val="1FF922F7"/>
    <w:rsid w:val="203A6C9D"/>
    <w:rsid w:val="2126121F"/>
    <w:rsid w:val="235D1A58"/>
    <w:rsid w:val="23893375"/>
    <w:rsid w:val="23CE2F9E"/>
    <w:rsid w:val="23D049E7"/>
    <w:rsid w:val="24F31A54"/>
    <w:rsid w:val="28424EF3"/>
    <w:rsid w:val="28A43277"/>
    <w:rsid w:val="291C47AB"/>
    <w:rsid w:val="299E589B"/>
    <w:rsid w:val="29D20B89"/>
    <w:rsid w:val="2A9E6EDA"/>
    <w:rsid w:val="2AC259E9"/>
    <w:rsid w:val="2BD92D2E"/>
    <w:rsid w:val="2C210816"/>
    <w:rsid w:val="2CE538BC"/>
    <w:rsid w:val="2D9D235F"/>
    <w:rsid w:val="2DCF45F6"/>
    <w:rsid w:val="2F033AB7"/>
    <w:rsid w:val="2FC604F2"/>
    <w:rsid w:val="30512DC8"/>
    <w:rsid w:val="305807BF"/>
    <w:rsid w:val="30BA0FA5"/>
    <w:rsid w:val="30D50061"/>
    <w:rsid w:val="30D5498D"/>
    <w:rsid w:val="33816EF9"/>
    <w:rsid w:val="355276CD"/>
    <w:rsid w:val="368A282A"/>
    <w:rsid w:val="37875802"/>
    <w:rsid w:val="397A5D84"/>
    <w:rsid w:val="3A38257A"/>
    <w:rsid w:val="3B337E5E"/>
    <w:rsid w:val="3D6F398A"/>
    <w:rsid w:val="3D9E1027"/>
    <w:rsid w:val="3FCB4391"/>
    <w:rsid w:val="407103DB"/>
    <w:rsid w:val="42FF7945"/>
    <w:rsid w:val="432D5ADB"/>
    <w:rsid w:val="455B5C08"/>
    <w:rsid w:val="45E5444B"/>
    <w:rsid w:val="46024881"/>
    <w:rsid w:val="46432AD9"/>
    <w:rsid w:val="46D15F6A"/>
    <w:rsid w:val="491679AE"/>
    <w:rsid w:val="4AEA7D65"/>
    <w:rsid w:val="4B86222C"/>
    <w:rsid w:val="4D7C7F66"/>
    <w:rsid w:val="4E497F1B"/>
    <w:rsid w:val="4E7079A5"/>
    <w:rsid w:val="4E72372F"/>
    <w:rsid w:val="4E826BA1"/>
    <w:rsid w:val="4FB262DF"/>
    <w:rsid w:val="502913D8"/>
    <w:rsid w:val="506A1CDA"/>
    <w:rsid w:val="513145D7"/>
    <w:rsid w:val="52013E99"/>
    <w:rsid w:val="52884ADC"/>
    <w:rsid w:val="54975ADC"/>
    <w:rsid w:val="54EF45B2"/>
    <w:rsid w:val="554B4324"/>
    <w:rsid w:val="561C68FE"/>
    <w:rsid w:val="56FA05E0"/>
    <w:rsid w:val="57205312"/>
    <w:rsid w:val="575B4970"/>
    <w:rsid w:val="5AA42EE1"/>
    <w:rsid w:val="5ADD04B0"/>
    <w:rsid w:val="5E127A94"/>
    <w:rsid w:val="5EC2103E"/>
    <w:rsid w:val="5F3651D2"/>
    <w:rsid w:val="5FA81F04"/>
    <w:rsid w:val="61E0223F"/>
    <w:rsid w:val="62275A9D"/>
    <w:rsid w:val="62A274F4"/>
    <w:rsid w:val="63473BF7"/>
    <w:rsid w:val="64490C49"/>
    <w:rsid w:val="644A4F68"/>
    <w:rsid w:val="66832C22"/>
    <w:rsid w:val="66B92FAD"/>
    <w:rsid w:val="68706054"/>
    <w:rsid w:val="688A0DE6"/>
    <w:rsid w:val="68917B90"/>
    <w:rsid w:val="68BC2510"/>
    <w:rsid w:val="68F02F9E"/>
    <w:rsid w:val="691D1DC4"/>
    <w:rsid w:val="6A4626EF"/>
    <w:rsid w:val="6ADF74D7"/>
    <w:rsid w:val="6BC454E7"/>
    <w:rsid w:val="6BCA186A"/>
    <w:rsid w:val="6C0563E5"/>
    <w:rsid w:val="6C234844"/>
    <w:rsid w:val="6C6C0C3F"/>
    <w:rsid w:val="6C89702F"/>
    <w:rsid w:val="6DAD049D"/>
    <w:rsid w:val="6E153270"/>
    <w:rsid w:val="6E642C41"/>
    <w:rsid w:val="6ECD387A"/>
    <w:rsid w:val="6EF514F0"/>
    <w:rsid w:val="6F2F03DB"/>
    <w:rsid w:val="6FF139B8"/>
    <w:rsid w:val="72127AC6"/>
    <w:rsid w:val="72FC67AC"/>
    <w:rsid w:val="730976CE"/>
    <w:rsid w:val="732D0EC6"/>
    <w:rsid w:val="73CD0149"/>
    <w:rsid w:val="748E5C99"/>
    <w:rsid w:val="74BF2C7A"/>
    <w:rsid w:val="74C4449F"/>
    <w:rsid w:val="75682D8E"/>
    <w:rsid w:val="75A31161"/>
    <w:rsid w:val="75D25B10"/>
    <w:rsid w:val="76442929"/>
    <w:rsid w:val="76C27A63"/>
    <w:rsid w:val="780623DA"/>
    <w:rsid w:val="79091899"/>
    <w:rsid w:val="795409C4"/>
    <w:rsid w:val="7AF60F49"/>
    <w:rsid w:val="7BBE3424"/>
    <w:rsid w:val="7E0328BC"/>
    <w:rsid w:val="7F384CA5"/>
    <w:rsid w:val="7FAC1FBF"/>
    <w:rsid w:val="7FF57E3F"/>
    <w:rsid w:val="C5378E26"/>
    <w:rsid w:val="EEF53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9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8"/>
    <w:semiHidden/>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6">
    <w:name w:val="Normal Indent"/>
    <w:basedOn w:val="1"/>
    <w:next w:val="7"/>
    <w:qFormat/>
    <w:uiPriority w:val="0"/>
    <w:pPr>
      <w:ind w:firstLine="420"/>
    </w:pPr>
  </w:style>
  <w:style w:type="paragraph" w:styleId="7">
    <w:name w:val="envelope return"/>
    <w:basedOn w:val="1"/>
    <w:qFormat/>
    <w:uiPriority w:val="0"/>
    <w:pPr>
      <w:snapToGrid w:val="0"/>
    </w:pPr>
    <w:rPr>
      <w:rFonts w:ascii="Arial" w:hAnsi="Arial" w:eastAsia="仿宋_GB2312"/>
      <w:sz w:val="32"/>
    </w:rPr>
  </w:style>
  <w:style w:type="paragraph" w:styleId="8">
    <w:name w:val="annotation text"/>
    <w:basedOn w:val="1"/>
    <w:semiHidden/>
    <w:unhideWhenUsed/>
    <w:qFormat/>
    <w:uiPriority w:val="99"/>
    <w:pPr>
      <w:jc w:val="left"/>
    </w:pPr>
  </w:style>
  <w:style w:type="paragraph" w:styleId="9">
    <w:name w:val="toc 3"/>
    <w:basedOn w:val="1"/>
    <w:next w:val="1"/>
    <w:semiHidden/>
    <w:unhideWhenUsed/>
    <w:qFormat/>
    <w:uiPriority w:val="39"/>
    <w:pPr>
      <w:ind w:left="840" w:leftChars="400"/>
    </w:pPr>
  </w:style>
  <w:style w:type="paragraph" w:styleId="10">
    <w:name w:val="Date"/>
    <w:basedOn w:val="1"/>
    <w:next w:val="1"/>
    <w:link w:val="46"/>
    <w:semiHidden/>
    <w:unhideWhenUsed/>
    <w:qFormat/>
    <w:uiPriority w:val="99"/>
    <w:pPr>
      <w:ind w:left="100" w:leftChars="2500"/>
    </w:pPr>
  </w:style>
  <w:style w:type="paragraph" w:styleId="11">
    <w:name w:val="Body Text Indent 2"/>
    <w:basedOn w:val="1"/>
    <w:link w:val="39"/>
    <w:qFormat/>
    <w:uiPriority w:val="0"/>
    <w:pPr>
      <w:spacing w:line="276" w:lineRule="auto"/>
      <w:ind w:firstLine="420" w:firstLineChars="200"/>
    </w:pPr>
    <w:rPr>
      <w:rFonts w:ascii="宋体" w:hAnsi="宋体" w:eastAsia="宋体" w:cs="Times New Roman"/>
      <w:snapToGrid w:val="0"/>
      <w:kern w:val="0"/>
      <w:szCs w:val="24"/>
    </w:rPr>
  </w:style>
  <w:style w:type="paragraph" w:styleId="12">
    <w:name w:val="Balloon Text"/>
    <w:basedOn w:val="1"/>
    <w:link w:val="27"/>
    <w:semiHidden/>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Subtitle"/>
    <w:basedOn w:val="1"/>
    <w:next w:val="1"/>
    <w:link w:val="35"/>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7">
    <w:name w:val="toc 2"/>
    <w:basedOn w:val="1"/>
    <w:next w:val="1"/>
    <w:unhideWhenUsed/>
    <w:qFormat/>
    <w:uiPriority w:val="39"/>
    <w:pPr>
      <w:tabs>
        <w:tab w:val="right" w:leader="dot" w:pos="9344"/>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36"/>
    <w:qFormat/>
    <w:uiPriority w:val="10"/>
    <w:pPr>
      <w:spacing w:before="240" w:after="60"/>
      <w:jc w:val="center"/>
      <w:outlineLvl w:val="0"/>
    </w:pPr>
    <w:rPr>
      <w:rFonts w:eastAsia="宋体" w:asciiTheme="majorHAnsi" w:hAnsiTheme="majorHAnsi" w:cstheme="majorBidi"/>
      <w:b/>
      <w:bCs/>
      <w:sz w:val="32"/>
      <w:szCs w:val="32"/>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000FF" w:themeColor="hyperlink"/>
      <w:u w:val="single"/>
      <w14:textFill>
        <w14:solidFill>
          <w14:schemeClr w14:val="hlink"/>
        </w14:solidFill>
      </w14:textFill>
    </w:rPr>
  </w:style>
  <w:style w:type="character" w:styleId="24">
    <w:name w:val="annotation reference"/>
    <w:basedOn w:val="22"/>
    <w:semiHidden/>
    <w:unhideWhenUsed/>
    <w:qFormat/>
    <w:uiPriority w:val="99"/>
    <w:rPr>
      <w:sz w:val="21"/>
      <w:szCs w:val="21"/>
    </w:rPr>
  </w:style>
  <w:style w:type="character" w:customStyle="1" w:styleId="25">
    <w:name w:val="页眉 Char"/>
    <w:basedOn w:val="22"/>
    <w:link w:val="14"/>
    <w:qFormat/>
    <w:uiPriority w:val="99"/>
    <w:rPr>
      <w:sz w:val="18"/>
      <w:szCs w:val="18"/>
    </w:rPr>
  </w:style>
  <w:style w:type="character" w:customStyle="1" w:styleId="26">
    <w:name w:val="页脚 Char"/>
    <w:basedOn w:val="22"/>
    <w:link w:val="13"/>
    <w:qFormat/>
    <w:uiPriority w:val="99"/>
    <w:rPr>
      <w:sz w:val="18"/>
      <w:szCs w:val="18"/>
    </w:rPr>
  </w:style>
  <w:style w:type="character" w:customStyle="1" w:styleId="27">
    <w:name w:val="批注框文本 Char"/>
    <w:basedOn w:val="22"/>
    <w:link w:val="12"/>
    <w:semiHidden/>
    <w:qFormat/>
    <w:uiPriority w:val="99"/>
    <w:rPr>
      <w:sz w:val="18"/>
      <w:szCs w:val="18"/>
    </w:rPr>
  </w:style>
  <w:style w:type="paragraph" w:styleId="28">
    <w:name w:val="List Paragraph"/>
    <w:basedOn w:val="1"/>
    <w:qFormat/>
    <w:uiPriority w:val="34"/>
    <w:pPr>
      <w:ind w:firstLine="420" w:firstLineChars="200"/>
    </w:pPr>
  </w:style>
  <w:style w:type="paragraph" w:customStyle="1" w:styleId="2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31">
    <w:name w:val="标题 1 Char"/>
    <w:basedOn w:val="22"/>
    <w:link w:val="3"/>
    <w:qFormat/>
    <w:uiPriority w:val="99"/>
    <w:rPr>
      <w:rFonts w:ascii="Calibri" w:hAnsi="Calibri" w:eastAsia="宋体" w:cs="Times New Roman"/>
      <w:b/>
      <w:bCs/>
      <w:kern w:val="44"/>
      <w:sz w:val="44"/>
      <w:szCs w:val="44"/>
    </w:rPr>
  </w:style>
  <w:style w:type="paragraph" w:styleId="3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character" w:customStyle="1" w:styleId="34">
    <w:name w:val="不明显强调1"/>
    <w:basedOn w:val="22"/>
    <w:qFormat/>
    <w:uiPriority w:val="19"/>
    <w:rPr>
      <w:i/>
      <w:iCs/>
      <w:color w:val="808080" w:themeColor="text1" w:themeTint="80"/>
      <w14:textFill>
        <w14:solidFill>
          <w14:schemeClr w14:val="tx1">
            <w14:lumMod w14:val="50000"/>
            <w14:lumOff w14:val="50000"/>
          </w14:schemeClr>
        </w14:solidFill>
      </w14:textFill>
    </w:rPr>
  </w:style>
  <w:style w:type="character" w:customStyle="1" w:styleId="35">
    <w:name w:val="副标题 Char"/>
    <w:basedOn w:val="22"/>
    <w:link w:val="16"/>
    <w:qFormat/>
    <w:uiPriority w:val="11"/>
    <w:rPr>
      <w:rFonts w:eastAsia="宋体" w:asciiTheme="majorHAnsi" w:hAnsiTheme="majorHAnsi" w:cstheme="majorBidi"/>
      <w:b/>
      <w:bCs/>
      <w:kern w:val="28"/>
      <w:sz w:val="32"/>
      <w:szCs w:val="32"/>
    </w:rPr>
  </w:style>
  <w:style w:type="character" w:customStyle="1" w:styleId="36">
    <w:name w:val="标题 Char"/>
    <w:basedOn w:val="22"/>
    <w:link w:val="19"/>
    <w:qFormat/>
    <w:uiPriority w:val="10"/>
    <w:rPr>
      <w:rFonts w:eastAsia="宋体" w:asciiTheme="majorHAnsi" w:hAnsiTheme="majorHAnsi" w:cstheme="majorBidi"/>
      <w:b/>
      <w:bCs/>
      <w:sz w:val="32"/>
      <w:szCs w:val="32"/>
    </w:rPr>
  </w:style>
  <w:style w:type="character" w:customStyle="1" w:styleId="37">
    <w:name w:val="标题 2 Char"/>
    <w:basedOn w:val="22"/>
    <w:link w:val="4"/>
    <w:qFormat/>
    <w:uiPriority w:val="9"/>
    <w:rPr>
      <w:rFonts w:asciiTheme="majorHAnsi" w:hAnsiTheme="majorHAnsi" w:eastAsiaTheme="majorEastAsia" w:cstheme="majorBidi"/>
      <w:b/>
      <w:bCs/>
      <w:sz w:val="32"/>
      <w:szCs w:val="32"/>
    </w:rPr>
  </w:style>
  <w:style w:type="character" w:customStyle="1" w:styleId="38">
    <w:name w:val="标题 3 Char"/>
    <w:basedOn w:val="22"/>
    <w:link w:val="5"/>
    <w:semiHidden/>
    <w:qFormat/>
    <w:uiPriority w:val="9"/>
    <w:rPr>
      <w:b/>
      <w:bCs/>
      <w:sz w:val="32"/>
      <w:szCs w:val="32"/>
    </w:rPr>
  </w:style>
  <w:style w:type="character" w:customStyle="1" w:styleId="39">
    <w:name w:val="正文文本缩进 2 Char"/>
    <w:basedOn w:val="22"/>
    <w:link w:val="11"/>
    <w:qFormat/>
    <w:uiPriority w:val="0"/>
    <w:rPr>
      <w:rFonts w:ascii="宋体" w:hAnsi="宋体" w:eastAsia="宋体" w:cs="Times New Roman"/>
      <w:snapToGrid w:val="0"/>
      <w:kern w:val="0"/>
      <w:szCs w:val="24"/>
    </w:rPr>
  </w:style>
  <w:style w:type="paragraph" w:customStyle="1" w:styleId="40">
    <w:name w:val="三级条标题"/>
    <w:basedOn w:val="1"/>
    <w:next w:val="1"/>
    <w:qFormat/>
    <w:uiPriority w:val="0"/>
    <w:pPr>
      <w:widowControl/>
      <w:ind w:left="855"/>
      <w:outlineLvl w:val="4"/>
    </w:pPr>
    <w:rPr>
      <w:rFonts w:ascii="黑体" w:hAnsi="Times New Roman" w:eastAsia="黑体" w:cs="Times New Roman"/>
      <w:kern w:val="0"/>
      <w:szCs w:val="20"/>
    </w:rPr>
  </w:style>
  <w:style w:type="paragraph" w:customStyle="1" w:styleId="41">
    <w:name w:val="附录章标题"/>
    <w:next w:val="1"/>
    <w:qFormat/>
    <w:uiPriority w:val="0"/>
    <w:pPr>
      <w:wordWrap w:val="0"/>
      <w:overflowPunct w:val="0"/>
      <w:autoSpaceDE w:val="0"/>
      <w:spacing w:beforeLines="50" w:afterLines="50"/>
      <w:ind w:left="4047"/>
      <w:jc w:val="both"/>
      <w:textAlignment w:val="baseline"/>
      <w:outlineLvl w:val="1"/>
    </w:pPr>
    <w:rPr>
      <w:rFonts w:ascii="黑体" w:hAnsi="Times New Roman" w:eastAsia="黑体" w:cs="Times New Roman"/>
      <w:kern w:val="21"/>
      <w:sz w:val="21"/>
      <w:lang w:val="en-US" w:eastAsia="zh-CN" w:bidi="ar-SA"/>
    </w:rPr>
  </w:style>
  <w:style w:type="paragraph" w:customStyle="1" w:styleId="42">
    <w:name w:val="附录表标题"/>
    <w:next w:val="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44">
    <w:name w:val="high-light-bg4"/>
    <w:basedOn w:val="22"/>
    <w:qFormat/>
    <w:uiPriority w:val="0"/>
  </w:style>
  <w:style w:type="character" w:customStyle="1" w:styleId="45">
    <w:name w:val="ordinary-span-edit2"/>
    <w:basedOn w:val="22"/>
    <w:qFormat/>
    <w:uiPriority w:val="0"/>
  </w:style>
  <w:style w:type="character" w:customStyle="1" w:styleId="46">
    <w:name w:val="日期 Char"/>
    <w:basedOn w:val="22"/>
    <w:link w:val="10"/>
    <w:semiHidden/>
    <w:qFormat/>
    <w:uiPriority w:val="99"/>
  </w:style>
  <w:style w:type="paragraph" w:customStyle="1" w:styleId="47">
    <w:name w:val="正文1"/>
    <w:qFormat/>
    <w:uiPriority w:val="0"/>
    <w:pPr>
      <w:jc w:val="both"/>
    </w:pPr>
    <w:rPr>
      <w:rFonts w:ascii="Calibri" w:hAnsi="Calibri" w:eastAsia="宋体" w:cs="宋体"/>
      <w:kern w:val="2"/>
      <w:sz w:val="21"/>
      <w:szCs w:val="21"/>
      <w:lang w:val="en-US" w:eastAsia="zh-CN" w:bidi="ar-SA"/>
    </w:rPr>
  </w:style>
  <w:style w:type="character" w:customStyle="1" w:styleId="48">
    <w:name w:val="dash6b63_6587__char1"/>
    <w:qFormat/>
    <w:uiPriority w:val="0"/>
    <w:rPr>
      <w:rFonts w:hint="default" w:ascii="Times New Roman" w:hAnsi="Times New Roman" w:cs="Times New Roman"/>
      <w:sz w:val="20"/>
      <w:szCs w:val="20"/>
      <w:u w:val="none"/>
    </w:rPr>
  </w:style>
  <w:style w:type="paragraph" w:customStyle="1" w:styleId="49">
    <w:name w:val="标准文件_前言、引言标题"/>
    <w:next w:val="1"/>
    <w:qFormat/>
    <w:uiPriority w:val="0"/>
    <w:pPr>
      <w:numPr>
        <w:ilvl w:val="0"/>
        <w:numId w:val="1"/>
      </w:numPr>
      <w:shd w:val="clear" w:color="FFFFFF" w:fill="FFFFFF"/>
      <w:spacing w:before="480" w:after="150" w:afterLines="150"/>
      <w:ind w:left="0" w:firstLine="0"/>
      <w:jc w:val="center"/>
      <w:outlineLvl w:val="0"/>
    </w:pPr>
    <w:rPr>
      <w:rFonts w:ascii="黑体" w:hAnsi="黑体" w:eastAsia="黑体" w:cs="Times New Roman"/>
      <w:sz w:val="32"/>
      <w:lang w:val="en-US" w:eastAsia="zh-CN" w:bidi="ar-SA"/>
    </w:rPr>
  </w:style>
  <w:style w:type="paragraph" w:customStyle="1" w:styleId="50">
    <w:name w:val="章标题"/>
    <w:next w:val="51"/>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2">
    <w:name w:val="一级条标题"/>
    <w:next w:val="51"/>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3">
    <w:name w:val="二级无"/>
    <w:basedOn w:val="54"/>
    <w:qFormat/>
    <w:uiPriority w:val="0"/>
    <w:pPr>
      <w:spacing w:before="0" w:beforeLines="0" w:after="0" w:afterLines="0"/>
    </w:pPr>
    <w:rPr>
      <w:rFonts w:ascii="宋体" w:eastAsia="宋体"/>
    </w:rPr>
  </w:style>
  <w:style w:type="paragraph" w:customStyle="1" w:styleId="54">
    <w:name w:val="二级条标题"/>
    <w:basedOn w:val="52"/>
    <w:next w:val="51"/>
    <w:qFormat/>
    <w:uiPriority w:val="0"/>
    <w:pPr>
      <w:numPr>
        <w:ilvl w:val="2"/>
        <w:numId w:val="2"/>
      </w:numPr>
      <w:spacing w:before="50" w:after="50"/>
      <w:outlineLvl w:val="3"/>
    </w:pPr>
  </w:style>
  <w:style w:type="paragraph" w:customStyle="1" w:styleId="55">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56">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57">
    <w:name w:val="注：（正文）"/>
    <w:basedOn w:val="58"/>
    <w:next w:val="51"/>
    <w:qFormat/>
    <w:uiPriority w:val="0"/>
  </w:style>
  <w:style w:type="paragraph" w:customStyle="1" w:styleId="58">
    <w:name w:val="注："/>
    <w:next w:val="51"/>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59">
    <w:name w:val="附录标识"/>
    <w:basedOn w:val="1"/>
    <w:next w:val="51"/>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60">
    <w:name w:val="正文表标题"/>
    <w:next w:val="51"/>
    <w:qFormat/>
    <w:uiPriority w:val="0"/>
    <w:pPr>
      <w:numPr>
        <w:ilvl w:val="0"/>
        <w:numId w:val="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61">
    <w:name w:val="Other|1"/>
    <w:basedOn w:val="1"/>
    <w:qFormat/>
    <w:uiPriority w:val="0"/>
    <w:rPr>
      <w:rFonts w:ascii="宋体" w:hAnsi="宋体" w:cs="宋体"/>
      <w:sz w:val="19"/>
      <w:szCs w:val="19"/>
      <w:lang w:val="zh-CN" w:bidi="zh-CN"/>
    </w:rPr>
  </w:style>
  <w:style w:type="paragraph" w:customStyle="1" w:styleId="62">
    <w:name w:val="终结线"/>
    <w:basedOn w:val="1"/>
    <w:qFormat/>
    <w:uiPriority w:val="0"/>
    <w:pPr>
      <w:framePr w:hSpace="181" w:vSpace="181" w:wrap="around" w:vAnchor="text" w:hAnchor="margin" w:xAlign="center" w:y="285"/>
    </w:pPr>
  </w:style>
  <w:style w:type="paragraph" w:customStyle="1" w:styleId="63">
    <w:name w:val="标准文件_术语条一"/>
    <w:basedOn w:val="64"/>
    <w:next w:val="67"/>
    <w:qFormat/>
    <w:uiPriority w:val="0"/>
  </w:style>
  <w:style w:type="paragraph" w:customStyle="1" w:styleId="64">
    <w:name w:val="标准文件_一级无标题"/>
    <w:basedOn w:val="65"/>
    <w:qFormat/>
    <w:uiPriority w:val="0"/>
    <w:pPr>
      <w:spacing w:before="0" w:beforeLines="0" w:after="0" w:afterLines="0"/>
      <w:outlineLvl w:val="9"/>
    </w:pPr>
    <w:rPr>
      <w:rFonts w:ascii="宋体" w:eastAsia="宋体"/>
    </w:rPr>
  </w:style>
  <w:style w:type="paragraph" w:customStyle="1" w:styleId="65">
    <w:name w:val="标准文件_一级条标题"/>
    <w:basedOn w:val="66"/>
    <w:next w:val="67"/>
    <w:qFormat/>
    <w:uiPriority w:val="0"/>
    <w:pPr>
      <w:numPr>
        <w:ilvl w:val="2"/>
      </w:numPr>
      <w:spacing w:before="50" w:beforeLines="50" w:after="50" w:afterLines="50"/>
      <w:outlineLvl w:val="1"/>
    </w:pPr>
  </w:style>
  <w:style w:type="paragraph" w:customStyle="1" w:styleId="66">
    <w:name w:val="标准文件_章标题"/>
    <w:next w:val="67"/>
    <w:qFormat/>
    <w:uiPriority w:val="0"/>
    <w:pPr>
      <w:numPr>
        <w:ilvl w:val="1"/>
        <w:numId w:val="8"/>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6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8">
    <w:name w:val="标准文件_二级无标题"/>
    <w:basedOn w:val="69"/>
    <w:qFormat/>
    <w:uiPriority w:val="0"/>
    <w:pPr>
      <w:spacing w:before="0" w:beforeLines="0" w:after="0" w:afterLines="0"/>
      <w:outlineLvl w:val="9"/>
    </w:pPr>
    <w:rPr>
      <w:rFonts w:ascii="宋体" w:eastAsia="宋体"/>
    </w:rPr>
  </w:style>
  <w:style w:type="paragraph" w:customStyle="1" w:styleId="69">
    <w:name w:val="标准文件_二级条标题"/>
    <w:next w:val="67"/>
    <w:qFormat/>
    <w:uiPriority w:val="0"/>
    <w:pPr>
      <w:widowControl w:val="0"/>
      <w:numPr>
        <w:ilvl w:val="3"/>
        <w:numId w:val="8"/>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70">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7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72">
    <w:name w:val="说明文字"/>
    <w:basedOn w:val="1"/>
    <w:qFormat/>
    <w:uiPriority w:val="0"/>
    <w:pPr>
      <w:ind w:firstLine="0" w:firstLineChars="0"/>
    </w:pPr>
    <w:rPr>
      <w:sz w:val="21"/>
    </w:rPr>
  </w:style>
  <w:style w:type="paragraph" w:customStyle="1" w:styleId="73">
    <w:name w:val="标准文件_附录一级条标题"/>
    <w:next w:val="67"/>
    <w:qFormat/>
    <w:uiPriority w:val="0"/>
    <w:pPr>
      <w:widowControl w:val="0"/>
      <w:numPr>
        <w:ilvl w:val="1"/>
        <w:numId w:val="6"/>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4">
    <w:name w:val="标准文件_附录图标题"/>
    <w:next w:val="67"/>
    <w:qFormat/>
    <w:uiPriority w:val="0"/>
    <w:pPr>
      <w:numPr>
        <w:ilvl w:val="1"/>
        <w:numId w:val="9"/>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75">
    <w:name w:val="标准文件_参考文献标题"/>
    <w:basedOn w:val="1"/>
    <w:next w:val="1"/>
    <w:qFormat/>
    <w:uiPriority w:val="0"/>
    <w:pPr>
      <w:widowControl/>
      <w:shd w:val="clear" w:color="FFFFFF" w:fill="FFFFFF"/>
      <w:spacing w:before="580" w:after="50" w:afterLines="50"/>
      <w:jc w:val="center"/>
      <w:outlineLvl w:val="0"/>
    </w:pPr>
    <w:rPr>
      <w:rFonts w:ascii="黑体" w:eastAsia="黑体"/>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3693</Words>
  <Characters>4081</Characters>
  <Lines>78</Lines>
  <Paragraphs>22</Paragraphs>
  <TotalTime>22</TotalTime>
  <ScaleCrop>false</ScaleCrop>
  <LinksUpToDate>false</LinksUpToDate>
  <CharactersWithSpaces>4394</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2022-12-21T23:00:00Z</dcterms:created>
  <dc:creator>wy</dc:creator>
  <cp:lastModifiedBy>sugou</cp:lastModifiedBy>
  <cp:lastPrinted>2022-09-06T17:26:00Z</cp:lastPrinted>
  <dcterms:modified xsi:type="dcterms:W3CDTF">2024-02-27T16:10:47Z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5315CF27CEF77DACB8DB356581EC601D_43</vt:lpwstr>
  </property>
</Properties>
</file>