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both"/>
        <w:rPr>
          <w:rFonts w:hint="default" w:ascii="Times New Roman" w:hAnsi="Times New Roman" w:eastAsia="黑体" w:cs="Times New Roman"/>
          <w:sz w:val="32"/>
          <w:szCs w:val="32"/>
          <w:lang w:val="en-US" w:eastAsia="zh-CN" w:bidi="ar"/>
        </w:rPr>
      </w:pPr>
      <w:bookmarkStart w:id="0" w:name="_Toc25816"/>
      <w:r>
        <w:rPr>
          <w:rFonts w:hint="eastAsia" w:ascii="黑体" w:hAnsi="黑体" w:eastAsia="黑体" w:cs="黑体"/>
          <w:sz w:val="32"/>
          <w:szCs w:val="32"/>
          <w:lang w:val="en-US" w:eastAsia="zh-CN" w:bidi="ar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 w:bidi="ar"/>
        </w:rPr>
        <w:t>7</w:t>
      </w:r>
      <w:bookmarkStart w:id="18" w:name="_GoBack"/>
      <w:bookmarkEnd w:id="18"/>
    </w:p>
    <w:p>
      <w:pPr>
        <w:ind w:firstLine="0" w:firstLineChars="0"/>
        <w:jc w:val="center"/>
        <w:rPr>
          <w:sz w:val="40"/>
          <w:szCs w:val="48"/>
          <w:lang w:bidi="ar"/>
        </w:rPr>
      </w:pPr>
    </w:p>
    <w:p>
      <w:pPr>
        <w:ind w:firstLine="0" w:firstLineChars="0"/>
        <w:jc w:val="center"/>
        <w:rPr>
          <w:sz w:val="40"/>
          <w:szCs w:val="48"/>
          <w:lang w:bidi="ar"/>
        </w:rPr>
      </w:pPr>
    </w:p>
    <w:p>
      <w:pPr>
        <w:ind w:firstLine="0" w:firstLineChars="0"/>
        <w:jc w:val="center"/>
        <w:rPr>
          <w:sz w:val="40"/>
          <w:szCs w:val="48"/>
          <w:lang w:bidi="ar"/>
        </w:rPr>
      </w:pPr>
    </w:p>
    <w:p>
      <w:pPr>
        <w:ind w:firstLine="0" w:firstLineChars="0"/>
        <w:jc w:val="center"/>
        <w:rPr>
          <w:b/>
          <w:bCs/>
          <w:sz w:val="40"/>
          <w:szCs w:val="48"/>
          <w:lang w:bidi="ar"/>
        </w:rPr>
      </w:pPr>
      <w:r>
        <w:rPr>
          <w:rFonts w:hint="eastAsia"/>
          <w:b/>
          <w:bCs/>
          <w:sz w:val="40"/>
          <w:szCs w:val="48"/>
          <w:lang w:bidi="ar"/>
        </w:rPr>
        <w:t>江苏省“智改数转网联”示范企业认定申报系统</w:t>
      </w:r>
      <w:bookmarkEnd w:id="0"/>
    </w:p>
    <w:p>
      <w:pPr>
        <w:ind w:firstLine="0" w:firstLineChars="0"/>
        <w:jc w:val="center"/>
        <w:rPr>
          <w:b/>
          <w:bCs/>
          <w:sz w:val="40"/>
          <w:szCs w:val="48"/>
          <w:lang w:bidi="ar"/>
        </w:rPr>
      </w:pPr>
      <w:r>
        <w:rPr>
          <w:rFonts w:hint="eastAsia"/>
          <w:b/>
          <w:bCs/>
          <w:sz w:val="40"/>
          <w:szCs w:val="48"/>
          <w:lang w:bidi="ar"/>
        </w:rPr>
        <w:t>用户手册</w:t>
      </w:r>
    </w:p>
    <w:p>
      <w:pPr>
        <w:ind w:firstLine="0" w:firstLineChars="0"/>
        <w:jc w:val="center"/>
        <w:rPr>
          <w:rFonts w:cs="宋体"/>
          <w:b/>
          <w:bCs/>
          <w:sz w:val="40"/>
          <w:szCs w:val="40"/>
        </w:rPr>
      </w:pPr>
      <w:r>
        <w:rPr>
          <w:rFonts w:hint="eastAsia"/>
          <w:b/>
          <w:bCs/>
          <w:sz w:val="32"/>
          <w:szCs w:val="40"/>
          <w:lang w:bidi="ar"/>
        </w:rPr>
        <w:t>（企业端）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ind w:firstLine="643"/>
        <w:jc w:val="center"/>
        <w:rPr>
          <w:rFonts w:cs="宋体"/>
          <w:b/>
          <w:bCs/>
          <w:sz w:val="32"/>
          <w:szCs w:val="40"/>
        </w:rPr>
      </w:pPr>
      <w:bookmarkStart w:id="1" w:name="_Toc13602"/>
      <w:bookmarkStart w:id="2" w:name="_Toc801"/>
      <w:bookmarkStart w:id="3" w:name="_Toc23253"/>
      <w:r>
        <w:rPr>
          <w:rFonts w:hint="eastAsia"/>
          <w:b/>
          <w:bCs/>
          <w:sz w:val="32"/>
          <w:szCs w:val="40"/>
          <w:lang w:bidi="ar"/>
        </w:rPr>
        <w:t>江苏省工业和信息化厅</w:t>
      </w:r>
      <w:bookmarkEnd w:id="1"/>
      <w:bookmarkEnd w:id="2"/>
      <w:bookmarkEnd w:id="3"/>
    </w:p>
    <w:p>
      <w:pPr>
        <w:ind w:firstLine="643"/>
        <w:jc w:val="center"/>
        <w:rPr>
          <w:b/>
          <w:bCs/>
          <w:sz w:val="32"/>
          <w:szCs w:val="40"/>
        </w:rPr>
      </w:pPr>
    </w:p>
    <w:p>
      <w:pPr>
        <w:ind w:firstLine="643"/>
        <w:jc w:val="center"/>
        <w:rPr>
          <w:rFonts w:cs="黑体"/>
          <w:b/>
          <w:bCs/>
          <w:sz w:val="32"/>
          <w:szCs w:val="40"/>
          <w:lang w:bidi="ar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2240" w:h="15840"/>
          <w:pgMar w:top="1440" w:right="1800" w:bottom="1440" w:left="1800" w:header="720" w:footer="720" w:gutter="0"/>
          <w:pgNumType w:fmt="numberInDash"/>
          <w:cols w:space="425" w:num="1"/>
          <w:docGrid w:type="lines" w:linePitch="312" w:charSpace="0"/>
        </w:sectPr>
      </w:pPr>
      <w:r>
        <w:rPr>
          <w:b/>
          <w:bCs/>
          <w:sz w:val="32"/>
          <w:szCs w:val="40"/>
          <w:lang w:bidi="ar"/>
        </w:rPr>
        <w:t>202</w:t>
      </w:r>
      <w:r>
        <w:rPr>
          <w:rFonts w:hint="eastAsia"/>
          <w:b/>
          <w:bCs/>
          <w:sz w:val="32"/>
          <w:szCs w:val="40"/>
          <w:lang w:bidi="ar"/>
        </w:rPr>
        <w:t>4</w:t>
      </w:r>
      <w:r>
        <w:rPr>
          <w:rFonts w:hint="eastAsia" w:cs="黑体"/>
          <w:b/>
          <w:bCs/>
          <w:sz w:val="32"/>
          <w:szCs w:val="40"/>
          <w:lang w:bidi="ar"/>
        </w:rPr>
        <w:t>年</w:t>
      </w:r>
      <w:r>
        <w:rPr>
          <w:rFonts w:hint="eastAsia"/>
          <w:b/>
          <w:bCs/>
          <w:sz w:val="32"/>
          <w:szCs w:val="40"/>
          <w:lang w:bidi="ar"/>
        </w:rPr>
        <w:t>3</w:t>
      </w:r>
      <w:r>
        <w:rPr>
          <w:rFonts w:hint="eastAsia" w:cs="黑体"/>
          <w:b/>
          <w:bCs/>
          <w:sz w:val="32"/>
          <w:szCs w:val="40"/>
          <w:lang w:bidi="ar"/>
        </w:rPr>
        <w:t>月</w:t>
      </w:r>
    </w:p>
    <w:sdt>
      <w:sdtPr>
        <w:id w:val="147451778"/>
        <w15:color w:val="DBDBDB"/>
        <w:docPartObj>
          <w:docPartGallery w:val="Table of Contents"/>
          <w:docPartUnique/>
        </w:docPartObj>
      </w:sdtPr>
      <w:sdtEndPr>
        <w:rPr>
          <w:lang w:bidi="ar"/>
        </w:rPr>
      </w:sdtEndPr>
      <w:sdtContent>
        <w:p>
          <w:pPr>
            <w:rPr>
              <w:rFonts w:asciiTheme="majorEastAsia" w:hAnsiTheme="majorEastAsia" w:eastAsiaTheme="majorEastAsia"/>
              <w:sz w:val="28"/>
              <w:szCs w:val="36"/>
            </w:rPr>
          </w:pPr>
          <w:r>
            <w:rPr>
              <w:rFonts w:asciiTheme="majorEastAsia" w:hAnsiTheme="majorEastAsia" w:eastAsiaTheme="majorEastAsia"/>
              <w:sz w:val="28"/>
              <w:szCs w:val="36"/>
            </w:rPr>
            <w:t>目</w:t>
          </w:r>
          <w:r>
            <w:rPr>
              <w:rFonts w:hint="eastAsia" w:asciiTheme="majorEastAsia" w:hAnsiTheme="majorEastAsia" w:eastAsiaTheme="majorEastAsia"/>
              <w:sz w:val="28"/>
              <w:szCs w:val="36"/>
            </w:rPr>
            <w:t xml:space="preserve"> 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t>录</w:t>
          </w:r>
        </w:p>
        <w:p>
          <w:pPr>
            <w:pStyle w:val="6"/>
            <w:tabs>
              <w:tab w:val="right" w:leader="dot" w:pos="8630"/>
            </w:tabs>
            <w:ind w:firstLine="560"/>
            <w:rPr>
              <w:rFonts w:asciiTheme="majorEastAsia" w:hAnsiTheme="majorEastAsia" w:eastAsiaTheme="majorEastAsia"/>
              <w:sz w:val="28"/>
              <w:szCs w:val="32"/>
              <w14:ligatures w14:val="standardContextual"/>
            </w:rPr>
          </w:pPr>
          <w:r>
            <w:rPr>
              <w:rFonts w:asciiTheme="majorEastAsia" w:hAnsiTheme="majorEastAsia" w:eastAsiaTheme="majorEastAsia"/>
              <w:sz w:val="28"/>
              <w:szCs w:val="36"/>
              <w:lang w:bidi="ar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36"/>
              <w:lang w:bidi="ar"/>
            </w:rPr>
            <w:instrText xml:space="preserve">TOC \o "1-3" \h \u </w:instrText>
          </w:r>
          <w:r>
            <w:rPr>
              <w:rFonts w:asciiTheme="majorEastAsia" w:hAnsiTheme="majorEastAsia" w:eastAsiaTheme="majorEastAsia"/>
              <w:sz w:val="28"/>
              <w:szCs w:val="36"/>
              <w:lang w:bidi="ar"/>
            </w:rPr>
            <w:fldChar w:fldCharType="separate"/>
          </w:r>
          <w:r>
            <w:fldChar w:fldCharType="begin"/>
          </w:r>
          <w:r>
            <w:instrText xml:space="preserve"> HYPERLINK \l "_Toc161916697" </w:instrText>
          </w:r>
          <w:r>
            <w:fldChar w:fldCharType="separate"/>
          </w:r>
          <w:r>
            <w:rPr>
              <w:rStyle w:val="11"/>
              <w:rFonts w:asciiTheme="majorEastAsia" w:hAnsiTheme="majorEastAsia" w:eastAsiaTheme="majorEastAsia"/>
              <w:sz w:val="28"/>
              <w:szCs w:val="36"/>
            </w:rPr>
            <w:t>1. 登录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tab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36"/>
            </w:rPr>
            <w:instrText xml:space="preserve"> PAGEREF _Toc161916697 \h </w:instrTex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separate"/>
          </w:r>
          <w:r>
            <w:rPr>
              <w:rFonts w:asciiTheme="majorEastAsia" w:hAnsiTheme="majorEastAsia" w:eastAsiaTheme="majorEastAsia"/>
              <w:sz w:val="28"/>
              <w:szCs w:val="36"/>
            </w:rPr>
            <w:t>3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8630"/>
            </w:tabs>
            <w:rPr>
              <w:rFonts w:asciiTheme="majorEastAsia" w:hAnsiTheme="majorEastAsia" w:eastAsiaTheme="majorEastAsia"/>
              <w:sz w:val="28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"_Toc161916698" </w:instrText>
          </w:r>
          <w:r>
            <w:fldChar w:fldCharType="separate"/>
          </w:r>
          <w:r>
            <w:rPr>
              <w:rStyle w:val="11"/>
              <w:rFonts w:asciiTheme="majorEastAsia" w:hAnsiTheme="majorEastAsia" w:eastAsiaTheme="majorEastAsia"/>
              <w:sz w:val="28"/>
              <w:szCs w:val="36"/>
            </w:rPr>
            <w:t>2. 认定申报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tab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36"/>
            </w:rPr>
            <w:instrText xml:space="preserve"> PAGEREF _Toc161916698 \h </w:instrTex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separate"/>
          </w:r>
          <w:r>
            <w:rPr>
              <w:rFonts w:asciiTheme="majorEastAsia" w:hAnsiTheme="majorEastAsia" w:eastAsiaTheme="majorEastAsia"/>
              <w:sz w:val="28"/>
              <w:szCs w:val="36"/>
            </w:rPr>
            <w:t>5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630"/>
            </w:tabs>
            <w:rPr>
              <w:rFonts w:asciiTheme="majorEastAsia" w:hAnsiTheme="majorEastAsia" w:eastAsiaTheme="majorEastAsia"/>
              <w:sz w:val="28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"_Toc161916699" </w:instrText>
          </w:r>
          <w:r>
            <w:fldChar w:fldCharType="separate"/>
          </w:r>
          <w:r>
            <w:rPr>
              <w:rStyle w:val="11"/>
              <w:rFonts w:asciiTheme="majorEastAsia" w:hAnsiTheme="majorEastAsia" w:eastAsiaTheme="majorEastAsia"/>
              <w:sz w:val="28"/>
              <w:szCs w:val="36"/>
            </w:rPr>
            <w:t>2.1. 示范企业储备库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tab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36"/>
            </w:rPr>
            <w:instrText xml:space="preserve"> PAGEREF _Toc161916699 \h </w:instrTex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separate"/>
          </w:r>
          <w:r>
            <w:rPr>
              <w:rFonts w:asciiTheme="majorEastAsia" w:hAnsiTheme="majorEastAsia" w:eastAsiaTheme="majorEastAsia"/>
              <w:sz w:val="28"/>
              <w:szCs w:val="36"/>
            </w:rPr>
            <w:t>5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630"/>
            </w:tabs>
            <w:rPr>
              <w:rFonts w:asciiTheme="majorEastAsia" w:hAnsiTheme="majorEastAsia" w:eastAsiaTheme="majorEastAsia"/>
              <w:sz w:val="28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"_Toc161916700" </w:instrText>
          </w:r>
          <w:r>
            <w:fldChar w:fldCharType="separate"/>
          </w:r>
          <w:r>
            <w:rPr>
              <w:rStyle w:val="11"/>
              <w:rFonts w:asciiTheme="majorEastAsia" w:hAnsiTheme="majorEastAsia" w:eastAsiaTheme="majorEastAsia"/>
              <w:sz w:val="28"/>
              <w:szCs w:val="36"/>
            </w:rPr>
            <w:t>2.2. 车间类、工厂类、标杆企业申报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tab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36"/>
            </w:rPr>
            <w:instrText xml:space="preserve"> PAGEREF _Toc161916700 \h </w:instrTex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separate"/>
          </w:r>
          <w:r>
            <w:rPr>
              <w:rFonts w:asciiTheme="majorEastAsia" w:hAnsiTheme="majorEastAsia" w:eastAsiaTheme="majorEastAsia"/>
              <w:sz w:val="28"/>
              <w:szCs w:val="36"/>
            </w:rPr>
            <w:t>6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630"/>
            </w:tabs>
            <w:rPr>
              <w:rFonts w:asciiTheme="majorEastAsia" w:hAnsiTheme="majorEastAsia" w:eastAsiaTheme="majorEastAsia"/>
              <w:sz w:val="28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"_Toc161916701" </w:instrText>
          </w:r>
          <w:r>
            <w:fldChar w:fldCharType="separate"/>
          </w:r>
          <w:r>
            <w:rPr>
              <w:rStyle w:val="11"/>
              <w:rFonts w:asciiTheme="majorEastAsia" w:hAnsiTheme="majorEastAsia" w:eastAsiaTheme="majorEastAsia"/>
              <w:sz w:val="28"/>
              <w:szCs w:val="36"/>
            </w:rPr>
            <w:t>2.3. 平台类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tab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36"/>
            </w:rPr>
            <w:instrText xml:space="preserve"> PAGEREF _Toc161916701 \h </w:instrTex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separate"/>
          </w:r>
          <w:r>
            <w:rPr>
              <w:rFonts w:asciiTheme="majorEastAsia" w:hAnsiTheme="majorEastAsia" w:eastAsiaTheme="majorEastAsia"/>
              <w:sz w:val="28"/>
              <w:szCs w:val="36"/>
            </w:rPr>
            <w:t>7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630"/>
            </w:tabs>
            <w:rPr>
              <w:rFonts w:asciiTheme="majorEastAsia" w:hAnsiTheme="majorEastAsia" w:eastAsiaTheme="majorEastAsia"/>
              <w:sz w:val="28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"_Toc161916702" </w:instrText>
          </w:r>
          <w:r>
            <w:fldChar w:fldCharType="separate"/>
          </w:r>
          <w:r>
            <w:rPr>
              <w:rStyle w:val="11"/>
              <w:rFonts w:asciiTheme="majorEastAsia" w:hAnsiTheme="majorEastAsia" w:eastAsiaTheme="majorEastAsia"/>
              <w:sz w:val="28"/>
              <w:szCs w:val="36"/>
            </w:rPr>
            <w:t>2.4. 业务表单填写说明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tab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36"/>
            </w:rPr>
            <w:instrText xml:space="preserve"> PAGEREF _Toc161916702 \h </w:instrTex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separate"/>
          </w:r>
          <w:r>
            <w:rPr>
              <w:rFonts w:asciiTheme="majorEastAsia" w:hAnsiTheme="majorEastAsia" w:eastAsiaTheme="majorEastAsia"/>
              <w:sz w:val="28"/>
              <w:szCs w:val="36"/>
            </w:rPr>
            <w:t>7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</w:p>
        <w:p>
          <w:pPr>
            <w:pStyle w:val="3"/>
            <w:tabs>
              <w:tab w:val="right" w:leader="dot" w:pos="8630"/>
            </w:tabs>
            <w:rPr>
              <w:rFonts w:asciiTheme="majorEastAsia" w:hAnsiTheme="majorEastAsia" w:eastAsiaTheme="majorEastAsia"/>
              <w:sz w:val="28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"_Toc161916703" </w:instrText>
          </w:r>
          <w:r>
            <w:fldChar w:fldCharType="separate"/>
          </w:r>
          <w:r>
            <w:rPr>
              <w:rStyle w:val="11"/>
              <w:rFonts w:asciiTheme="majorEastAsia" w:hAnsiTheme="majorEastAsia" w:eastAsiaTheme="majorEastAsia"/>
              <w:sz w:val="28"/>
              <w:szCs w:val="36"/>
            </w:rPr>
            <w:t>2.4.1. 业务表单填报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tab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36"/>
            </w:rPr>
            <w:instrText xml:space="preserve"> PAGEREF _Toc161916703 \h </w:instrTex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separate"/>
          </w:r>
          <w:r>
            <w:rPr>
              <w:rFonts w:asciiTheme="majorEastAsia" w:hAnsiTheme="majorEastAsia" w:eastAsiaTheme="majorEastAsia"/>
              <w:sz w:val="28"/>
              <w:szCs w:val="36"/>
            </w:rPr>
            <w:t>7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</w:p>
        <w:p>
          <w:pPr>
            <w:pStyle w:val="3"/>
            <w:tabs>
              <w:tab w:val="right" w:leader="dot" w:pos="8630"/>
            </w:tabs>
            <w:rPr>
              <w:rFonts w:asciiTheme="majorEastAsia" w:hAnsiTheme="majorEastAsia" w:eastAsiaTheme="majorEastAsia"/>
              <w:sz w:val="28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"_Toc161916704" </w:instrText>
          </w:r>
          <w:r>
            <w:fldChar w:fldCharType="separate"/>
          </w:r>
          <w:r>
            <w:rPr>
              <w:rStyle w:val="11"/>
              <w:rFonts w:asciiTheme="majorEastAsia" w:hAnsiTheme="majorEastAsia" w:eastAsiaTheme="majorEastAsia"/>
              <w:sz w:val="28"/>
              <w:szCs w:val="36"/>
            </w:rPr>
            <w:t>2.4.2. 暂存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tab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36"/>
            </w:rPr>
            <w:instrText xml:space="preserve"> PAGEREF _Toc161916704 \h </w:instrTex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separate"/>
          </w:r>
          <w:r>
            <w:rPr>
              <w:rFonts w:asciiTheme="majorEastAsia" w:hAnsiTheme="majorEastAsia" w:eastAsiaTheme="majorEastAsia"/>
              <w:sz w:val="28"/>
              <w:szCs w:val="36"/>
            </w:rPr>
            <w:t>9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</w:p>
        <w:p>
          <w:pPr>
            <w:pStyle w:val="3"/>
            <w:tabs>
              <w:tab w:val="right" w:leader="dot" w:pos="8630"/>
            </w:tabs>
            <w:rPr>
              <w:rFonts w:asciiTheme="majorEastAsia" w:hAnsiTheme="majorEastAsia" w:eastAsiaTheme="majorEastAsia"/>
              <w:sz w:val="28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"_Toc161916705" </w:instrText>
          </w:r>
          <w:r>
            <w:fldChar w:fldCharType="separate"/>
          </w:r>
          <w:r>
            <w:rPr>
              <w:rStyle w:val="11"/>
              <w:rFonts w:asciiTheme="majorEastAsia" w:hAnsiTheme="majorEastAsia" w:eastAsiaTheme="majorEastAsia"/>
              <w:sz w:val="28"/>
              <w:szCs w:val="36"/>
            </w:rPr>
            <w:t>2.4.3. 导出申报书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tab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36"/>
            </w:rPr>
            <w:instrText xml:space="preserve"> PAGEREF _Toc161916705 \h </w:instrTex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separate"/>
          </w:r>
          <w:r>
            <w:rPr>
              <w:rFonts w:asciiTheme="majorEastAsia" w:hAnsiTheme="majorEastAsia" w:eastAsiaTheme="majorEastAsia"/>
              <w:sz w:val="28"/>
              <w:szCs w:val="36"/>
            </w:rPr>
            <w:t>10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</w:p>
        <w:p>
          <w:pPr>
            <w:pStyle w:val="3"/>
            <w:tabs>
              <w:tab w:val="right" w:leader="dot" w:pos="8630"/>
            </w:tabs>
            <w:rPr>
              <w:rFonts w:asciiTheme="majorEastAsia" w:hAnsiTheme="majorEastAsia" w:eastAsiaTheme="majorEastAsia"/>
              <w:sz w:val="28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"_Toc161916706" </w:instrText>
          </w:r>
          <w:r>
            <w:fldChar w:fldCharType="separate"/>
          </w:r>
          <w:r>
            <w:rPr>
              <w:rStyle w:val="11"/>
              <w:rFonts w:asciiTheme="majorEastAsia" w:hAnsiTheme="majorEastAsia" w:eastAsiaTheme="majorEastAsia"/>
              <w:sz w:val="28"/>
              <w:szCs w:val="36"/>
            </w:rPr>
            <w:t>2.4.4. 提交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tab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36"/>
            </w:rPr>
            <w:instrText xml:space="preserve"> PAGEREF _Toc161916706 \h </w:instrTex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separate"/>
          </w:r>
          <w:r>
            <w:rPr>
              <w:rFonts w:asciiTheme="majorEastAsia" w:hAnsiTheme="majorEastAsia" w:eastAsiaTheme="majorEastAsia"/>
              <w:sz w:val="28"/>
              <w:szCs w:val="36"/>
            </w:rPr>
            <w:t>12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8630"/>
            </w:tabs>
            <w:rPr>
              <w:rFonts w:asciiTheme="majorEastAsia" w:hAnsiTheme="majorEastAsia" w:eastAsiaTheme="majorEastAsia"/>
              <w:sz w:val="28"/>
              <w:szCs w:val="32"/>
              <w14:ligatures w14:val="standardContextual"/>
            </w:rPr>
          </w:pPr>
          <w:r>
            <w:fldChar w:fldCharType="begin"/>
          </w:r>
          <w:r>
            <w:instrText xml:space="preserve"> HYPERLINK \l "_Toc161916707" </w:instrText>
          </w:r>
          <w:r>
            <w:fldChar w:fldCharType="separate"/>
          </w:r>
          <w:r>
            <w:rPr>
              <w:rStyle w:val="11"/>
              <w:rFonts w:asciiTheme="majorEastAsia" w:hAnsiTheme="majorEastAsia" w:eastAsiaTheme="majorEastAsia"/>
              <w:sz w:val="28"/>
              <w:szCs w:val="36"/>
            </w:rPr>
            <w:t>3. 业务咨询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tab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begin"/>
          </w:r>
          <w:r>
            <w:rPr>
              <w:rFonts w:asciiTheme="majorEastAsia" w:hAnsiTheme="majorEastAsia" w:eastAsiaTheme="majorEastAsia"/>
              <w:sz w:val="28"/>
              <w:szCs w:val="36"/>
            </w:rPr>
            <w:instrText xml:space="preserve"> PAGEREF _Toc161916707 \h </w:instrTex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separate"/>
          </w:r>
          <w:r>
            <w:rPr>
              <w:rFonts w:asciiTheme="majorEastAsia" w:hAnsiTheme="majorEastAsia" w:eastAsiaTheme="majorEastAsia"/>
              <w:sz w:val="28"/>
              <w:szCs w:val="36"/>
            </w:rPr>
            <w:t>13</w:t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  <w:r>
            <w:rPr>
              <w:rFonts w:asciiTheme="majorEastAsia" w:hAnsiTheme="majorEastAsia" w:eastAsiaTheme="majorEastAsia"/>
              <w:sz w:val="28"/>
              <w:szCs w:val="36"/>
            </w:rPr>
            <w:fldChar w:fldCharType="end"/>
          </w:r>
        </w:p>
        <w:p>
          <w:pPr>
            <w:ind w:firstLine="560"/>
            <w:rPr>
              <w:sz w:val="36"/>
              <w:lang w:bidi="ar"/>
            </w:rPr>
          </w:pPr>
          <w:r>
            <w:rPr>
              <w:rFonts w:asciiTheme="majorEastAsia" w:hAnsiTheme="majorEastAsia" w:eastAsiaTheme="majorEastAsia"/>
              <w:sz w:val="28"/>
              <w:szCs w:val="36"/>
              <w:lang w:bidi="ar"/>
            </w:rPr>
            <w:fldChar w:fldCharType="end"/>
          </w:r>
        </w:p>
      </w:sdtContent>
    </w:sdt>
    <w:p>
      <w:bookmarkStart w:id="4" w:name="_Toc8890"/>
      <w:bookmarkStart w:id="5" w:name="_Toc25646"/>
      <w:r>
        <w:br w:type="page"/>
      </w:r>
    </w:p>
    <w:p>
      <w:pPr>
        <w:pStyle w:val="17"/>
        <w:numPr>
          <w:ilvl w:val="0"/>
          <w:numId w:val="1"/>
        </w:numPr>
        <w:ind w:firstLineChars="0"/>
        <w:outlineLvl w:val="0"/>
        <w:rPr>
          <w:sz w:val="32"/>
          <w:szCs w:val="40"/>
        </w:rPr>
      </w:pPr>
      <w:bookmarkStart w:id="6" w:name="_Toc161916697"/>
      <w:r>
        <w:rPr>
          <w:sz w:val="32"/>
          <w:szCs w:val="40"/>
        </w:rPr>
        <w:t>登录</w:t>
      </w:r>
      <w:bookmarkEnd w:id="4"/>
      <w:bookmarkEnd w:id="5"/>
      <w:bookmarkEnd w:id="6"/>
    </w:p>
    <w:p>
      <w:r>
        <w:rPr>
          <w:rFonts w:hint="eastAsia"/>
        </w:rPr>
        <w:t>打开谷歌浏览器或360浏览器极速模式，浏览器输入网址</w:t>
      </w:r>
      <w:r>
        <w:fldChar w:fldCharType="begin"/>
      </w:r>
      <w:r>
        <w:instrText xml:space="preserve"> HYPERLINK "http://221.181.145.5:8090/cjpt%20" </w:instrText>
      </w:r>
      <w:r>
        <w:fldChar w:fldCharType="separate"/>
      </w:r>
      <w:r>
        <w:rPr>
          <w:rFonts w:hint="eastAsia"/>
        </w:rPr>
        <w:t xml:space="preserve">http://www.jszwfw.gov.cn/ </w:t>
      </w:r>
      <w:r>
        <w:rPr>
          <w:rFonts w:hint="eastAsia"/>
        </w:rPr>
        <w:fldChar w:fldCharType="end"/>
      </w:r>
      <w:r>
        <w:rPr>
          <w:rFonts w:hint="eastAsia"/>
        </w:rPr>
        <w:t>打开页面，点击【登录】跳转到登录页面，选择【法人登录】，若法人关联多个企业时，需登录对应企业的账号。</w:t>
      </w:r>
    </w:p>
    <w:p>
      <w:r>
        <w:drawing>
          <wp:inline distT="0" distB="0" distL="114300" distR="114300">
            <wp:extent cx="5486400" cy="3026410"/>
            <wp:effectExtent l="0" t="0" r="825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若无账号或忘记账号，请在网页中根据操作引导进行注册/找回操作。</w:t>
      </w:r>
    </w:p>
    <w:p>
      <w:r>
        <w:drawing>
          <wp:inline distT="0" distB="0" distL="114300" distR="114300">
            <wp:extent cx="5486400" cy="2814955"/>
            <wp:effectExtent l="0" t="0" r="8255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登录后，在【综合旗舰店】中选择【省工业和信息化厅旗舰店】。</w:t>
      </w:r>
    </w:p>
    <w:p>
      <w:r>
        <w:drawing>
          <wp:inline distT="0" distB="0" distL="114300" distR="114300">
            <wp:extent cx="5486400" cy="2921635"/>
            <wp:effectExtent l="0" t="0" r="8255" b="381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在省工业和信息化厅旗舰店中，顶部选择【认定遴选类申报】，左侧选择【“智改数转网联”示范企业】。</w:t>
      </w:r>
    </w:p>
    <w:p>
      <w:r>
        <w:rPr>
          <w:rFonts w:hint="eastAsia"/>
        </w:rPr>
        <w:t>页面列表展示可申报事项，包括示范企业储备库、车间类、工厂类、标杆企业以及平台类申报事项，企业根据自身情况选择适合企业的申报事项，点击事项右侧【在线办理】进行填报；点击【办事指南】可查看办件说明。</w:t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4932680</wp:posOffset>
                </wp:positionH>
                <wp:positionV relativeFrom="paragraph">
                  <wp:posOffset>747395</wp:posOffset>
                </wp:positionV>
                <wp:extent cx="330200" cy="2737485"/>
                <wp:effectExtent l="0" t="0" r="12700" b="25400"/>
                <wp:wrapNone/>
                <wp:docPr id="29650027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01" cy="27371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388.4pt;margin-top:58.85pt;height:215.55pt;width:26pt;z-index:251661312;v-text-anchor:middle;mso-width-relative:page;mso-height-relative:page;" filled="f" stroked="t" coordsize="21600,21600" o:gfxdata="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A3IU7tgAAAALAQAADwAAAAAAAAABACAAAAAiAAAAZHJzL2Rv&#10;d25yZXYueG1sUEsBAhQAFAAAAAgAh07iQMTPjmlzAgAA0wQAAA4AAAAAAAAAAQAgAAAAJwEAAGRy&#10;cy9lMm9Eb2MueG1sUEsFBgAAAAAGAAYAWQEAAAw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767080</wp:posOffset>
                </wp:positionV>
                <wp:extent cx="709930" cy="198120"/>
                <wp:effectExtent l="0" t="0" r="14605" b="11430"/>
                <wp:wrapNone/>
                <wp:docPr id="132973251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863" cy="1982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23.8pt;margin-top:60.4pt;height:15.6pt;width:55.9pt;z-index:251660288;v-text-anchor:middle;mso-width-relative:page;mso-height-relative:page;" filled="f" stroked="t" coordsize="21600,21600" o:gfxdata="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JTPcbXAAAACgEAAA8AAAAAAAAAAQAgAAAAIgAAAGRycy9kb3du&#10;cmV2LnhtbFBLAQIUABQAAAAIAIdO4kChJwBncgIAANMEAAAOAAAAAAAAAAEAIAAAACYBAABkcnMv&#10;ZTJvRG9jLnhtbFBLBQYAAAAABgAGAFkBAAAK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3717290</wp:posOffset>
                </wp:positionH>
                <wp:positionV relativeFrom="paragraph">
                  <wp:posOffset>229870</wp:posOffset>
                </wp:positionV>
                <wp:extent cx="709930" cy="198120"/>
                <wp:effectExtent l="0" t="0" r="14605" b="11430"/>
                <wp:wrapNone/>
                <wp:docPr id="77553453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863" cy="1982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292.7pt;margin-top:18.1pt;height:15.6pt;width:55.9pt;z-index:251659264;v-text-anchor:middle;mso-width-relative:page;mso-height-relative:page;" filled="f" stroked="t" coordsize="21600,21600" o:gfxdata="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2Wnj32AAAAAkBAAAPAAAAAAAAAAEAIAAAACIAAABkcnMvZG93&#10;bnJldi54bWxQSwECFAAUAAAACACHTuJAexQf3nICAADSBAAADgAAAAAAAAABACAAAAAn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486400" cy="3452495"/>
            <wp:effectExtent l="0" t="0" r="0" b="0"/>
            <wp:docPr id="1994096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966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45100" cy="3282950"/>
            <wp:effectExtent l="0" t="0" r="0" b="0"/>
            <wp:docPr id="1067536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3683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5370" cy="32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7"/>
        <w:numPr>
          <w:ilvl w:val="0"/>
          <w:numId w:val="1"/>
        </w:numPr>
        <w:ind w:firstLineChars="0"/>
        <w:outlineLvl w:val="0"/>
        <w:rPr>
          <w:sz w:val="32"/>
          <w:szCs w:val="40"/>
        </w:rPr>
      </w:pPr>
      <w:bookmarkStart w:id="7" w:name="_Toc161916698"/>
      <w:r>
        <w:rPr>
          <w:rFonts w:hint="eastAsia"/>
          <w:sz w:val="32"/>
          <w:szCs w:val="40"/>
        </w:rPr>
        <w:t>认定申报</w:t>
      </w:r>
      <w:bookmarkEnd w:id="7"/>
    </w:p>
    <w:p>
      <w:pPr>
        <w:pStyle w:val="17"/>
        <w:numPr>
          <w:ilvl w:val="1"/>
          <w:numId w:val="1"/>
        </w:numPr>
        <w:ind w:firstLineChars="0"/>
        <w:outlineLvl w:val="1"/>
        <w:rPr>
          <w:sz w:val="24"/>
          <w:szCs w:val="32"/>
        </w:rPr>
      </w:pPr>
      <w:bookmarkStart w:id="8" w:name="_Toc161916699"/>
      <w:r>
        <w:rPr>
          <w:rFonts w:hint="eastAsia"/>
          <w:sz w:val="24"/>
          <w:szCs w:val="32"/>
        </w:rPr>
        <w:t>示范企业储备库</w:t>
      </w:r>
      <w:bookmarkEnd w:id="8"/>
    </w:p>
    <w:p>
      <w:r>
        <w:rPr>
          <w:rFonts w:hint="eastAsia"/>
        </w:rPr>
        <w:t>储备库入驻全年开放，填报提交后即可入驻，入驻后在【我的办件】中可随时更新储备库信息。</w:t>
      </w:r>
    </w:p>
    <w:p>
      <w:r>
        <w:drawing>
          <wp:inline distT="0" distB="0" distL="0" distR="0">
            <wp:extent cx="5486400" cy="2428875"/>
            <wp:effectExtent l="0" t="0" r="0" b="9525"/>
            <wp:docPr id="2107508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0845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486400" cy="1743075"/>
            <wp:effectExtent l="0" t="0" r="0" b="9525"/>
            <wp:docPr id="13921444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4447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1"/>
          <w:numId w:val="1"/>
        </w:numPr>
        <w:ind w:firstLineChars="0"/>
        <w:outlineLvl w:val="1"/>
        <w:rPr>
          <w:sz w:val="24"/>
          <w:szCs w:val="32"/>
        </w:rPr>
      </w:pPr>
      <w:bookmarkStart w:id="9" w:name="_Toc161916700"/>
      <w:r>
        <w:rPr>
          <w:rFonts w:hint="eastAsia"/>
          <w:sz w:val="24"/>
          <w:szCs w:val="32"/>
        </w:rPr>
        <w:t>车间类、工厂类、标杆企业申报</w:t>
      </w:r>
      <w:bookmarkEnd w:id="9"/>
    </w:p>
    <w:p>
      <w:r>
        <w:rPr>
          <w:rFonts w:hint="eastAsia"/>
        </w:rPr>
        <w:t>示范企业中的示范车间、示范工厂和标杆企业是按照“储备、培育、遴选、支持”的原则，以生产作业环节为重点，以典型场景为基本要素，从车间、工厂、企业三个层级构建示范企业分类分级梯度培育体系。</w:t>
      </w:r>
    </w:p>
    <w:p>
      <w:r>
        <w:rPr>
          <w:rFonts w:hint="eastAsia"/>
        </w:rPr>
        <w:t>企业申报前需根据企业的历史申报情况，按照梯度选择符合申报条件的业务进行办理，无法向下申报。</w:t>
      </w:r>
    </w:p>
    <w:p>
      <w:r>
        <w:drawing>
          <wp:inline distT="0" distB="0" distL="0" distR="0">
            <wp:extent cx="5486400" cy="2406015"/>
            <wp:effectExtent l="0" t="0" r="0" b="0"/>
            <wp:docPr id="1904391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9130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若企业不符合当前申办业务，系统会进行告知提示，点击确定后返回进入申报列表</w:t>
      </w:r>
    </w:p>
    <w:p>
      <w:r>
        <w:drawing>
          <wp:inline distT="0" distB="0" distL="0" distR="0">
            <wp:extent cx="5486400" cy="1200150"/>
            <wp:effectExtent l="0" t="0" r="0" b="0"/>
            <wp:docPr id="14460423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4233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工厂类申报中：省智能制造示范工厂、5G工厂、工业互联网标杆工厂，三者只能选择其中一个进行申报，申报前系统会进行二次确认，点击确定则留在当前页面继续申报，点击取消则返回申报列表，重新选择申报业务。</w:t>
      </w:r>
    </w:p>
    <w:p>
      <w:r>
        <w:drawing>
          <wp:inline distT="0" distB="0" distL="0" distR="0">
            <wp:extent cx="5486400" cy="1231900"/>
            <wp:effectExtent l="0" t="0" r="0" b="6350"/>
            <wp:docPr id="52063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399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1"/>
          <w:numId w:val="1"/>
        </w:numPr>
        <w:ind w:firstLineChars="0"/>
        <w:outlineLvl w:val="1"/>
        <w:rPr>
          <w:sz w:val="24"/>
          <w:szCs w:val="32"/>
        </w:rPr>
      </w:pPr>
      <w:bookmarkStart w:id="10" w:name="_Toc161916701"/>
      <w:r>
        <w:rPr>
          <w:rFonts w:hint="eastAsia"/>
          <w:sz w:val="24"/>
          <w:szCs w:val="32"/>
        </w:rPr>
        <w:t>平台类</w:t>
      </w:r>
      <w:bookmarkEnd w:id="10"/>
    </w:p>
    <w:p>
      <w:r>
        <w:rPr>
          <w:rFonts w:hint="eastAsia"/>
        </w:rPr>
        <w:t>示范企业中的省重点工业互联网平台包括企业级、行业级、区域级、双跨（跨行业跨领域）四类平台。</w:t>
      </w:r>
    </w:p>
    <w:p>
      <w:r>
        <w:rPr>
          <w:rFonts w:hint="eastAsia"/>
        </w:rPr>
        <w:t>若企业之前未进行工业互联网平台的申报，可选择其中符合要求的平台进行申报；</w:t>
      </w:r>
    </w:p>
    <w:p>
      <w:r>
        <w:rPr>
          <w:rFonts w:hint="eastAsia"/>
        </w:rPr>
        <w:t>若企业进行过企业级工业互联网平台申报，可再另外三个平台中进行申报；</w:t>
      </w:r>
    </w:p>
    <w:p>
      <w:r>
        <w:rPr>
          <w:rFonts w:hint="eastAsia"/>
        </w:rPr>
        <w:t>若企业进行过行业级/区域级工业互联网平台申报，可进行双跨工业互联网平台申报；</w:t>
      </w:r>
    </w:p>
    <w:p>
      <w:r>
        <w:rPr>
          <w:rFonts w:hint="eastAsia"/>
        </w:rPr>
        <w:t>若企业进行过双跨工业互联网平台申报，则不可进行任一工业互联网平台申报。</w:t>
      </w:r>
    </w:p>
    <w:p>
      <w:pPr>
        <w:ind w:firstLine="0" w:firstLineChars="0"/>
      </w:pPr>
      <w:r>
        <w:drawing>
          <wp:inline distT="0" distB="0" distL="0" distR="0">
            <wp:extent cx="5486400" cy="2446020"/>
            <wp:effectExtent l="0" t="0" r="0" b="0"/>
            <wp:docPr id="509616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1610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1"/>
          <w:numId w:val="1"/>
        </w:numPr>
        <w:ind w:firstLineChars="0"/>
        <w:outlineLvl w:val="1"/>
        <w:rPr>
          <w:sz w:val="24"/>
          <w:szCs w:val="32"/>
        </w:rPr>
      </w:pPr>
      <w:bookmarkStart w:id="11" w:name="_Toc161916702"/>
      <w:r>
        <w:rPr>
          <w:rFonts w:hint="eastAsia"/>
          <w:sz w:val="24"/>
          <w:szCs w:val="32"/>
        </w:rPr>
        <w:t>业务表单填写说明</w:t>
      </w:r>
      <w:bookmarkEnd w:id="11"/>
    </w:p>
    <w:p>
      <w:pPr>
        <w:pStyle w:val="17"/>
        <w:numPr>
          <w:ilvl w:val="2"/>
          <w:numId w:val="1"/>
        </w:numPr>
        <w:ind w:firstLineChars="0"/>
        <w:outlineLvl w:val="2"/>
        <w:rPr>
          <w:sz w:val="24"/>
          <w:szCs w:val="32"/>
        </w:rPr>
      </w:pPr>
      <w:bookmarkStart w:id="12" w:name="_Toc161916703"/>
      <w:r>
        <w:rPr>
          <w:rFonts w:hint="eastAsia"/>
          <w:sz w:val="24"/>
          <w:szCs w:val="32"/>
        </w:rPr>
        <w:t>业务表单填报</w:t>
      </w:r>
      <w:bookmarkEnd w:id="12"/>
    </w:p>
    <w:p>
      <w:r>
        <w:rPr>
          <w:rFonts w:hint="eastAsia"/>
        </w:rPr>
        <w:t>点击【在线办理】，进入对应业务的填报页面，若符合填报条件的，则可正常查看并填写表单信息。</w:t>
      </w:r>
    </w:p>
    <w:p>
      <w:r>
        <w:rPr>
          <w:rFonts w:hint="eastAsia"/>
        </w:rPr>
        <w:t>车间类、工厂类、标杆企业，填报表单右侧展示认定的梯度流程，当前申报节点高亮显示，流程节点下方支持建设指南下载，每个申报表单上方有不同的tab内容，点击可切换tab页面进行填报。</w:t>
      </w:r>
    </w:p>
    <w:p/>
    <w:p>
      <w:pPr>
        <w:ind w:firstLine="0" w:firstLineChars="0"/>
      </w:pPr>
      <w:r>
        <w:drawing>
          <wp:inline distT="0" distB="0" distL="0" distR="0">
            <wp:extent cx="5486400" cy="2657475"/>
            <wp:effectExtent l="0" t="0" r="0" b="9525"/>
            <wp:docPr id="4939669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6697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平台类填报，在表单右上方支持建设指南下载，每个申报表单上方有不同的tab内容，点击可切换tab页面进行填报。</w:t>
      </w:r>
    </w:p>
    <w:p>
      <w:pPr>
        <w:ind w:firstLine="0" w:firstLineChars="0"/>
      </w:pPr>
      <w:r>
        <w:drawing>
          <wp:inline distT="0" distB="0" distL="0" distR="0">
            <wp:extent cx="5486400" cy="2192020"/>
            <wp:effectExtent l="0" t="0" r="0" b="0"/>
            <wp:docPr id="1382632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3225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注：下图①【单位地址】选项请慎重选择，提交后决定办件上报的审核区域。下图②【所属集群】、【所属产业链】、【所属行业】请慎重选择，选项决定办件上报行业处室。</w:t>
      </w:r>
    </w:p>
    <w:p/>
    <w:p>
      <w:pPr>
        <w:ind w:firstLine="0" w:firstLineChars="0"/>
      </w:pPr>
      <w:r>
        <w:drawing>
          <wp:inline distT="0" distB="0" distL="0" distR="0">
            <wp:extent cx="5486400" cy="2087880"/>
            <wp:effectExtent l="0" t="0" r="0" b="7620"/>
            <wp:docPr id="1698937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37219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在填报过程中下图富文本框支持图文混排，如果需要从</w:t>
      </w:r>
      <w:r>
        <w:t> word</w:t>
      </w:r>
      <w:r>
        <w:rPr>
          <w:rFonts w:hint="eastAsia"/>
        </w:rPr>
        <w:t>文档中进行内容复制，仅支持文字内容复制到文本框中，不支持图片的复制，由于</w:t>
      </w:r>
      <w:r>
        <w:t>图片</w:t>
      </w:r>
      <w:r>
        <w:rPr>
          <w:rFonts w:hint="eastAsia"/>
        </w:rPr>
        <w:t>属于</w:t>
      </w:r>
      <w:r>
        <w:t>本地文件</w:t>
      </w:r>
      <w:r>
        <w:rPr>
          <w:rFonts w:hint="eastAsia"/>
        </w:rPr>
        <w:t>，</w:t>
      </w:r>
      <w:r>
        <w:t>浏览器不允许直接访问 </w:t>
      </w:r>
      <w:r>
        <w:rPr>
          <w:rFonts w:hint="eastAsia"/>
        </w:rPr>
        <w:t>，图片的上传需要通过下图富文本框中的图片上传功能进行上传。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486400" cy="3407410"/>
            <wp:effectExtent l="0" t="0" r="0" b="2540"/>
            <wp:docPr id="19862540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5407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2"/>
          <w:numId w:val="1"/>
        </w:numPr>
        <w:ind w:firstLineChars="0"/>
        <w:outlineLvl w:val="2"/>
        <w:rPr>
          <w:sz w:val="24"/>
          <w:szCs w:val="32"/>
        </w:rPr>
      </w:pPr>
      <w:bookmarkStart w:id="13" w:name="_Toc161916704"/>
      <w:r>
        <w:rPr>
          <w:rFonts w:hint="eastAsia"/>
          <w:sz w:val="24"/>
          <w:szCs w:val="32"/>
        </w:rPr>
        <w:t>暂存</w:t>
      </w:r>
      <w:bookmarkEnd w:id="13"/>
    </w:p>
    <w:p>
      <w:r>
        <w:rPr>
          <w:rFonts w:hint="eastAsia"/>
        </w:rPr>
        <w:t>每个填报页面的下方均有【暂存】按钮，在任意页面点击后，会保存当前全部页面的填报内容。</w:t>
      </w:r>
    </w:p>
    <w:p>
      <w:pPr>
        <w:ind w:firstLine="0" w:firstLineChars="0"/>
      </w:pPr>
      <w:r>
        <w:drawing>
          <wp:inline distT="0" distB="0" distL="0" distR="0">
            <wp:extent cx="5486400" cy="2721610"/>
            <wp:effectExtent l="0" t="0" r="0" b="2540"/>
            <wp:docPr id="7096007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0079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暂存后可在【我的办件】页面中查找，点击【编辑】即可继续填写，点击【删除】即删除之前暂存的业务数据。</w:t>
      </w:r>
    </w:p>
    <w:p>
      <w:pPr>
        <w:ind w:firstLine="0" w:firstLineChars="0"/>
      </w:pPr>
      <w:r>
        <w:drawing>
          <wp:inline distT="0" distB="0" distL="0" distR="0">
            <wp:extent cx="5486400" cy="1737360"/>
            <wp:effectExtent l="0" t="0" r="0" b="0"/>
            <wp:docPr id="1306889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88903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2"/>
          <w:numId w:val="1"/>
        </w:numPr>
        <w:ind w:firstLineChars="0"/>
        <w:outlineLvl w:val="2"/>
        <w:rPr>
          <w:sz w:val="24"/>
          <w:szCs w:val="32"/>
        </w:rPr>
      </w:pPr>
      <w:bookmarkStart w:id="14" w:name="_Toc161916705"/>
      <w:r>
        <w:rPr>
          <w:rFonts w:hint="eastAsia"/>
          <w:sz w:val="24"/>
          <w:szCs w:val="32"/>
        </w:rPr>
        <w:t>导出申报书</w:t>
      </w:r>
      <w:bookmarkEnd w:id="14"/>
    </w:p>
    <w:p>
      <w:r>
        <w:rPr>
          <w:rFonts w:hint="eastAsia"/>
        </w:rPr>
        <w:t>每个填报页面的下方均有【导出申报书】的按钮，在任意页面点击后，则根据当前最新填报内容导出PDF文件。</w:t>
      </w:r>
    </w:p>
    <w:p>
      <w:pPr>
        <w:ind w:firstLine="0" w:firstLineChars="0"/>
      </w:pPr>
      <w:r>
        <w:drawing>
          <wp:inline distT="0" distB="0" distL="0" distR="0">
            <wp:extent cx="5486400" cy="2710815"/>
            <wp:effectExtent l="0" t="0" r="0" b="0"/>
            <wp:docPr id="1868440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40794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根据填报内容，如果申报书中填报了较多的图片，申报书导出时间会较长，请耐心等待，若需要暂停导出则点击弹窗右上角的关闭按钮，可随时停止导出。</w:t>
      </w:r>
    </w:p>
    <w:p>
      <w:pPr>
        <w:ind w:firstLine="0" w:firstLineChars="0"/>
      </w:pPr>
      <w:r>
        <w:drawing>
          <wp:inline distT="0" distB="0" distL="0" distR="0">
            <wp:extent cx="5486400" cy="2346325"/>
            <wp:effectExtent l="0" t="0" r="0" b="0"/>
            <wp:docPr id="21465068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0683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申报书后台渲染完成后，弹窗如下图会变为申报书已准备好，浏览器可进行下载，若浏览器出现拦截可点击弹窗的【手动下载】按钮，则会进行申报书的自动下载。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486400" cy="2392045"/>
            <wp:effectExtent l="0" t="0" r="0" b="8255"/>
            <wp:docPr id="811568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6887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申报书导出后需进行线下盖章，盖章后扫描上传至佐证材料中。</w:t>
      </w:r>
    </w:p>
    <w:p>
      <w:pPr>
        <w:ind w:firstLine="0" w:firstLineChars="0"/>
      </w:pPr>
      <w:r>
        <w:drawing>
          <wp:inline distT="0" distB="0" distL="0" distR="0">
            <wp:extent cx="5486400" cy="2602865"/>
            <wp:effectExtent l="0" t="0" r="0" b="6985"/>
            <wp:docPr id="1830348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4807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2"/>
          <w:numId w:val="1"/>
        </w:numPr>
        <w:ind w:firstLineChars="0"/>
        <w:outlineLvl w:val="2"/>
        <w:rPr>
          <w:sz w:val="24"/>
          <w:szCs w:val="32"/>
        </w:rPr>
      </w:pPr>
      <w:bookmarkStart w:id="15" w:name="_Toc161916706"/>
      <w:r>
        <w:rPr>
          <w:rFonts w:hint="eastAsia"/>
          <w:sz w:val="24"/>
          <w:szCs w:val="32"/>
        </w:rPr>
        <w:t>提交</w:t>
      </w:r>
      <w:bookmarkEnd w:id="15"/>
    </w:p>
    <w:p>
      <w:r>
        <w:rPr>
          <w:rFonts w:hint="eastAsia"/>
        </w:rPr>
        <w:t>各页面表单均填写完成无误后，点击【提交】，进行提交操作。</w:t>
      </w:r>
    </w:p>
    <w:p>
      <w:pPr>
        <w:ind w:firstLine="0" w:firstLineChars="0"/>
      </w:pPr>
      <w:r>
        <w:drawing>
          <wp:inline distT="0" distB="0" distL="0" distR="0">
            <wp:extent cx="5486400" cy="2049145"/>
            <wp:effectExtent l="0" t="0" r="0" b="8255"/>
            <wp:docPr id="1361366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66720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提交后信息不可修改，页面跳转到填报首页，可在【我的办件】页面中查找该业务，点击查看即可查看该业务填报的详细内容。</w:t>
      </w:r>
    </w:p>
    <w:p>
      <w:pPr>
        <w:ind w:firstLine="0" w:firstLineChars="0"/>
      </w:pPr>
      <w:r>
        <w:drawing>
          <wp:inline distT="0" distB="0" distL="0" distR="0">
            <wp:extent cx="5486400" cy="1663065"/>
            <wp:effectExtent l="0" t="0" r="0" b="0"/>
            <wp:docPr id="1237292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92798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r>
        <w:rPr>
          <w:rFonts w:hint="eastAsia"/>
        </w:rPr>
        <w:t>若存在未填写项或填写内容不符要求，会有弹窗提示和对应填写项标红提示，需全部按要求填写后才可成功提交。</w:t>
      </w:r>
    </w:p>
    <w:p>
      <w:pPr>
        <w:ind w:firstLine="0" w:firstLineChars="0"/>
      </w:pPr>
      <w:r>
        <w:drawing>
          <wp:inline distT="0" distB="0" distL="0" distR="0">
            <wp:extent cx="5486400" cy="2104390"/>
            <wp:effectExtent l="0" t="0" r="0" b="0"/>
            <wp:docPr id="18121850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18500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1"/>
        </w:numPr>
        <w:ind w:firstLineChars="0"/>
        <w:outlineLvl w:val="0"/>
        <w:rPr>
          <w:sz w:val="32"/>
          <w:szCs w:val="40"/>
        </w:rPr>
      </w:pPr>
      <w:bookmarkStart w:id="16" w:name="_Toc161916707"/>
      <w:bookmarkStart w:id="17" w:name="_Toc159940574"/>
      <w:r>
        <w:rPr>
          <w:rFonts w:hint="eastAsia"/>
          <w:sz w:val="32"/>
          <w:szCs w:val="40"/>
        </w:rPr>
        <w:t>业务咨询</w:t>
      </w:r>
      <w:bookmarkEnd w:id="16"/>
      <w:bookmarkEnd w:id="17"/>
    </w:p>
    <w:p>
      <w:pPr>
        <w:pStyle w:val="17"/>
        <w:widowControl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有关政务服务网站登录注册账号等问题可咨询12345</w:t>
      </w:r>
    </w:p>
    <w:p>
      <w:pPr>
        <w:pStyle w:val="17"/>
        <w:widowControl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工信厅旗舰店申报提交相关疑问，可联系运维单位：</w:t>
      </w:r>
    </w:p>
    <w:p>
      <w:r>
        <w:rPr>
          <w:rFonts w:hint="eastAsia"/>
        </w:rPr>
        <w:t>技术支持电话:18912980070</w:t>
      </w:r>
    </w:p>
    <w:p>
      <w:r>
        <w:rPr>
          <w:rFonts w:hint="eastAsia"/>
        </w:rPr>
        <w:t>技术支持QQ:1225254416</w:t>
      </w:r>
    </w:p>
    <w:p>
      <w:pPr>
        <w:ind w:firstLine="0" w:firstLineChars="0"/>
      </w:pPr>
    </w:p>
    <w:p/>
    <w:sectPr>
      <w:pgSz w:w="12240" w:h="15840"/>
      <w:pgMar w:top="1440" w:right="1800" w:bottom="1440" w:left="1800" w:header="720" w:footer="720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B0343A"/>
    <w:multiLevelType w:val="multilevel"/>
    <w:tmpl w:val="EFB0343A"/>
    <w:lvl w:ilvl="0" w:tentative="0">
      <w:start w:val="1"/>
      <w:numFmt w:val="decimal"/>
      <w:suff w:val="space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672A032E"/>
    <w:multiLevelType w:val="multilevel"/>
    <w:tmpl w:val="672A032E"/>
    <w:lvl w:ilvl="0" w:tentative="0">
      <w:start w:val="1"/>
      <w:numFmt w:val="decimal"/>
      <w:lvlText w:val="%1)"/>
      <w:lvlJc w:val="left"/>
      <w:pPr>
        <w:ind w:left="1000" w:hanging="440"/>
      </w:pPr>
    </w:lvl>
    <w:lvl w:ilvl="1" w:tentative="0">
      <w:start w:val="1"/>
      <w:numFmt w:val="lowerLetter"/>
      <w:lvlText w:val="%2)"/>
      <w:lvlJc w:val="left"/>
      <w:pPr>
        <w:ind w:left="1440" w:hanging="440"/>
      </w:pPr>
    </w:lvl>
    <w:lvl w:ilvl="2" w:tentative="0">
      <w:start w:val="1"/>
      <w:numFmt w:val="lowerRoman"/>
      <w:lvlText w:val="%3."/>
      <w:lvlJc w:val="right"/>
      <w:pPr>
        <w:ind w:left="1880" w:hanging="440"/>
      </w:pPr>
    </w:lvl>
    <w:lvl w:ilvl="3" w:tentative="0">
      <w:start w:val="1"/>
      <w:numFmt w:val="decimal"/>
      <w:lvlText w:val="%4."/>
      <w:lvlJc w:val="left"/>
      <w:pPr>
        <w:ind w:left="2320" w:hanging="440"/>
      </w:pPr>
    </w:lvl>
    <w:lvl w:ilvl="4" w:tentative="0">
      <w:start w:val="1"/>
      <w:numFmt w:val="lowerLetter"/>
      <w:lvlText w:val="%5)"/>
      <w:lvlJc w:val="left"/>
      <w:pPr>
        <w:ind w:left="2760" w:hanging="440"/>
      </w:pPr>
    </w:lvl>
    <w:lvl w:ilvl="5" w:tentative="0">
      <w:start w:val="1"/>
      <w:numFmt w:val="lowerRoman"/>
      <w:lvlText w:val="%6."/>
      <w:lvlJc w:val="right"/>
      <w:pPr>
        <w:ind w:left="3200" w:hanging="440"/>
      </w:pPr>
    </w:lvl>
    <w:lvl w:ilvl="6" w:tentative="0">
      <w:start w:val="1"/>
      <w:numFmt w:val="decimal"/>
      <w:lvlText w:val="%7."/>
      <w:lvlJc w:val="left"/>
      <w:pPr>
        <w:ind w:left="3640" w:hanging="440"/>
      </w:pPr>
    </w:lvl>
    <w:lvl w:ilvl="7" w:tentative="0">
      <w:start w:val="1"/>
      <w:numFmt w:val="lowerLetter"/>
      <w:lvlText w:val="%8)"/>
      <w:lvlJc w:val="left"/>
      <w:pPr>
        <w:ind w:left="4080" w:hanging="440"/>
      </w:pPr>
    </w:lvl>
    <w:lvl w:ilvl="8" w:tentative="0">
      <w:start w:val="1"/>
      <w:numFmt w:val="lowerRoman"/>
      <w:lvlText w:val="%9."/>
      <w:lvlJc w:val="right"/>
      <w:pPr>
        <w:ind w:left="452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5YjZlY2Y1Njc0ZmQ0ZDFmMGY4YjcwMzU1Nzk3OWEifQ=="/>
  </w:docVars>
  <w:rsids>
    <w:rsidRoot w:val="737311CF"/>
    <w:rsid w:val="00096406"/>
    <w:rsid w:val="000C65F2"/>
    <w:rsid w:val="000F1FCA"/>
    <w:rsid w:val="00110D9D"/>
    <w:rsid w:val="00143B41"/>
    <w:rsid w:val="00181C08"/>
    <w:rsid w:val="00222864"/>
    <w:rsid w:val="002302D9"/>
    <w:rsid w:val="002466C7"/>
    <w:rsid w:val="00283C26"/>
    <w:rsid w:val="002A3696"/>
    <w:rsid w:val="002B2776"/>
    <w:rsid w:val="00377BD5"/>
    <w:rsid w:val="003A17A9"/>
    <w:rsid w:val="003C7ED8"/>
    <w:rsid w:val="003E5C36"/>
    <w:rsid w:val="00444069"/>
    <w:rsid w:val="00460B55"/>
    <w:rsid w:val="00486C80"/>
    <w:rsid w:val="004D1719"/>
    <w:rsid w:val="00574FC9"/>
    <w:rsid w:val="006161E9"/>
    <w:rsid w:val="0069598B"/>
    <w:rsid w:val="007F69FA"/>
    <w:rsid w:val="0080689C"/>
    <w:rsid w:val="00851421"/>
    <w:rsid w:val="00997D4E"/>
    <w:rsid w:val="009A3520"/>
    <w:rsid w:val="009F7E07"/>
    <w:rsid w:val="00AB3618"/>
    <w:rsid w:val="00CC73CF"/>
    <w:rsid w:val="00CD4460"/>
    <w:rsid w:val="00D36D96"/>
    <w:rsid w:val="00D74795"/>
    <w:rsid w:val="00DA233A"/>
    <w:rsid w:val="00DC6366"/>
    <w:rsid w:val="00DD6DE7"/>
    <w:rsid w:val="00E50B31"/>
    <w:rsid w:val="00EC1137"/>
    <w:rsid w:val="00EC7FFB"/>
    <w:rsid w:val="00F004F0"/>
    <w:rsid w:val="00F42A7D"/>
    <w:rsid w:val="00F638E4"/>
    <w:rsid w:val="29E00D28"/>
    <w:rsid w:val="356E4F14"/>
    <w:rsid w:val="53F03344"/>
    <w:rsid w:val="619552E6"/>
    <w:rsid w:val="7373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420" w:firstLineChars="200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widowControl/>
      <w:spacing w:before="340" w:after="330" w:line="578" w:lineRule="auto"/>
      <w:ind w:firstLine="200"/>
      <w:outlineLvl w:val="0"/>
    </w:pPr>
    <w:rPr>
      <w:rFonts w:ascii="宋体" w:hAnsi="宋体" w:eastAsia="宋体" w:cs="宋体"/>
      <w:b/>
      <w:bCs/>
      <w:kern w:val="44"/>
      <w:sz w:val="44"/>
      <w:szCs w:val="4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autoRedefine/>
    <w:qFormat/>
    <w:uiPriority w:val="39"/>
    <w:pPr>
      <w:ind w:left="840" w:leftChars="400"/>
    </w:pPr>
  </w:style>
  <w:style w:type="paragraph" w:styleId="4">
    <w:name w:val="footer"/>
    <w:basedOn w:val="1"/>
    <w:link w:val="16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autoRedefine/>
    <w:qFormat/>
    <w:uiPriority w:val="39"/>
  </w:style>
  <w:style w:type="paragraph" w:styleId="7">
    <w:name w:val="toc 2"/>
    <w:basedOn w:val="1"/>
    <w:next w:val="1"/>
    <w:autoRedefine/>
    <w:qFormat/>
    <w:uiPriority w:val="39"/>
    <w:pPr>
      <w:ind w:left="420" w:leftChars="200"/>
    </w:pPr>
  </w:style>
  <w:style w:type="character" w:styleId="10">
    <w:name w:val="FollowedHyperlink"/>
    <w:basedOn w:val="9"/>
    <w:autoRedefine/>
    <w:qFormat/>
    <w:uiPriority w:val="0"/>
    <w:rPr>
      <w:color w:val="954F72"/>
      <w:u w:val="single"/>
    </w:rPr>
  </w:style>
  <w:style w:type="character" w:styleId="11">
    <w:name w:val="Hyperlink"/>
    <w:basedOn w:val="9"/>
    <w:autoRedefine/>
    <w:qFormat/>
    <w:uiPriority w:val="99"/>
    <w:rPr>
      <w:color w:val="0563C1"/>
      <w:u w:val="single"/>
    </w:rPr>
  </w:style>
  <w:style w:type="paragraph" w:customStyle="1" w:styleId="12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3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4">
    <w:name w:val="WPSOffice手动目录 3"/>
    <w:autoRedefine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5">
    <w:name w:val="页眉 字符"/>
    <w:basedOn w:val="9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7">
    <w:name w:val="List Paragraph"/>
    <w:basedOn w:val="1"/>
    <w:autoRedefine/>
    <w:unhideWhenUsed/>
    <w:qFormat/>
    <w:uiPriority w:val="34"/>
  </w:style>
  <w:style w:type="character" w:customStyle="1" w:styleId="18">
    <w:name w:val="标题 1 字符"/>
    <w:basedOn w:val="9"/>
    <w:link w:val="2"/>
    <w:autoRedefine/>
    <w:qFormat/>
    <w:uiPriority w:val="9"/>
    <w:rPr>
      <w:rFonts w:ascii="宋体" w:hAnsi="宋体" w:cs="宋体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1820</Words>
  <Characters>1928</Characters>
  <Lines>20</Lines>
  <Paragraphs>5</Paragraphs>
  <TotalTime>279</TotalTime>
  <ScaleCrop>false</ScaleCrop>
  <LinksUpToDate>false</LinksUpToDate>
  <CharactersWithSpaces>2020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2024-03-18T08:05:00Z</dcterms:created>
  <dc:creator>セセ</dc:creator>
  <cp:lastModifiedBy>Y</cp:lastModifiedBy>
  <dcterms:modified xsi:type="dcterms:W3CDTF">2024-03-27T07:23:02Z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C2CD1A2EFFD649C58FCD53455AF01839_11</vt:lpwstr>
  </property>
</Properties>
</file>