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35.240.50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G</w:t>
            </w:r>
            <w:r>
              <w:rPr>
                <w:rFonts w:ascii="黑体" w:hAnsi="黑体" w:eastAsia="黑体"/>
                <w:sz w:val="21"/>
                <w:szCs w:val="21"/>
              </w:rPr>
              <w:t xml:space="preserve"> 07</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化工行业智能化改造数字化转型</w:t>
      </w:r>
    </w:p>
    <w:p>
      <w:pPr>
        <w:pStyle w:val="197"/>
        <w:framePr w:h="6974" w:hRule="exact" w:wrap="around" w:x="1419" w:anchorLock="1"/>
      </w:pPr>
      <w:r>
        <w:rPr>
          <w:rFonts w:hint="eastAsia"/>
        </w:rPr>
        <w:t>网络化联接实施指南</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Implementation Guide for Intellectualized Transformation Digital Transformation and Networked Connection of Chemical Industry</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2146194"/>
      <w:bookmarkStart w:id="23" w:name="_Toc162146155"/>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"_Toc162146262" </w:instrText>
      </w:r>
      <w:r>
        <w:fldChar w:fldCharType="separate"/>
      </w:r>
      <w:r>
        <w:rPr>
          <w:rStyle w:val="32"/>
        </w:rPr>
        <w:t>前言</w:t>
      </w:r>
      <w:r>
        <w:tab/>
      </w:r>
      <w:r>
        <w:fldChar w:fldCharType="begin"/>
      </w:r>
      <w:r>
        <w:instrText xml:space="preserve"> PAGEREF _Toc162146262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"_Toc162146263" </w:instrText>
      </w:r>
      <w:r>
        <w:fldChar w:fldCharType="separate"/>
      </w:r>
      <w:r>
        <w:rPr>
          <w:rStyle w:val="32"/>
        </w:rPr>
        <w:t>1  范围</w:t>
      </w:r>
      <w:r>
        <w:tab/>
      </w:r>
      <w:r>
        <w:fldChar w:fldCharType="begin"/>
      </w:r>
      <w:r>
        <w:instrText xml:space="preserve"> PAGEREF _Toc162146263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"_Toc162146264" </w:instrText>
      </w:r>
      <w:r>
        <w:fldChar w:fldCharType="separate"/>
      </w:r>
      <w:r>
        <w:rPr>
          <w:rStyle w:val="32"/>
        </w:rPr>
        <w:t>2  规范性引用文件</w:t>
      </w:r>
      <w:r>
        <w:tab/>
      </w:r>
      <w:r>
        <w:fldChar w:fldCharType="begin"/>
      </w:r>
      <w:r>
        <w:instrText xml:space="preserve"> PAGEREF _Toc162146264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"_Toc162146265" </w:instrText>
      </w:r>
      <w:r>
        <w:fldChar w:fldCharType="separate"/>
      </w:r>
      <w:r>
        <w:rPr>
          <w:rStyle w:val="32"/>
        </w:rPr>
        <w:t>3  术语和定义</w:t>
      </w:r>
      <w:r>
        <w:tab/>
      </w:r>
      <w:r>
        <w:fldChar w:fldCharType="begin"/>
      </w:r>
      <w:r>
        <w:instrText xml:space="preserve"> PAGEREF _Toc162146265 \h </w:instrText>
      </w:r>
      <w:r>
        <w:fldChar w:fldCharType="separate"/>
      </w:r>
      <w:r>
        <w:t>1</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"_Toc162146266" </w:instrText>
      </w:r>
      <w:r>
        <w:fldChar w:fldCharType="separate"/>
      </w:r>
      <w:r>
        <w:rPr>
          <w:rStyle w:val="32"/>
          <w14:scene3d w14:prst="orthographicFront">
            <w14:lightRig w14:rig="threePt" w14:dir="t">
              <w14:rot w14:lat="0" w14:lon="0" w14:rev="0"/>
            </w14:lightRig>
          </w14:scene3d>
        </w:rPr>
        <w:t xml:space="preserve">3.1 </w:t>
      </w:r>
      <w:r>
        <w:rPr>
          <w:rStyle w:val="32"/>
        </w:rPr>
        <w:t xml:space="preserve"> 智能化改造 Intellectualized Transformation</w:t>
      </w:r>
      <w:r>
        <w:tab/>
      </w:r>
      <w:r>
        <w:fldChar w:fldCharType="begin"/>
      </w:r>
      <w:r>
        <w:instrText xml:space="preserve"> PAGEREF _Toc162146266 \h </w:instrText>
      </w:r>
      <w:r>
        <w:fldChar w:fldCharType="separate"/>
      </w:r>
      <w:r>
        <w:t>1</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"_Toc162146267" </w:instrText>
      </w:r>
      <w:r>
        <w:fldChar w:fldCharType="separate"/>
      </w:r>
      <w:r>
        <w:rPr>
          <w:rStyle w:val="32"/>
          <w14:scene3d w14:prst="orthographicFront">
            <w14:lightRig w14:rig="threePt" w14:dir="t">
              <w14:rot w14:lat="0" w14:lon="0" w14:rev="0"/>
            </w14:lightRig>
          </w14:scene3d>
        </w:rPr>
        <w:t xml:space="preserve">3.2 </w:t>
      </w:r>
      <w:r>
        <w:rPr>
          <w:rStyle w:val="32"/>
        </w:rPr>
        <w:t xml:space="preserve"> 数字化转型 Digital Transformation</w:t>
      </w:r>
      <w:r>
        <w:tab/>
      </w:r>
      <w:r>
        <w:fldChar w:fldCharType="begin"/>
      </w:r>
      <w:r>
        <w:instrText xml:space="preserve"> PAGEREF _Toc162146267 \h </w:instrText>
      </w:r>
      <w:r>
        <w:fldChar w:fldCharType="separate"/>
      </w:r>
      <w:r>
        <w:t>1</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"_Toc162146268" </w:instrText>
      </w:r>
      <w:r>
        <w:fldChar w:fldCharType="separate"/>
      </w:r>
      <w:r>
        <w:rPr>
          <w:rStyle w:val="32"/>
          <w14:scene3d w14:prst="orthographicFront">
            <w14:lightRig w14:rig="threePt" w14:dir="t">
              <w14:rot w14:lat="0" w14:lon="0" w14:rev="0"/>
            </w14:lightRig>
          </w14:scene3d>
        </w:rPr>
        <w:t xml:space="preserve">3.3 </w:t>
      </w:r>
      <w:r>
        <w:rPr>
          <w:rStyle w:val="32"/>
        </w:rPr>
        <w:t xml:space="preserve"> 网络化联接 Networked Connection</w:t>
      </w:r>
      <w:r>
        <w:tab/>
      </w:r>
      <w:r>
        <w:fldChar w:fldCharType="begin"/>
      </w:r>
      <w:r>
        <w:instrText xml:space="preserve"> PAGEREF _Toc162146268 \h </w:instrText>
      </w:r>
      <w:r>
        <w:fldChar w:fldCharType="separate"/>
      </w:r>
      <w:r>
        <w:t>1</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"_Toc162146269" </w:instrText>
      </w:r>
      <w:r>
        <w:fldChar w:fldCharType="separate"/>
      </w:r>
      <w:r>
        <w:rPr>
          <w:rStyle w:val="32"/>
          <w14:scene3d w14:prst="orthographicFront">
            <w14:lightRig w14:rig="threePt" w14:dir="t">
              <w14:rot w14:lat="0" w14:lon="0" w14:rev="0"/>
            </w14:lightRig>
          </w14:scene3d>
        </w:rPr>
        <w:t xml:space="preserve">3.4 </w:t>
      </w:r>
      <w:r>
        <w:rPr>
          <w:rStyle w:val="32"/>
        </w:rPr>
        <w:t xml:space="preserve"> 化工园区 Chemical Industry Park</w:t>
      </w:r>
      <w:r>
        <w:tab/>
      </w:r>
      <w:r>
        <w:fldChar w:fldCharType="begin"/>
      </w:r>
      <w:r>
        <w:instrText xml:space="preserve"> PAGEREF _Toc162146269 \h </w:instrText>
      </w:r>
      <w:r>
        <w:fldChar w:fldCharType="separate"/>
      </w:r>
      <w:r>
        <w:t>1</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"_Toc162146270" </w:instrText>
      </w:r>
      <w:r>
        <w:fldChar w:fldCharType="separate"/>
      </w:r>
      <w:r>
        <w:rPr>
          <w:rStyle w:val="32"/>
          <w14:scene3d w14:prst="orthographicFront">
            <w14:lightRig w14:rig="threePt" w14:dir="t">
              <w14:rot w14:lat="0" w14:lon="0" w14:rev="0"/>
            </w14:lightRig>
          </w14:scene3d>
        </w:rPr>
        <w:t xml:space="preserve">3.5 </w:t>
      </w:r>
      <w:r>
        <w:rPr>
          <w:rStyle w:val="32"/>
        </w:rPr>
        <w:t xml:space="preserve"> 化工重点监测点 Key Chemical Monitoring Points</w:t>
      </w:r>
      <w:r>
        <w:tab/>
      </w:r>
      <w:r>
        <w:fldChar w:fldCharType="begin"/>
      </w:r>
      <w:r>
        <w:instrText xml:space="preserve"> PAGEREF _Toc162146270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"_Toc162146271" </w:instrText>
      </w:r>
      <w:r>
        <w:fldChar w:fldCharType="separate"/>
      </w:r>
      <w:r>
        <w:rPr>
          <w:rStyle w:val="32"/>
        </w:rPr>
        <w:t>4  缩略语</w:t>
      </w:r>
      <w:r>
        <w:tab/>
      </w:r>
      <w:r>
        <w:fldChar w:fldCharType="begin"/>
      </w:r>
      <w:r>
        <w:instrText xml:space="preserve"> PAGEREF _Toc162146271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"_Toc162146272" </w:instrText>
      </w:r>
      <w:r>
        <w:fldChar w:fldCharType="separate"/>
      </w:r>
      <w:r>
        <w:rPr>
          <w:rStyle w:val="32"/>
        </w:rPr>
        <w:t>5  总体原则</w:t>
      </w:r>
      <w:r>
        <w:tab/>
      </w:r>
      <w:r>
        <w:fldChar w:fldCharType="begin"/>
      </w:r>
      <w:r>
        <w:instrText xml:space="preserve"> PAGEREF _Toc162146272 \h </w:instrText>
      </w:r>
      <w:r>
        <w:fldChar w:fldCharType="separate"/>
      </w:r>
      <w:r>
        <w:t>2</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"_Toc162146273" </w:instrText>
      </w:r>
      <w:r>
        <w:fldChar w:fldCharType="separate"/>
      </w:r>
      <w:r>
        <w:rPr>
          <w:rStyle w:val="32"/>
          <w14:scene3d w14:prst="orthographicFront">
            <w14:lightRig w14:rig="threePt" w14:dir="t">
              <w14:rot w14:lat="0" w14:lon="0" w14:rev="0"/>
            </w14:lightRig>
          </w14:scene3d>
        </w:rPr>
        <w:t xml:space="preserve">5.1 </w:t>
      </w:r>
      <w:r>
        <w:rPr>
          <w:rStyle w:val="32"/>
        </w:rPr>
        <w:t xml:space="preserve"> 目的性</w:t>
      </w:r>
      <w:r>
        <w:tab/>
      </w:r>
      <w:r>
        <w:fldChar w:fldCharType="begin"/>
      </w:r>
      <w:r>
        <w:instrText xml:space="preserve"> PAGEREF _Toc162146273 \h </w:instrText>
      </w:r>
      <w:r>
        <w:fldChar w:fldCharType="separate"/>
      </w:r>
      <w:r>
        <w:t>2</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"_Toc162146274" </w:instrText>
      </w:r>
      <w:r>
        <w:fldChar w:fldCharType="separate"/>
      </w:r>
      <w:r>
        <w:rPr>
          <w:rStyle w:val="32"/>
          <w14:scene3d w14:prst="orthographicFront">
            <w14:lightRig w14:rig="threePt" w14:dir="t">
              <w14:rot w14:lat="0" w14:lon="0" w14:rev="0"/>
            </w14:lightRig>
          </w14:scene3d>
        </w:rPr>
        <w:t xml:space="preserve">5.2 </w:t>
      </w:r>
      <w:r>
        <w:rPr>
          <w:rStyle w:val="32"/>
        </w:rPr>
        <w:t xml:space="preserve"> 实效性</w:t>
      </w:r>
      <w:r>
        <w:tab/>
      </w:r>
      <w:r>
        <w:fldChar w:fldCharType="begin"/>
      </w:r>
      <w:r>
        <w:instrText xml:space="preserve"> PAGEREF _Toc162146274 \h </w:instrText>
      </w:r>
      <w:r>
        <w:fldChar w:fldCharType="separate"/>
      </w:r>
      <w:r>
        <w:t>2</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"_Toc162146275" </w:instrText>
      </w:r>
      <w:r>
        <w:fldChar w:fldCharType="separate"/>
      </w:r>
      <w:r>
        <w:rPr>
          <w:rStyle w:val="32"/>
          <w14:scene3d w14:prst="orthographicFront">
            <w14:lightRig w14:rig="threePt" w14:dir="t">
              <w14:rot w14:lat="0" w14:lon="0" w14:rev="0"/>
            </w14:lightRig>
          </w14:scene3d>
        </w:rPr>
        <w:t xml:space="preserve">5.3 </w:t>
      </w:r>
      <w:r>
        <w:rPr>
          <w:rStyle w:val="32"/>
        </w:rPr>
        <w:t xml:space="preserve"> 适用性</w:t>
      </w:r>
      <w:r>
        <w:tab/>
      </w:r>
      <w:r>
        <w:fldChar w:fldCharType="begin"/>
      </w:r>
      <w:r>
        <w:instrText xml:space="preserve"> PAGEREF _Toc162146275 \h </w:instrText>
      </w:r>
      <w:r>
        <w:fldChar w:fldCharType="separate"/>
      </w:r>
      <w:r>
        <w:t>2</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"_Toc162146276" </w:instrText>
      </w:r>
      <w:r>
        <w:fldChar w:fldCharType="separate"/>
      </w:r>
      <w:r>
        <w:rPr>
          <w:rStyle w:val="32"/>
          <w14:scene3d w14:prst="orthographicFront">
            <w14:lightRig w14:rig="threePt" w14:dir="t">
              <w14:rot w14:lat="0" w14:lon="0" w14:rev="0"/>
            </w14:lightRig>
          </w14:scene3d>
        </w:rPr>
        <w:t xml:space="preserve">5.4 </w:t>
      </w:r>
      <w:r>
        <w:rPr>
          <w:rStyle w:val="32"/>
        </w:rPr>
        <w:t xml:space="preserve"> 创新性</w:t>
      </w:r>
      <w:r>
        <w:tab/>
      </w:r>
      <w:r>
        <w:fldChar w:fldCharType="begin"/>
      </w:r>
      <w:r>
        <w:instrText xml:space="preserve"> PAGEREF _Toc162146276 \h </w:instrText>
      </w:r>
      <w:r>
        <w:fldChar w:fldCharType="separate"/>
      </w:r>
      <w:r>
        <w:t>2</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"_Toc162146277" </w:instrText>
      </w:r>
      <w:r>
        <w:fldChar w:fldCharType="separate"/>
      </w:r>
      <w:r>
        <w:rPr>
          <w:rStyle w:val="32"/>
          <w14:scene3d w14:prst="orthographicFront">
            <w14:lightRig w14:rig="threePt" w14:dir="t">
              <w14:rot w14:lat="0" w14:lon="0" w14:rev="0"/>
            </w14:lightRig>
          </w14:scene3d>
        </w:rPr>
        <w:t xml:space="preserve">5.5 </w:t>
      </w:r>
      <w:r>
        <w:rPr>
          <w:rStyle w:val="32"/>
        </w:rPr>
        <w:t xml:space="preserve"> 安全性</w:t>
      </w:r>
      <w:r>
        <w:tab/>
      </w:r>
      <w:r>
        <w:fldChar w:fldCharType="begin"/>
      </w:r>
      <w:r>
        <w:instrText xml:space="preserve"> PAGEREF _Toc162146277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"_Toc162146278" </w:instrText>
      </w:r>
      <w:r>
        <w:fldChar w:fldCharType="separate"/>
      </w:r>
      <w:r>
        <w:rPr>
          <w:rStyle w:val="32"/>
        </w:rPr>
        <w:t>6  总体架构</w:t>
      </w:r>
      <w:r>
        <w:tab/>
      </w:r>
      <w:r>
        <w:fldChar w:fldCharType="begin"/>
      </w:r>
      <w:r>
        <w:instrText xml:space="preserve"> PAGEREF _Toc162146278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"_Toc162146279" </w:instrText>
      </w:r>
      <w:r>
        <w:fldChar w:fldCharType="separate"/>
      </w:r>
      <w:r>
        <w:rPr>
          <w:rStyle w:val="32"/>
        </w:rPr>
        <w:t>7  基础能力建设</w:t>
      </w:r>
      <w:r>
        <w:tab/>
      </w:r>
      <w:r>
        <w:fldChar w:fldCharType="begin"/>
      </w:r>
      <w:r>
        <w:instrText xml:space="preserve"> PAGEREF _Toc162146279 \h </w:instrText>
      </w:r>
      <w:r>
        <w:fldChar w:fldCharType="separate"/>
      </w:r>
      <w:r>
        <w:t>3</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"_Toc162146280" </w:instrText>
      </w:r>
      <w:r>
        <w:fldChar w:fldCharType="separate"/>
      </w:r>
      <w:r>
        <w:rPr>
          <w:rStyle w:val="32"/>
          <w14:scene3d w14:prst="orthographicFront">
            <w14:lightRig w14:rig="threePt" w14:dir="t">
              <w14:rot w14:lat="0" w14:lon="0" w14:rev="0"/>
            </w14:lightRig>
          </w14:scene3d>
        </w:rPr>
        <w:t xml:space="preserve">7.1 </w:t>
      </w:r>
      <w:r>
        <w:rPr>
          <w:rStyle w:val="32"/>
        </w:rPr>
        <w:t xml:space="preserve"> 智能化基础</w:t>
      </w:r>
      <w:r>
        <w:tab/>
      </w:r>
      <w:r>
        <w:fldChar w:fldCharType="begin"/>
      </w:r>
      <w:r>
        <w:instrText xml:space="preserve"> PAGEREF _Toc162146280 \h </w:instrText>
      </w:r>
      <w:r>
        <w:fldChar w:fldCharType="separate"/>
      </w:r>
      <w:r>
        <w:t>3</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"_Toc162146281" </w:instrText>
      </w:r>
      <w:r>
        <w:fldChar w:fldCharType="separate"/>
      </w:r>
      <w:r>
        <w:rPr>
          <w:rStyle w:val="32"/>
          <w14:scene3d w14:prst="orthographicFront">
            <w14:lightRig w14:rig="threePt" w14:dir="t">
              <w14:rot w14:lat="0" w14:lon="0" w14:rev="0"/>
            </w14:lightRig>
          </w14:scene3d>
        </w:rPr>
        <w:t xml:space="preserve">7.2 </w:t>
      </w:r>
      <w:r>
        <w:rPr>
          <w:rStyle w:val="32"/>
        </w:rPr>
        <w:t xml:space="preserve"> 数字化基础</w:t>
      </w:r>
      <w:r>
        <w:tab/>
      </w:r>
      <w:r>
        <w:fldChar w:fldCharType="begin"/>
      </w:r>
      <w:r>
        <w:instrText xml:space="preserve"> PAGEREF _Toc162146281 \h </w:instrText>
      </w:r>
      <w:r>
        <w:fldChar w:fldCharType="separate"/>
      </w:r>
      <w:r>
        <w:t>4</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"_Toc162146282" </w:instrText>
      </w:r>
      <w:r>
        <w:fldChar w:fldCharType="separate"/>
      </w:r>
      <w:r>
        <w:rPr>
          <w:rStyle w:val="32"/>
          <w14:scene3d w14:prst="orthographicFront">
            <w14:lightRig w14:rig="threePt" w14:dir="t">
              <w14:rot w14:lat="0" w14:lon="0" w14:rev="0"/>
            </w14:lightRig>
          </w14:scene3d>
        </w:rPr>
        <w:t xml:space="preserve">7.3 </w:t>
      </w:r>
      <w:r>
        <w:rPr>
          <w:rStyle w:val="32"/>
        </w:rPr>
        <w:t xml:space="preserve"> 网络化基础</w:t>
      </w:r>
      <w:r>
        <w:tab/>
      </w:r>
      <w:r>
        <w:fldChar w:fldCharType="begin"/>
      </w:r>
      <w:r>
        <w:instrText xml:space="preserve"> PAGEREF _Toc162146282 \h </w:instrText>
      </w:r>
      <w:r>
        <w:fldChar w:fldCharType="separate"/>
      </w:r>
      <w:r>
        <w:t>4</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"_Toc162146283" </w:instrText>
      </w:r>
      <w:r>
        <w:fldChar w:fldCharType="separate"/>
      </w:r>
      <w:r>
        <w:rPr>
          <w:rStyle w:val="32"/>
          <w14:scene3d w14:prst="orthographicFront">
            <w14:lightRig w14:rig="threePt" w14:dir="t">
              <w14:rot w14:lat="0" w14:lon="0" w14:rev="0"/>
            </w14:lightRig>
          </w14:scene3d>
        </w:rPr>
        <w:t xml:space="preserve">7.4 </w:t>
      </w:r>
      <w:r>
        <w:rPr>
          <w:rStyle w:val="32"/>
        </w:rPr>
        <w:t xml:space="preserve"> 人才基础</w:t>
      </w:r>
      <w:r>
        <w:tab/>
      </w:r>
      <w:r>
        <w:fldChar w:fldCharType="begin"/>
      </w:r>
      <w:r>
        <w:instrText xml:space="preserve"> PAGEREF _Toc162146283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"_Toc162146284" </w:instrText>
      </w:r>
      <w:r>
        <w:fldChar w:fldCharType="separate"/>
      </w:r>
      <w:r>
        <w:rPr>
          <w:rStyle w:val="32"/>
        </w:rPr>
        <w:t>8  关键环节建设</w:t>
      </w:r>
      <w:r>
        <w:tab/>
      </w:r>
      <w:r>
        <w:fldChar w:fldCharType="begin"/>
      </w:r>
      <w:r>
        <w:instrText xml:space="preserve"> PAGEREF _Toc162146284 \h </w:instrText>
      </w:r>
      <w:r>
        <w:fldChar w:fldCharType="separate"/>
      </w:r>
      <w:r>
        <w:t>5</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"_Toc162146285" </w:instrText>
      </w:r>
      <w:r>
        <w:fldChar w:fldCharType="separate"/>
      </w:r>
      <w:r>
        <w:rPr>
          <w:rStyle w:val="32"/>
          <w14:scene3d w14:prst="orthographicFront">
            <w14:lightRig w14:rig="threePt" w14:dir="t">
              <w14:rot w14:lat="0" w14:lon="0" w14:rev="0"/>
            </w14:lightRig>
          </w14:scene3d>
        </w:rPr>
        <w:t xml:space="preserve">8.1 </w:t>
      </w:r>
      <w:r>
        <w:rPr>
          <w:rStyle w:val="32"/>
        </w:rPr>
        <w:t xml:space="preserve"> 计划调度</w:t>
      </w:r>
      <w:r>
        <w:tab/>
      </w:r>
      <w:r>
        <w:fldChar w:fldCharType="begin"/>
      </w:r>
      <w:r>
        <w:instrText xml:space="preserve"> PAGEREF _Toc162146285 \h </w:instrText>
      </w:r>
      <w:r>
        <w:fldChar w:fldCharType="separate"/>
      </w:r>
      <w:r>
        <w:t>5</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"_Toc162146286" </w:instrText>
      </w:r>
      <w:r>
        <w:fldChar w:fldCharType="separate"/>
      </w:r>
      <w:r>
        <w:rPr>
          <w:rStyle w:val="32"/>
          <w14:scene3d w14:prst="orthographicFront">
            <w14:lightRig w14:rig="threePt" w14:dir="t">
              <w14:rot w14:lat="0" w14:lon="0" w14:rev="0"/>
            </w14:lightRig>
          </w14:scene3d>
        </w:rPr>
        <w:t xml:space="preserve">8.2 </w:t>
      </w:r>
      <w:r>
        <w:rPr>
          <w:rStyle w:val="32"/>
        </w:rPr>
        <w:t xml:space="preserve"> 生产作业</w:t>
      </w:r>
      <w:r>
        <w:tab/>
      </w:r>
      <w:r>
        <w:fldChar w:fldCharType="begin"/>
      </w:r>
      <w:r>
        <w:instrText xml:space="preserve"> PAGEREF _Toc162146286 \h </w:instrText>
      </w:r>
      <w:r>
        <w:fldChar w:fldCharType="separate"/>
      </w:r>
      <w:r>
        <w:t>5</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"_Toc162146287" </w:instrText>
      </w:r>
      <w:r>
        <w:fldChar w:fldCharType="separate"/>
      </w:r>
      <w:r>
        <w:rPr>
          <w:rStyle w:val="32"/>
          <w14:scene3d w14:prst="orthographicFront">
            <w14:lightRig w14:rig="threePt" w14:dir="t">
              <w14:rot w14:lat="0" w14:lon="0" w14:rev="0"/>
            </w14:lightRig>
          </w14:scene3d>
        </w:rPr>
        <w:t xml:space="preserve">8.3 </w:t>
      </w:r>
      <w:r>
        <w:rPr>
          <w:rStyle w:val="32"/>
        </w:rPr>
        <w:t xml:space="preserve"> 仓储配送</w:t>
      </w:r>
      <w:r>
        <w:tab/>
      </w:r>
      <w:r>
        <w:fldChar w:fldCharType="begin"/>
      </w:r>
      <w:r>
        <w:instrText xml:space="preserve"> PAGEREF _Toc162146287 \h </w:instrText>
      </w:r>
      <w:r>
        <w:fldChar w:fldCharType="separate"/>
      </w:r>
      <w:r>
        <w:t>5</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"_Toc162146288" </w:instrText>
      </w:r>
      <w:r>
        <w:fldChar w:fldCharType="separate"/>
      </w:r>
      <w:r>
        <w:rPr>
          <w:rStyle w:val="32"/>
          <w14:scene3d w14:prst="orthographicFront">
            <w14:lightRig w14:rig="threePt" w14:dir="t">
              <w14:rot w14:lat="0" w14:lon="0" w14:rev="0"/>
            </w14:lightRig>
          </w14:scene3d>
        </w:rPr>
        <w:t xml:space="preserve">8.4 </w:t>
      </w:r>
      <w:r>
        <w:rPr>
          <w:rStyle w:val="32"/>
        </w:rPr>
        <w:t xml:space="preserve"> 质量管理</w:t>
      </w:r>
      <w:r>
        <w:tab/>
      </w:r>
      <w:r>
        <w:fldChar w:fldCharType="begin"/>
      </w:r>
      <w:r>
        <w:instrText xml:space="preserve"> PAGEREF _Toc162146288 \h </w:instrText>
      </w:r>
      <w:r>
        <w:fldChar w:fldCharType="separate"/>
      </w:r>
      <w:r>
        <w:t>5</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"_Toc162146289" </w:instrText>
      </w:r>
      <w:r>
        <w:fldChar w:fldCharType="separate"/>
      </w:r>
      <w:r>
        <w:rPr>
          <w:rStyle w:val="32"/>
          <w14:scene3d w14:prst="orthographicFront">
            <w14:lightRig w14:rig="threePt" w14:dir="t">
              <w14:rot w14:lat="0" w14:lon="0" w14:rev="0"/>
            </w14:lightRig>
          </w14:scene3d>
        </w:rPr>
        <w:t xml:space="preserve">8.5 </w:t>
      </w:r>
      <w:r>
        <w:rPr>
          <w:rStyle w:val="32"/>
        </w:rPr>
        <w:t xml:space="preserve"> 供应链管理</w:t>
      </w:r>
      <w:r>
        <w:tab/>
      </w:r>
      <w:r>
        <w:fldChar w:fldCharType="begin"/>
      </w:r>
      <w:r>
        <w:instrText xml:space="preserve"> PAGEREF _Toc162146289 \h </w:instrText>
      </w:r>
      <w:r>
        <w:fldChar w:fldCharType="separate"/>
      </w:r>
      <w:r>
        <w:t>5</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"_Toc162146290" </w:instrText>
      </w:r>
      <w:r>
        <w:fldChar w:fldCharType="separate"/>
      </w:r>
      <w:r>
        <w:rPr>
          <w:rStyle w:val="32"/>
          <w14:scene3d w14:prst="orthographicFront">
            <w14:lightRig w14:rig="threePt" w14:dir="t">
              <w14:rot w14:lat="0" w14:lon="0" w14:rev="0"/>
            </w14:lightRig>
          </w14:scene3d>
        </w:rPr>
        <w:t xml:space="preserve">8.6 </w:t>
      </w:r>
      <w:r>
        <w:rPr>
          <w:rStyle w:val="32"/>
        </w:rPr>
        <w:t xml:space="preserve"> 能源管理</w:t>
      </w:r>
      <w:r>
        <w:tab/>
      </w:r>
      <w:r>
        <w:fldChar w:fldCharType="begin"/>
      </w:r>
      <w:r>
        <w:instrText xml:space="preserve"> PAGEREF _Toc162146290 \h </w:instrText>
      </w:r>
      <w:r>
        <w:fldChar w:fldCharType="separate"/>
      </w:r>
      <w:r>
        <w:t>6</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"_Toc162146291" </w:instrText>
      </w:r>
      <w:r>
        <w:fldChar w:fldCharType="separate"/>
      </w:r>
      <w:r>
        <w:rPr>
          <w:rStyle w:val="32"/>
          <w14:scene3d w14:prst="orthographicFront">
            <w14:lightRig w14:rig="threePt" w14:dir="t">
              <w14:rot w14:lat="0" w14:lon="0" w14:rev="0"/>
            </w14:lightRig>
          </w14:scene3d>
        </w:rPr>
        <w:t xml:space="preserve">8.7 </w:t>
      </w:r>
      <w:r>
        <w:rPr>
          <w:rStyle w:val="32"/>
        </w:rPr>
        <w:t xml:space="preserve"> 设备管理</w:t>
      </w:r>
      <w:r>
        <w:tab/>
      </w:r>
      <w:r>
        <w:fldChar w:fldCharType="begin"/>
      </w:r>
      <w:r>
        <w:instrText xml:space="preserve"> PAGEREF _Toc162146291 \h </w:instrText>
      </w:r>
      <w:r>
        <w:fldChar w:fldCharType="separate"/>
      </w:r>
      <w:r>
        <w:t>6</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"_Toc162146292" </w:instrText>
      </w:r>
      <w:r>
        <w:fldChar w:fldCharType="separate"/>
      </w:r>
      <w:r>
        <w:rPr>
          <w:rStyle w:val="32"/>
          <w14:scene3d w14:prst="orthographicFront">
            <w14:lightRig w14:rig="threePt" w14:dir="t">
              <w14:rot w14:lat="0" w14:lon="0" w14:rev="0"/>
            </w14:lightRig>
          </w14:scene3d>
        </w:rPr>
        <w:t xml:space="preserve">8.8 </w:t>
      </w:r>
      <w:r>
        <w:rPr>
          <w:rStyle w:val="32"/>
        </w:rPr>
        <w:t xml:space="preserve"> 安全生产</w:t>
      </w:r>
      <w:r>
        <w:tab/>
      </w:r>
      <w:r>
        <w:fldChar w:fldCharType="begin"/>
      </w:r>
      <w:r>
        <w:instrText xml:space="preserve"> PAGEREF _Toc162146292 \h </w:instrText>
      </w:r>
      <w:r>
        <w:fldChar w:fldCharType="separate"/>
      </w:r>
      <w:r>
        <w:t>6</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"_Toc162146293" </w:instrText>
      </w:r>
      <w:r>
        <w:fldChar w:fldCharType="separate"/>
      </w:r>
      <w:r>
        <w:rPr>
          <w:rStyle w:val="32"/>
          <w14:scene3d w14:prst="orthographicFront">
            <w14:lightRig w14:rig="threePt" w14:dir="t">
              <w14:rot w14:lat="0" w14:lon="0" w14:rev="0"/>
            </w14:lightRig>
          </w14:scene3d>
        </w:rPr>
        <w:t xml:space="preserve">8.9 </w:t>
      </w:r>
      <w:r>
        <w:rPr>
          <w:rStyle w:val="32"/>
        </w:rPr>
        <w:t xml:space="preserve"> 环保管控</w:t>
      </w:r>
      <w:r>
        <w:tab/>
      </w:r>
      <w:r>
        <w:fldChar w:fldCharType="begin"/>
      </w:r>
      <w:r>
        <w:instrText xml:space="preserve"> PAGEREF _Toc162146293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"_Toc162146294" </w:instrText>
      </w:r>
      <w:r>
        <w:fldChar w:fldCharType="separate"/>
      </w:r>
      <w:r>
        <w:rPr>
          <w:rStyle w:val="32"/>
        </w:rPr>
        <w:t>9  网络化联接</w:t>
      </w:r>
      <w:r>
        <w:tab/>
      </w:r>
      <w:r>
        <w:fldChar w:fldCharType="begin"/>
      </w:r>
      <w:r>
        <w:instrText xml:space="preserve"> PAGEREF _Toc162146294 \h </w:instrText>
      </w:r>
      <w:r>
        <w:fldChar w:fldCharType="separate"/>
      </w:r>
      <w:r>
        <w:t>11</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"_Toc162146295" </w:instrText>
      </w:r>
      <w:r>
        <w:fldChar w:fldCharType="separate"/>
      </w:r>
      <w:r>
        <w:rPr>
          <w:rStyle w:val="32"/>
          <w14:scene3d w14:prst="orthographicFront">
            <w14:lightRig w14:rig="threePt" w14:dir="t">
              <w14:rot w14:lat="0" w14:lon="0" w14:rev="0"/>
            </w14:lightRig>
          </w14:scene3d>
        </w:rPr>
        <w:t xml:space="preserve">9.1 </w:t>
      </w:r>
      <w:r>
        <w:rPr>
          <w:rStyle w:val="32"/>
        </w:rPr>
        <w:t xml:space="preserve"> 产业链</w:t>
      </w:r>
      <w:r>
        <w:tab/>
      </w:r>
      <w:r>
        <w:fldChar w:fldCharType="begin"/>
      </w:r>
      <w:r>
        <w:instrText xml:space="preserve"> PAGEREF _Toc162146295 \h </w:instrText>
      </w:r>
      <w:r>
        <w:fldChar w:fldCharType="separate"/>
      </w:r>
      <w:r>
        <w:t>11</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"_Toc162146296" </w:instrText>
      </w:r>
      <w:r>
        <w:fldChar w:fldCharType="separate"/>
      </w:r>
      <w:r>
        <w:rPr>
          <w:rStyle w:val="32"/>
          <w14:scene3d w14:prst="orthographicFront">
            <w14:lightRig w14:rig="threePt" w14:dir="t">
              <w14:rot w14:lat="0" w14:lon="0" w14:rev="0"/>
            </w14:lightRig>
          </w14:scene3d>
        </w:rPr>
        <w:t xml:space="preserve">9.2 </w:t>
      </w:r>
      <w:r>
        <w:rPr>
          <w:rStyle w:val="32"/>
        </w:rPr>
        <w:t xml:space="preserve"> 园区或相关部门</w:t>
      </w:r>
      <w:r>
        <w:tab/>
      </w:r>
      <w:r>
        <w:fldChar w:fldCharType="begin"/>
      </w:r>
      <w:r>
        <w:instrText xml:space="preserve"> PAGEREF _Toc162146296 \h </w:instrText>
      </w:r>
      <w:r>
        <w:fldChar w:fldCharType="separate"/>
      </w:r>
      <w:r>
        <w:t>11</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"_Toc162146297" </w:instrText>
      </w:r>
      <w:r>
        <w:fldChar w:fldCharType="separate"/>
      </w:r>
      <w:r>
        <w:rPr>
          <w:rStyle w:val="32"/>
          <w14:scene3d w14:prst="orthographicFront">
            <w14:lightRig w14:rig="threePt" w14:dir="t">
              <w14:rot w14:lat="0" w14:lon="0" w14:rev="0"/>
            </w14:lightRig>
          </w14:scene3d>
        </w:rPr>
        <w:t xml:space="preserve">9.3 </w:t>
      </w:r>
      <w:r>
        <w:rPr>
          <w:rStyle w:val="32"/>
        </w:rPr>
        <w:t xml:space="preserve"> 第三方服务机构</w:t>
      </w:r>
      <w:r>
        <w:tab/>
      </w:r>
      <w:r>
        <w:fldChar w:fldCharType="begin"/>
      </w:r>
      <w:r>
        <w:instrText xml:space="preserve"> PAGEREF _Toc162146297 \h </w:instrText>
      </w:r>
      <w:r>
        <w:fldChar w:fldCharType="separate"/>
      </w:r>
      <w:r>
        <w:t>12</w:t>
      </w:r>
      <w:r>
        <w:fldChar w:fldCharType="end"/>
      </w:r>
      <w:r>
        <w:fldChar w:fldCharType="end"/>
      </w:r>
    </w:p>
    <w:p>
      <w:pPr>
        <w:pStyle w:val="24"/>
        <w:rPr>
          <w:rFonts w:asciiTheme="minorHAnsi" w:hAnsiTheme="minorHAnsi" w:eastAsiaTheme="minorEastAsia" w:cstheme="minorBidi"/>
          <w:sz w:val="22"/>
          <w:szCs w:val="24"/>
          <w14:ligatures w14:val="standardContextual"/>
        </w:rPr>
      </w:pPr>
      <w:r>
        <w:fldChar w:fldCharType="begin"/>
      </w:r>
      <w:r>
        <w:instrText xml:space="preserve"> HYPERLINK \l "_Toc162146298" </w:instrText>
      </w:r>
      <w:r>
        <w:fldChar w:fldCharType="separate"/>
      </w:r>
      <w:r>
        <w:rPr>
          <w:rStyle w:val="32"/>
          <w14:scene3d w14:prst="orthographicFront">
            <w14:lightRig w14:rig="threePt" w14:dir="t">
              <w14:rot w14:lat="0" w14:lon="0" w14:rev="0"/>
            </w14:lightRig>
          </w14:scene3d>
        </w:rPr>
        <w:t xml:space="preserve">9.4 </w:t>
      </w:r>
      <w:r>
        <w:rPr>
          <w:rStyle w:val="32"/>
        </w:rPr>
        <w:t xml:space="preserve"> 安全保障</w:t>
      </w:r>
      <w:r>
        <w:tab/>
      </w:r>
      <w:r>
        <w:fldChar w:fldCharType="begin"/>
      </w:r>
      <w:r>
        <w:instrText xml:space="preserve"> PAGEREF _Toc162146298 \h </w:instrText>
      </w:r>
      <w:r>
        <w:fldChar w:fldCharType="separate"/>
      </w:r>
      <w:r>
        <w:t>12</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"_Toc162146299" </w:instrText>
      </w:r>
      <w:r>
        <w:fldChar w:fldCharType="separate"/>
      </w:r>
      <w:r>
        <w:rPr>
          <w:rStyle w:val="32"/>
        </w:rPr>
        <w:t>10  系统安全</w:t>
      </w:r>
      <w:r>
        <w:tab/>
      </w:r>
      <w:r>
        <w:fldChar w:fldCharType="begin"/>
      </w:r>
      <w:r>
        <w:instrText xml:space="preserve"> PAGEREF _Toc162146299 \h </w:instrText>
      </w:r>
      <w:r>
        <w:fldChar w:fldCharType="separate"/>
      </w:r>
      <w:r>
        <w:t>12</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"_Toc162146300" </w:instrText>
      </w:r>
      <w:r>
        <w:fldChar w:fldCharType="separate"/>
      </w:r>
      <w:r>
        <w:rPr>
          <w:rStyle w:val="32"/>
        </w:rPr>
        <w:t>参考文献</w:t>
      </w:r>
      <w:r>
        <w:tab/>
      </w:r>
      <w:r>
        <w:fldChar w:fldCharType="begin"/>
      </w:r>
      <w:r>
        <w:instrText xml:space="preserve"> PAGEREF _Toc162146300 \h </w:instrText>
      </w:r>
      <w:r>
        <w:fldChar w:fldCharType="separate"/>
      </w:r>
      <w:r>
        <w:t>13</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4" w:name="_Toc162146262"/>
      <w:bookmarkStart w:id="25" w:name="BookMark2"/>
      <w:r>
        <w:rPr>
          <w:spacing w:val="320"/>
        </w:rPr>
        <w:t>前</w:t>
      </w:r>
      <w:r>
        <w:t>言</w:t>
      </w:r>
      <w:bookmarkEnd w:id="22"/>
      <w:bookmarkEnd w:id="23"/>
      <w:bookmarkEnd w:id="24"/>
    </w:p>
    <w:p>
      <w:pPr>
        <w:pStyle w:val="56"/>
        <w:ind w:firstLine="420"/>
      </w:pPr>
      <w:r>
        <w:rPr>
          <w:rFonts w:hint="eastAsia"/>
        </w:rPr>
        <w:t>本文件按照GB/T 1.1—2020《标准化工作导则  第1部分：标准化文件的结构和起草规则》的规定起草。</w:t>
      </w:r>
    </w:p>
    <w:p>
      <w:pPr>
        <w:pStyle w:val="230"/>
        <w:spacing w:line="360" w:lineRule="auto"/>
      </w:pPr>
      <w:r>
        <w:rPr>
          <w:rFonts w:hint="eastAsia"/>
        </w:rPr>
        <w:t>请注意本文件的某些内容可能涉及专利。本文件的发布机构不承担识别专利的责任。</w:t>
      </w:r>
    </w:p>
    <w:p>
      <w:pPr>
        <w:pStyle w:val="230"/>
        <w:spacing w:line="360" w:lineRule="auto"/>
      </w:pPr>
      <w:r>
        <w:rPr>
          <w:rFonts w:hint="eastAsia"/>
        </w:rPr>
        <w:t>本文件由江苏省工业和信息化厅提出、归口并组织实施。</w:t>
      </w:r>
    </w:p>
    <w:p>
      <w:pPr>
        <w:pStyle w:val="230"/>
        <w:spacing w:line="360" w:lineRule="auto"/>
        <w:rPr>
          <w:rFonts w:hint="eastAsia"/>
        </w:rPr>
      </w:pPr>
      <w:r>
        <w:rPr>
          <w:rFonts w:hint="eastAsia"/>
        </w:rPr>
        <w:t>本文件主要起草单位：江苏省企业信息化协会、南京科远智慧科技集团股份有限公司、安元科技股份有限公司、匠人智慧（江苏）科技有限公司、江苏盛虹石化产业集团有限公司、联通（江苏）产业互联网有限公司、中安建设安装集团有限公司、深信服科技股份有限公司、江苏易格尔信息技术有限公司、江苏翼企云数智科技有限公司、江苏海内软件科技有限公司、江苏连云港化工产业园区、南京江北新材料科技园、江苏扬子江国际化工工业园、利民化学责任有限公司、南京诚志清洁能源有限公司、南京众联安全科技有限公司。</w:t>
      </w:r>
    </w:p>
    <w:p>
      <w:pPr>
        <w:pStyle w:val="230"/>
        <w:spacing w:line="360" w:lineRule="auto"/>
        <w:rPr>
          <w:rFonts w:hint="eastAsia"/>
        </w:rPr>
      </w:pPr>
      <w:r>
        <w:rPr>
          <w:rFonts w:hint="eastAsia"/>
        </w:rPr>
        <w:t>本文件主要起草</w:t>
      </w:r>
      <w:bookmarkStart w:id="327" w:name="_GoBack"/>
      <w:bookmarkEnd w:id="327"/>
      <w:r>
        <w:rPr>
          <w:rFonts w:hint="eastAsia"/>
        </w:rPr>
        <w:t>人：余永荣、赵永均、杨凯、吕胜超、王三明、马颖</w:t>
      </w:r>
      <w:r>
        <w:rPr>
          <w:rFonts w:hint="eastAsia"/>
          <w:lang w:eastAsia="zh-CN"/>
        </w:rPr>
        <w:t>、</w:t>
      </w:r>
      <w:r>
        <w:rPr>
          <w:rFonts w:hint="eastAsia"/>
        </w:rPr>
        <w:t>郤婷婷、卢光东、邓超、刘阳、李岚、王岩、纪勇军、朱宜庚、付平乐、佟海祥、钟红燕、吴冕之、胡海涛、王强、李峰、卢忠宝、许宜伟、李浩、许鹏飞、徐泰伟、董健、徐明华。</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8992C4D3D7DE4BE5AF4045EC4F04E8DA"/>
        </w:placeholder>
      </w:sdtPr>
      <w:sdtContent>
        <w:p>
          <w:pPr>
            <w:pStyle w:val="177"/>
            <w:spacing w:before="312" w:beforeLines="100" w:after="3" w:afterLines="1"/>
          </w:pPr>
          <w:bookmarkStart w:id="27" w:name="NEW_STAND_NAME"/>
          <w:r>
            <w:rPr>
              <w:rFonts w:hint="eastAsia"/>
            </w:rPr>
            <w:t>化工行业智能化改造数字化转型</w:t>
          </w:r>
        </w:p>
        <w:p>
          <w:pPr>
            <w:pStyle w:val="177"/>
            <w:spacing w:before="3" w:beforeLines="1" w:after="680"/>
          </w:pPr>
          <w:r>
            <w:rPr>
              <w:rFonts w:hint="eastAsia"/>
            </w:rPr>
            <w:t>网络化联接实施指南</w:t>
          </w:r>
        </w:p>
      </w:sdtContent>
    </w:sdt>
    <w:bookmarkEnd w:id="27"/>
    <w:p>
      <w:pPr>
        <w:pStyle w:val="104"/>
        <w:spacing w:before="312" w:after="312"/>
      </w:pPr>
      <w:bookmarkStart w:id="28" w:name="_Toc26986530"/>
      <w:bookmarkStart w:id="29" w:name="_Toc26986771"/>
      <w:bookmarkStart w:id="30" w:name="_Toc24884218"/>
      <w:bookmarkStart w:id="31" w:name="_Toc24884211"/>
      <w:bookmarkStart w:id="32" w:name="_Toc26648465"/>
      <w:bookmarkStart w:id="33" w:name="_Toc17233325"/>
      <w:bookmarkStart w:id="34" w:name="_Toc17233333"/>
      <w:bookmarkStart w:id="35" w:name="_Toc97191423"/>
      <w:bookmarkStart w:id="36" w:name="_Toc26718930"/>
      <w:bookmarkStart w:id="37" w:name="_Toc162146195"/>
      <w:bookmarkStart w:id="38" w:name="_Toc162146263"/>
      <w:bookmarkStart w:id="39" w:name="_Toc162146156"/>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pPr>
        <w:pStyle w:val="56"/>
        <w:ind w:firstLine="420"/>
      </w:pPr>
      <w:bookmarkStart w:id="40" w:name="_Toc24884212"/>
      <w:bookmarkStart w:id="41" w:name="_Toc17233326"/>
      <w:bookmarkStart w:id="42" w:name="_Toc24884219"/>
      <w:bookmarkStart w:id="43" w:name="_Toc26648466"/>
      <w:bookmarkStart w:id="44" w:name="_Toc17233334"/>
      <w:r>
        <w:rPr>
          <w:rFonts w:hint="eastAsia"/>
        </w:rPr>
        <w:t>本文件提出了化工行业智能化改造数字化转型网络化联接的总体架构、基础能力建设、关键环节建设、网络化联接、系统安全的要求。</w:t>
      </w:r>
    </w:p>
    <w:p>
      <w:pPr>
        <w:pStyle w:val="56"/>
        <w:ind w:firstLine="420"/>
      </w:pPr>
      <w:r>
        <w:rPr>
          <w:rFonts w:hint="eastAsia"/>
        </w:rPr>
        <w:t>适用于化工生产企业智能化改造数字化转型网络化联接的规划、设计、建设、应用，其他企业可参照执行。</w:t>
      </w:r>
    </w:p>
    <w:p>
      <w:pPr>
        <w:pStyle w:val="104"/>
        <w:spacing w:before="312" w:after="312"/>
      </w:pPr>
      <w:bookmarkStart w:id="45" w:name="_Toc97191424"/>
      <w:bookmarkStart w:id="46" w:name="_Toc162146264"/>
      <w:bookmarkStart w:id="47" w:name="_Toc26986772"/>
      <w:bookmarkStart w:id="48" w:name="_Toc26986531"/>
      <w:bookmarkStart w:id="49" w:name="_Toc162146157"/>
      <w:bookmarkStart w:id="50" w:name="_Toc162146196"/>
      <w:bookmarkStart w:id="51" w:name="_Toc26718931"/>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6A804C9F67F847AF920537033034D4A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22239 信息安全技术—网络安全等级保护基本要求</w:t>
      </w:r>
    </w:p>
    <w:p>
      <w:pPr>
        <w:pStyle w:val="56"/>
        <w:ind w:firstLine="420"/>
      </w:pPr>
      <w:r>
        <w:rPr>
          <w:rFonts w:hint="eastAsia"/>
        </w:rPr>
        <w:t>GB/T 39116 智能制造能力成熟度模型</w:t>
      </w:r>
    </w:p>
    <w:p>
      <w:pPr>
        <w:pStyle w:val="56"/>
        <w:ind w:firstLine="420"/>
      </w:pPr>
      <w:r>
        <w:rPr>
          <w:rFonts w:hint="eastAsia"/>
        </w:rPr>
        <w:t>GB/T 39117 智能制造能力成熟度评估方法</w:t>
      </w:r>
    </w:p>
    <w:p>
      <w:pPr>
        <w:pStyle w:val="56"/>
        <w:ind w:firstLine="420"/>
      </w:pPr>
      <w:r>
        <w:rPr>
          <w:rFonts w:hint="eastAsia"/>
        </w:rPr>
        <w:t>GB/T 42138 流程型智能制造能力建设指南</w:t>
      </w:r>
    </w:p>
    <w:p>
      <w:pPr>
        <w:pStyle w:val="56"/>
        <w:ind w:firstLine="420"/>
      </w:pPr>
      <w:r>
        <w:rPr>
          <w:rFonts w:hint="eastAsia"/>
        </w:rPr>
        <w:t>DB32/T 4454 智慧化工园区建设规范</w:t>
      </w:r>
    </w:p>
    <w:p>
      <w:pPr>
        <w:pStyle w:val="104"/>
        <w:spacing w:before="312" w:after="312"/>
      </w:pPr>
      <w:bookmarkStart w:id="52" w:name="_Toc97191425"/>
      <w:bookmarkStart w:id="53" w:name="_Toc162146265"/>
      <w:bookmarkStart w:id="54" w:name="_Toc162146197"/>
      <w:bookmarkStart w:id="55" w:name="_Toc162146158"/>
      <w:r>
        <w:rPr>
          <w:rFonts w:hint="eastAsia"/>
          <w:szCs w:val="21"/>
        </w:rPr>
        <w:t>术语和定义</w:t>
      </w:r>
      <w:bookmarkEnd w:id="52"/>
      <w:bookmarkEnd w:id="53"/>
      <w:bookmarkEnd w:id="54"/>
      <w:bookmarkEnd w:id="55"/>
    </w:p>
    <w:sdt>
      <w:sdtPr>
        <w:id w:val="-1909835108"/>
        <w:placeholder>
          <w:docPart w:val="7679273D1E0347419742D20C443C3B1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6" w:name="_Toc26986532"/>
          <w:bookmarkEnd w:id="56"/>
          <w:r>
            <w:t>下列术语和定义适用于本文件。</w:t>
          </w:r>
        </w:p>
      </w:sdtContent>
    </w:sdt>
    <w:p>
      <w:pPr>
        <w:pStyle w:val="105"/>
        <w:spacing w:before="156" w:after="156"/>
      </w:pPr>
      <w:bookmarkStart w:id="57" w:name="_Toc156245142"/>
      <w:bookmarkStart w:id="58" w:name="_Toc156557317"/>
      <w:bookmarkStart w:id="59" w:name="_Toc156557279"/>
      <w:bookmarkStart w:id="60" w:name="_Toc156416000"/>
      <w:bookmarkStart w:id="61" w:name="_Toc162146198"/>
      <w:bookmarkStart w:id="62" w:name="_Toc162146266"/>
      <w:bookmarkStart w:id="63" w:name="_Toc162146159"/>
      <w:bookmarkStart w:id="64" w:name="_Toc159369559"/>
      <w:bookmarkStart w:id="65" w:name="_Toc159179103"/>
      <w:r>
        <w:rPr>
          <w:rFonts w:hint="eastAsia"/>
        </w:rPr>
        <w:t>智能化改造 Intellectualized</w:t>
      </w:r>
      <w:r>
        <w:t xml:space="preserve"> </w:t>
      </w:r>
      <w:bookmarkEnd w:id="57"/>
      <w:bookmarkEnd w:id="58"/>
      <w:bookmarkEnd w:id="59"/>
      <w:bookmarkEnd w:id="60"/>
      <w:r>
        <w:rPr>
          <w:rFonts w:hint="eastAsia"/>
        </w:rPr>
        <w:t>T</w:t>
      </w:r>
      <w:r>
        <w:t>ransformation</w:t>
      </w:r>
      <w:bookmarkEnd w:id="61"/>
      <w:bookmarkEnd w:id="62"/>
      <w:bookmarkEnd w:id="63"/>
      <w:bookmarkEnd w:id="64"/>
      <w:bookmarkEnd w:id="65"/>
    </w:p>
    <w:p>
      <w:pPr>
        <w:pStyle w:val="56"/>
        <w:ind w:firstLine="420"/>
      </w:pPr>
      <w:r>
        <w:rPr>
          <w:rFonts w:hint="eastAsia"/>
        </w:rPr>
        <w:t>应用新一代信息技术和先进制造技术，对现有设施、工艺条件及生产服务等进行升级改造，促进企业塑造新的组织形态、新的生产方式、新的商业模式，实现内涵式发展的活动。</w:t>
      </w:r>
    </w:p>
    <w:p>
      <w:pPr>
        <w:pStyle w:val="105"/>
        <w:spacing w:before="156" w:after="156"/>
      </w:pPr>
      <w:bookmarkStart w:id="66" w:name="_Toc156416001"/>
      <w:bookmarkStart w:id="67" w:name="_Toc156557318"/>
      <w:bookmarkStart w:id="68" w:name="_Toc156245143"/>
      <w:bookmarkStart w:id="69" w:name="_Toc156557280"/>
      <w:bookmarkStart w:id="70" w:name="_Toc159179104"/>
      <w:bookmarkStart w:id="71" w:name="_Toc162146160"/>
      <w:bookmarkStart w:id="72" w:name="_Toc159369560"/>
      <w:bookmarkStart w:id="73" w:name="_Toc162146267"/>
      <w:bookmarkStart w:id="74" w:name="_Toc162146199"/>
      <w:r>
        <w:rPr>
          <w:rFonts w:hint="eastAsia"/>
        </w:rPr>
        <w:t>数字化转型 D</w:t>
      </w:r>
      <w:r>
        <w:t xml:space="preserve">igital </w:t>
      </w:r>
      <w:r>
        <w:rPr>
          <w:rFonts w:hint="eastAsia"/>
        </w:rPr>
        <w:t>T</w:t>
      </w:r>
      <w:r>
        <w:t>ransformation</w:t>
      </w:r>
      <w:bookmarkEnd w:id="66"/>
      <w:bookmarkEnd w:id="67"/>
      <w:bookmarkEnd w:id="68"/>
      <w:bookmarkEnd w:id="69"/>
      <w:bookmarkEnd w:id="70"/>
      <w:bookmarkEnd w:id="71"/>
      <w:bookmarkEnd w:id="72"/>
      <w:bookmarkEnd w:id="73"/>
      <w:bookmarkEnd w:id="74"/>
    </w:p>
    <w:p>
      <w:pPr>
        <w:pStyle w:val="56"/>
        <w:ind w:firstLine="420"/>
      </w:pPr>
      <w:r>
        <w:rPr>
          <w:rFonts w:hint="eastAsia"/>
        </w:rPr>
        <w:t>深化应用新一代信息技术，激发数据要素创新驱动潜能，建设提升数字时代生存和发展的新型能力，加速业务优化、创新与重构，创造、传递并获取新价值，实现转型升级和创新发展的过程。</w:t>
      </w:r>
    </w:p>
    <w:p>
      <w:pPr>
        <w:pStyle w:val="56"/>
        <w:ind w:firstLine="420"/>
      </w:pPr>
      <w:r>
        <w:rPr>
          <w:rFonts w:hint="eastAsia"/>
        </w:rPr>
        <w:t>[来源：</w:t>
      </w:r>
      <w:r>
        <w:t>GB/T 23011-2022,3.3</w:t>
      </w:r>
      <w:r>
        <w:rPr>
          <w:rFonts w:hint="eastAsia"/>
        </w:rPr>
        <w:t>]</w:t>
      </w:r>
    </w:p>
    <w:p>
      <w:pPr>
        <w:pStyle w:val="105"/>
        <w:spacing w:before="156" w:after="156"/>
      </w:pPr>
      <w:bookmarkStart w:id="75" w:name="_Toc156557319"/>
      <w:bookmarkStart w:id="76" w:name="_Toc156245144"/>
      <w:bookmarkStart w:id="77" w:name="_Toc156557281"/>
      <w:bookmarkStart w:id="78" w:name="_Toc162146161"/>
      <w:bookmarkStart w:id="79" w:name="_Toc156416002"/>
      <w:bookmarkStart w:id="80" w:name="_Toc159369561"/>
      <w:bookmarkStart w:id="81" w:name="_Toc162146200"/>
      <w:bookmarkStart w:id="82" w:name="_Toc159179105"/>
      <w:bookmarkStart w:id="83" w:name="_Toc162146268"/>
      <w:r>
        <w:rPr>
          <w:rFonts w:hint="eastAsia"/>
        </w:rPr>
        <w:t>网络化联接 Networked</w:t>
      </w:r>
      <w:r>
        <w:t xml:space="preserve"> </w:t>
      </w:r>
      <w:r>
        <w:rPr>
          <w:rFonts w:hint="eastAsia"/>
        </w:rPr>
        <w:t>Connection</w:t>
      </w:r>
      <w:bookmarkEnd w:id="75"/>
      <w:bookmarkEnd w:id="76"/>
      <w:bookmarkEnd w:id="77"/>
      <w:bookmarkEnd w:id="78"/>
      <w:bookmarkEnd w:id="79"/>
      <w:bookmarkEnd w:id="80"/>
      <w:bookmarkEnd w:id="81"/>
      <w:bookmarkEnd w:id="82"/>
      <w:bookmarkEnd w:id="83"/>
    </w:p>
    <w:p>
      <w:pPr>
        <w:pStyle w:val="56"/>
        <w:ind w:firstLine="420"/>
      </w:pPr>
      <w:r>
        <w:rPr>
          <w:rFonts w:hint="eastAsia"/>
        </w:rPr>
        <w:t>依托工业互联网平台实现产业链上下游企业、化工园区、相关职能部门、第三方服务机构等的高效联接。</w:t>
      </w:r>
    </w:p>
    <w:p>
      <w:pPr>
        <w:pStyle w:val="105"/>
        <w:spacing w:before="156" w:after="156"/>
      </w:pPr>
      <w:bookmarkStart w:id="84" w:name="_Toc156416003"/>
      <w:bookmarkStart w:id="85" w:name="_Toc156245145"/>
      <w:bookmarkStart w:id="86" w:name="_Toc159369562"/>
      <w:bookmarkStart w:id="87" w:name="_Toc156557320"/>
      <w:bookmarkStart w:id="88" w:name="_Toc159179106"/>
      <w:bookmarkStart w:id="89" w:name="_Toc162146162"/>
      <w:bookmarkStart w:id="90" w:name="_Toc156557282"/>
      <w:bookmarkStart w:id="91" w:name="_Toc162146201"/>
      <w:bookmarkStart w:id="92" w:name="_Toc162146269"/>
      <w:r>
        <w:rPr>
          <w:rFonts w:hint="eastAsia"/>
        </w:rPr>
        <w:t>化工园区 C</w:t>
      </w:r>
      <w:r>
        <w:t xml:space="preserve">hemical </w:t>
      </w:r>
      <w:r>
        <w:rPr>
          <w:rFonts w:hint="eastAsia"/>
        </w:rPr>
        <w:t>I</w:t>
      </w:r>
      <w:r>
        <w:t xml:space="preserve">ndustry </w:t>
      </w:r>
      <w:r>
        <w:rPr>
          <w:rFonts w:hint="eastAsia"/>
        </w:rPr>
        <w:t>P</w:t>
      </w:r>
      <w:r>
        <w:t>ark</w:t>
      </w:r>
      <w:bookmarkEnd w:id="84"/>
      <w:bookmarkEnd w:id="85"/>
      <w:bookmarkEnd w:id="86"/>
      <w:bookmarkEnd w:id="87"/>
      <w:bookmarkEnd w:id="88"/>
      <w:bookmarkEnd w:id="89"/>
      <w:bookmarkEnd w:id="90"/>
      <w:bookmarkEnd w:id="91"/>
      <w:bookmarkEnd w:id="92"/>
    </w:p>
    <w:p>
      <w:pPr>
        <w:pStyle w:val="56"/>
        <w:ind w:firstLine="420"/>
      </w:pPr>
      <w:r>
        <w:rPr>
          <w:rFonts w:hint="eastAsia"/>
        </w:rPr>
        <w:t>由省级人民政府认定,以发展化工产业为导向、地理边界和管理主体明确、基础设施和管理体系完整的工业区域。</w:t>
      </w:r>
    </w:p>
    <w:p>
      <w:pPr>
        <w:pStyle w:val="179"/>
      </w:pPr>
      <w:r>
        <w:rPr>
          <w:rFonts w:hint="eastAsia"/>
        </w:rPr>
        <w:t>以下简称园区</w:t>
      </w:r>
    </w:p>
    <w:p>
      <w:pPr>
        <w:pStyle w:val="105"/>
        <w:spacing w:before="156" w:after="156"/>
      </w:pPr>
      <w:bookmarkStart w:id="93" w:name="_Toc162146270"/>
      <w:bookmarkStart w:id="94" w:name="_Toc156557283"/>
      <w:bookmarkStart w:id="95" w:name="_Toc159369563"/>
      <w:bookmarkStart w:id="96" w:name="_Toc162146163"/>
      <w:bookmarkStart w:id="97" w:name="_Toc162146202"/>
      <w:bookmarkStart w:id="98" w:name="_Toc159179107"/>
      <w:bookmarkStart w:id="99" w:name="_Toc156557321"/>
      <w:r>
        <w:rPr>
          <w:rFonts w:hint="eastAsia"/>
        </w:rPr>
        <w:t>化工重点监测点 K</w:t>
      </w:r>
      <w:r>
        <w:t xml:space="preserve">ey </w:t>
      </w:r>
      <w:r>
        <w:rPr>
          <w:rFonts w:hint="eastAsia"/>
        </w:rPr>
        <w:t>C</w:t>
      </w:r>
      <w:r>
        <w:t xml:space="preserve">hemical </w:t>
      </w:r>
      <w:r>
        <w:rPr>
          <w:rFonts w:hint="eastAsia"/>
        </w:rPr>
        <w:t>M</w:t>
      </w:r>
      <w:r>
        <w:t xml:space="preserve">onitoring </w:t>
      </w:r>
      <w:r>
        <w:rPr>
          <w:rFonts w:hint="eastAsia"/>
        </w:rPr>
        <w:t>P</w:t>
      </w:r>
      <w:r>
        <w:t>oints</w:t>
      </w:r>
      <w:bookmarkEnd w:id="93"/>
      <w:bookmarkEnd w:id="94"/>
      <w:bookmarkEnd w:id="95"/>
      <w:bookmarkEnd w:id="96"/>
      <w:bookmarkEnd w:id="97"/>
      <w:bookmarkEnd w:id="98"/>
      <w:bookmarkEnd w:id="99"/>
    </w:p>
    <w:p>
      <w:pPr>
        <w:pStyle w:val="56"/>
        <w:ind w:firstLine="420"/>
      </w:pPr>
      <w:r>
        <w:rPr>
          <w:rFonts w:hint="eastAsia"/>
        </w:rPr>
        <w:t>处于化工园区之外，符合国家产业政策、管理规范、技术先进、产品高端、安全环保风险可控、规模总量大、经济效益突出，经设区的市人民政府组织认定公布的化工生产企业。</w:t>
      </w:r>
    </w:p>
    <w:p>
      <w:pPr>
        <w:pStyle w:val="179"/>
      </w:pPr>
      <w:r>
        <w:rPr>
          <w:rFonts w:hint="eastAsia"/>
        </w:rPr>
        <w:t>以下简称监测点</w:t>
      </w:r>
    </w:p>
    <w:p>
      <w:pPr>
        <w:pStyle w:val="104"/>
        <w:spacing w:before="312" w:after="312"/>
      </w:pPr>
      <w:bookmarkStart w:id="100" w:name="_Toc162146164"/>
      <w:bookmarkStart w:id="101" w:name="_Toc162146203"/>
      <w:bookmarkStart w:id="102" w:name="_Toc162146271"/>
      <w:r>
        <w:rPr>
          <w:rFonts w:hint="eastAsia"/>
        </w:rPr>
        <w:t>缩略语</w:t>
      </w:r>
      <w:bookmarkEnd w:id="100"/>
      <w:bookmarkEnd w:id="101"/>
      <w:bookmarkEnd w:id="102"/>
    </w:p>
    <w:p>
      <w:pPr>
        <w:pStyle w:val="56"/>
        <w:ind w:firstLine="420"/>
      </w:pPr>
      <w:r>
        <w:rPr>
          <w:rFonts w:hint="eastAsia"/>
        </w:rPr>
        <w:t>4G：第四代移动通信技术（4th-Generation Mobile Communication Technology）</w:t>
      </w:r>
    </w:p>
    <w:p>
      <w:pPr>
        <w:pStyle w:val="56"/>
        <w:ind w:firstLine="420"/>
      </w:pPr>
      <w:r>
        <w:rPr>
          <w:rFonts w:hint="eastAsia"/>
        </w:rPr>
        <w:t>5G：第五代移动通信技术（5th-Generation Mobile Communication Technology）</w:t>
      </w:r>
    </w:p>
    <w:p>
      <w:pPr>
        <w:pStyle w:val="56"/>
        <w:ind w:firstLine="420"/>
      </w:pPr>
      <w:r>
        <w:rPr>
          <w:rFonts w:hint="eastAsia"/>
        </w:rPr>
        <w:t>AI：人工智能（Artificial Intelligence）</w:t>
      </w:r>
    </w:p>
    <w:p>
      <w:pPr>
        <w:pStyle w:val="56"/>
        <w:ind w:firstLine="420"/>
      </w:pPr>
      <w:r>
        <w:rPr>
          <w:rFonts w:hint="eastAsia"/>
        </w:rPr>
        <w:t>AR：增强现实（Augmented Reality）</w:t>
      </w:r>
    </w:p>
    <w:p>
      <w:pPr>
        <w:pStyle w:val="56"/>
        <w:ind w:firstLine="420"/>
      </w:pPr>
      <w:r>
        <w:rPr>
          <w:rFonts w:hint="eastAsia"/>
        </w:rPr>
        <w:t>ERP：企业资源计划（Enterprise Resource Planning）</w:t>
      </w:r>
    </w:p>
    <w:p>
      <w:pPr>
        <w:pStyle w:val="56"/>
        <w:ind w:firstLine="420"/>
      </w:pPr>
      <w:r>
        <w:rPr>
          <w:rFonts w:hint="eastAsia"/>
        </w:rPr>
        <w:t>MES：制造执行系统（Manufacturing Execution System）</w:t>
      </w:r>
    </w:p>
    <w:p>
      <w:pPr>
        <w:pStyle w:val="56"/>
        <w:ind w:firstLine="420"/>
      </w:pPr>
      <w:r>
        <w:rPr>
          <w:rFonts w:hint="eastAsia"/>
        </w:rPr>
        <w:t>MSDS：化学品安全说明书（Material Safety Data Sheet）</w:t>
      </w:r>
    </w:p>
    <w:p>
      <w:pPr>
        <w:pStyle w:val="56"/>
        <w:ind w:firstLine="420"/>
      </w:pPr>
      <w:r>
        <w:rPr>
          <w:rFonts w:hint="eastAsia"/>
        </w:rPr>
        <w:t>OPC：对象链接与嵌入的过程控制（OLE for Process Control）</w:t>
      </w:r>
    </w:p>
    <w:p>
      <w:pPr>
        <w:pStyle w:val="56"/>
        <w:ind w:firstLine="420"/>
      </w:pPr>
      <w:r>
        <w:rPr>
          <w:rFonts w:hint="eastAsia"/>
        </w:rPr>
        <w:t>PID：比例-积分-微分控制器（Proportional-Integral-Derivative controller）</w:t>
      </w:r>
    </w:p>
    <w:p>
      <w:pPr>
        <w:pStyle w:val="56"/>
        <w:ind w:firstLine="420"/>
      </w:pPr>
      <w:r>
        <w:rPr>
          <w:rFonts w:hint="eastAsia"/>
        </w:rPr>
        <w:t>RFID：射频识别技术（Radio Frequency Identification）</w:t>
      </w:r>
    </w:p>
    <w:p>
      <w:pPr>
        <w:pStyle w:val="56"/>
        <w:ind w:firstLine="420"/>
      </w:pPr>
      <w:r>
        <w:rPr>
          <w:rFonts w:hint="eastAsia"/>
        </w:rPr>
        <w:t>SCM：供应链管理（Supply Chain Management）</w:t>
      </w:r>
    </w:p>
    <w:p>
      <w:pPr>
        <w:pStyle w:val="56"/>
        <w:ind w:firstLine="420"/>
      </w:pPr>
      <w:r>
        <w:rPr>
          <w:rFonts w:hint="eastAsia"/>
        </w:rPr>
        <w:t>TMS：运输管理系统（Transportation Management System）</w:t>
      </w:r>
    </w:p>
    <w:p>
      <w:pPr>
        <w:pStyle w:val="56"/>
        <w:ind w:firstLine="420"/>
      </w:pPr>
      <w:r>
        <w:rPr>
          <w:rFonts w:hint="eastAsia"/>
        </w:rPr>
        <w:t>VR：虚拟现实（Virtual Reality）</w:t>
      </w:r>
    </w:p>
    <w:p>
      <w:pPr>
        <w:pStyle w:val="56"/>
        <w:ind w:firstLine="420"/>
      </w:pPr>
      <w:r>
        <w:rPr>
          <w:rFonts w:hint="eastAsia"/>
        </w:rPr>
        <w:t>WMS：仓储管理系统（Warehouse Management System）</w:t>
      </w:r>
    </w:p>
    <w:p>
      <w:pPr>
        <w:pStyle w:val="104"/>
        <w:spacing w:before="312" w:after="312"/>
      </w:pPr>
      <w:bookmarkStart w:id="103" w:name="_Toc162146165"/>
      <w:bookmarkStart w:id="104" w:name="_Toc162146204"/>
      <w:bookmarkStart w:id="105" w:name="_Toc162146272"/>
      <w:r>
        <w:rPr>
          <w:rFonts w:hint="eastAsia"/>
        </w:rPr>
        <w:t>总体原则</w:t>
      </w:r>
      <w:bookmarkEnd w:id="103"/>
      <w:bookmarkEnd w:id="104"/>
      <w:bookmarkEnd w:id="105"/>
    </w:p>
    <w:p>
      <w:pPr>
        <w:pStyle w:val="105"/>
        <w:spacing w:before="156" w:after="156"/>
      </w:pPr>
      <w:bookmarkStart w:id="106" w:name="_Toc156557286"/>
      <w:bookmarkStart w:id="107" w:name="_Toc162146205"/>
      <w:bookmarkStart w:id="108" w:name="_Toc162146273"/>
      <w:bookmarkStart w:id="109" w:name="_Toc156557324"/>
      <w:bookmarkStart w:id="110" w:name="_Toc159179110"/>
      <w:bookmarkStart w:id="111" w:name="_Toc156245148"/>
      <w:bookmarkStart w:id="112" w:name="_Toc156416006"/>
      <w:bookmarkStart w:id="113" w:name="_Toc162146166"/>
      <w:r>
        <w:rPr>
          <w:rFonts w:hint="eastAsia"/>
        </w:rPr>
        <w:t>目的性</w:t>
      </w:r>
      <w:bookmarkEnd w:id="106"/>
      <w:bookmarkEnd w:id="107"/>
      <w:bookmarkEnd w:id="108"/>
      <w:bookmarkEnd w:id="109"/>
      <w:bookmarkEnd w:id="110"/>
      <w:bookmarkEnd w:id="111"/>
      <w:bookmarkEnd w:id="112"/>
      <w:bookmarkEnd w:id="113"/>
    </w:p>
    <w:p>
      <w:pPr>
        <w:pStyle w:val="56"/>
        <w:ind w:firstLine="420"/>
      </w:pPr>
      <w:r>
        <w:rPr>
          <w:rFonts w:hint="eastAsia"/>
        </w:rPr>
        <w:t>指导企业智能化改造数字化转型网络化联接建设，引导数字技术赋能化工产业高质量发展。</w:t>
      </w:r>
    </w:p>
    <w:p>
      <w:pPr>
        <w:pStyle w:val="105"/>
        <w:spacing w:before="156" w:after="156"/>
      </w:pPr>
      <w:bookmarkStart w:id="114" w:name="_Toc159179111"/>
      <w:bookmarkStart w:id="115" w:name="_Toc162146206"/>
      <w:bookmarkStart w:id="116" w:name="_Toc156416007"/>
      <w:bookmarkStart w:id="117" w:name="_Toc162146274"/>
      <w:bookmarkStart w:id="118" w:name="_Toc156557287"/>
      <w:bookmarkStart w:id="119" w:name="_Toc156245149"/>
      <w:bookmarkStart w:id="120" w:name="_Toc156557325"/>
      <w:bookmarkStart w:id="121" w:name="_Toc162146167"/>
      <w:r>
        <w:rPr>
          <w:rFonts w:hint="eastAsia"/>
        </w:rPr>
        <w:t>实效性</w:t>
      </w:r>
      <w:bookmarkEnd w:id="114"/>
      <w:bookmarkEnd w:id="115"/>
      <w:bookmarkEnd w:id="116"/>
      <w:bookmarkEnd w:id="117"/>
      <w:bookmarkEnd w:id="118"/>
      <w:bookmarkEnd w:id="119"/>
      <w:bookmarkEnd w:id="120"/>
      <w:bookmarkEnd w:id="121"/>
    </w:p>
    <w:p>
      <w:pPr>
        <w:pStyle w:val="56"/>
        <w:ind w:firstLine="420"/>
      </w:pPr>
      <w:r>
        <w:rPr>
          <w:rFonts w:hint="eastAsia"/>
        </w:rPr>
        <w:t>整合企业各类数据资源，实现企业内部、产业链上下游、企业与园区数据实时传输和共享，强化大数据的运用、分析，围绕事前、事中、事后三阶段为监测预警、分析研判、协同管控提供技术保障。</w:t>
      </w:r>
    </w:p>
    <w:p>
      <w:pPr>
        <w:pStyle w:val="105"/>
        <w:spacing w:before="156" w:after="156"/>
      </w:pPr>
      <w:bookmarkStart w:id="122" w:name="_Toc156416008"/>
      <w:bookmarkStart w:id="123" w:name="_Toc156245150"/>
      <w:bookmarkStart w:id="124" w:name="_Toc162146168"/>
      <w:bookmarkStart w:id="125" w:name="_Toc156557326"/>
      <w:bookmarkStart w:id="126" w:name="_Toc159179112"/>
      <w:bookmarkStart w:id="127" w:name="_Toc162146275"/>
      <w:bookmarkStart w:id="128" w:name="_Toc162146207"/>
      <w:bookmarkStart w:id="129" w:name="_Toc156557288"/>
      <w:r>
        <w:rPr>
          <w:rFonts w:hint="eastAsia"/>
        </w:rPr>
        <w:t>适用性</w:t>
      </w:r>
      <w:bookmarkEnd w:id="122"/>
      <w:bookmarkEnd w:id="123"/>
      <w:bookmarkEnd w:id="124"/>
      <w:bookmarkEnd w:id="125"/>
      <w:bookmarkEnd w:id="126"/>
      <w:bookmarkEnd w:id="127"/>
      <w:bookmarkEnd w:id="128"/>
      <w:bookmarkEnd w:id="129"/>
    </w:p>
    <w:p>
      <w:pPr>
        <w:pStyle w:val="56"/>
        <w:ind w:firstLine="420"/>
      </w:pPr>
      <w:r>
        <w:rPr>
          <w:rFonts w:hint="eastAsia"/>
        </w:rPr>
        <w:t>顶层设计、分步实施，结合企业现状和发展需求，突出重点、急用先行、动态优化、有序提升。</w:t>
      </w:r>
    </w:p>
    <w:p>
      <w:pPr>
        <w:pStyle w:val="105"/>
        <w:spacing w:before="156" w:after="156"/>
      </w:pPr>
      <w:bookmarkStart w:id="130" w:name="_Toc162146169"/>
      <w:bookmarkStart w:id="131" w:name="_Toc156557289"/>
      <w:bookmarkStart w:id="132" w:name="_Toc156245151"/>
      <w:bookmarkStart w:id="133" w:name="_Toc162146276"/>
      <w:bookmarkStart w:id="134" w:name="_Toc159179113"/>
      <w:bookmarkStart w:id="135" w:name="_Toc156416009"/>
      <w:bookmarkStart w:id="136" w:name="_Toc162146208"/>
      <w:bookmarkStart w:id="137" w:name="_Toc156557327"/>
      <w:r>
        <w:rPr>
          <w:rFonts w:hint="eastAsia"/>
        </w:rPr>
        <w:t>创新性</w:t>
      </w:r>
      <w:bookmarkEnd w:id="130"/>
      <w:bookmarkEnd w:id="131"/>
      <w:bookmarkEnd w:id="132"/>
      <w:bookmarkEnd w:id="133"/>
      <w:bookmarkEnd w:id="134"/>
      <w:bookmarkEnd w:id="135"/>
      <w:bookmarkEnd w:id="136"/>
      <w:bookmarkEnd w:id="137"/>
    </w:p>
    <w:p>
      <w:pPr>
        <w:pStyle w:val="56"/>
        <w:ind w:firstLine="420"/>
      </w:pPr>
      <w:r>
        <w:rPr>
          <w:rFonts w:hint="eastAsia"/>
        </w:rPr>
        <w:t>应用物联网、大数据、云计算、人工智能、移动互联网、工业互联网等新一代信息技术，持续提升企业智能化改造数字化转型网络化联接水平，推进化工产业发展。</w:t>
      </w:r>
    </w:p>
    <w:p>
      <w:pPr>
        <w:pStyle w:val="105"/>
        <w:spacing w:before="156" w:after="156"/>
      </w:pPr>
      <w:bookmarkStart w:id="138" w:name="_Toc156245152"/>
      <w:bookmarkStart w:id="139" w:name="_Toc156557290"/>
      <w:bookmarkStart w:id="140" w:name="_Toc162146209"/>
      <w:bookmarkStart w:id="141" w:name="_Toc162146277"/>
      <w:bookmarkStart w:id="142" w:name="_Toc156416010"/>
      <w:bookmarkStart w:id="143" w:name="_Toc159179114"/>
      <w:bookmarkStart w:id="144" w:name="_Toc156557328"/>
      <w:bookmarkStart w:id="145" w:name="_Toc162146170"/>
      <w:r>
        <w:rPr>
          <w:rFonts w:hint="eastAsia"/>
        </w:rPr>
        <w:t>安全性</w:t>
      </w:r>
      <w:bookmarkEnd w:id="138"/>
      <w:bookmarkEnd w:id="139"/>
      <w:bookmarkEnd w:id="140"/>
      <w:bookmarkEnd w:id="141"/>
      <w:bookmarkEnd w:id="142"/>
      <w:bookmarkEnd w:id="143"/>
      <w:bookmarkEnd w:id="144"/>
      <w:bookmarkEnd w:id="145"/>
    </w:p>
    <w:p>
      <w:pPr>
        <w:pStyle w:val="56"/>
        <w:ind w:firstLine="420"/>
      </w:pPr>
      <w:r>
        <w:rPr>
          <w:rFonts w:hint="eastAsia"/>
        </w:rPr>
        <w:t>在保证安全生产和信息安全的前提下，宜选用自主可控、绿色节能产品。</w:t>
      </w:r>
    </w:p>
    <w:p>
      <w:pPr>
        <w:pStyle w:val="104"/>
        <w:spacing w:before="312" w:after="312"/>
      </w:pPr>
      <w:bookmarkStart w:id="146" w:name="_Toc162146171"/>
      <w:bookmarkStart w:id="147" w:name="_Toc162146210"/>
      <w:bookmarkStart w:id="148" w:name="_Toc162146278"/>
      <w:r>
        <w:rPr>
          <w:rFonts w:hint="eastAsia"/>
        </w:rPr>
        <w:t>总体架构</w:t>
      </w:r>
      <w:bookmarkEnd w:id="146"/>
      <w:bookmarkEnd w:id="147"/>
      <w:bookmarkEnd w:id="148"/>
    </w:p>
    <w:p>
      <w:pPr>
        <w:pStyle w:val="56"/>
        <w:ind w:firstLine="420"/>
      </w:pPr>
      <w:r>
        <w:rPr>
          <w:rFonts w:hint="eastAsia"/>
        </w:rPr>
        <w:t>化工行业智能化改造数字化转型网络化联接，宜在满足企业安全生产和信息安全等前提下，从基础能力建设、关键环节建设出发，全面实现企业内部设备互联、系统互通、数据互融，与园区实现网络化联接，夯实智能化改造数字化转型网络化联接基础，深化数字技术赋能应用。</w:t>
      </w:r>
    </w:p>
    <w:p>
      <w:pPr>
        <w:pStyle w:val="56"/>
        <w:ind w:firstLine="420"/>
      </w:pPr>
      <w:r>
        <w:rPr>
          <w:rFonts w:hint="eastAsia"/>
        </w:rPr>
        <w:t>如图1所示，基础能力建设包括企业智能化基础、数字化基础、网络化基础、人才基础能力建设。关键环节建设包括计划调度、生产作业、设备管理、质量管理、仓储配送、能源管理、安全生产、环保管理、供应链管理等能力建设。本文件网络化联接包括企业与产业链相关企业、园区或属地政府、相关职能部门、第三方服务机构等的互联互通，监测点应同属地政府、相关职能部门互联互通。</w:t>
      </w:r>
    </w:p>
    <w:p>
      <w:pPr>
        <w:pStyle w:val="56"/>
        <w:ind w:firstLine="0" w:firstLineChars="0"/>
      </w:pPr>
      <w:r>
        <w:drawing>
          <wp:inline distT="0" distB="0" distL="0" distR="0">
            <wp:extent cx="5939790" cy="3162300"/>
            <wp:effectExtent l="0" t="0" r="3810" b="0"/>
            <wp:docPr id="1875781216"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781216" name="图片 1" descr="图示&#10;&#10;中度可信度描述已自动生成"/>
                    <pic:cNvPicPr>
                      <a:picLocks noChangeAspect="1"/>
                    </pic:cNvPicPr>
                  </pic:nvPicPr>
                  <pic:blipFill>
                    <a:blip r:embed="rId16"/>
                    <a:stretch>
                      <a:fillRect/>
                    </a:stretch>
                  </pic:blipFill>
                  <pic:spPr>
                    <a:xfrm>
                      <a:off x="0" y="0"/>
                      <a:ext cx="5939790" cy="3162300"/>
                    </a:xfrm>
                    <a:prstGeom prst="rect">
                      <a:avLst/>
                    </a:prstGeom>
                  </pic:spPr>
                </pic:pic>
              </a:graphicData>
            </a:graphic>
          </wp:inline>
        </w:drawing>
      </w:r>
    </w:p>
    <w:p>
      <w:pPr>
        <w:pStyle w:val="114"/>
        <w:spacing w:before="156" w:after="156"/>
      </w:pPr>
      <w:r>
        <w:rPr>
          <w:rFonts w:hint="eastAsia"/>
        </w:rPr>
        <w:t>总体架构</w:t>
      </w:r>
    </w:p>
    <w:p>
      <w:pPr>
        <w:pStyle w:val="104"/>
        <w:spacing w:before="312" w:after="312"/>
      </w:pPr>
      <w:bookmarkStart w:id="149" w:name="_Toc162146172"/>
      <w:bookmarkStart w:id="150" w:name="_Toc162146211"/>
      <w:bookmarkStart w:id="151" w:name="_Toc162146279"/>
      <w:r>
        <w:rPr>
          <w:rFonts w:hint="eastAsia"/>
        </w:rPr>
        <w:t>基础能力建设</w:t>
      </w:r>
      <w:bookmarkEnd w:id="149"/>
      <w:bookmarkEnd w:id="150"/>
      <w:bookmarkEnd w:id="151"/>
    </w:p>
    <w:p>
      <w:pPr>
        <w:pStyle w:val="105"/>
        <w:spacing w:before="156" w:after="156"/>
      </w:pPr>
      <w:bookmarkStart w:id="152" w:name="_Toc156557331"/>
      <w:bookmarkStart w:id="153" w:name="_Toc159179117"/>
      <w:bookmarkStart w:id="154" w:name="_Toc162146280"/>
      <w:bookmarkStart w:id="155" w:name="_Toc156416013"/>
      <w:bookmarkStart w:id="156" w:name="_Toc156245155"/>
      <w:bookmarkStart w:id="157" w:name="_Toc156557293"/>
      <w:bookmarkStart w:id="158" w:name="_Toc162146173"/>
      <w:bookmarkStart w:id="159" w:name="_Toc162146212"/>
      <w:r>
        <w:rPr>
          <w:rFonts w:hint="eastAsia"/>
        </w:rPr>
        <w:t>智能化基础</w:t>
      </w:r>
      <w:bookmarkEnd w:id="152"/>
      <w:bookmarkEnd w:id="153"/>
      <w:bookmarkEnd w:id="154"/>
      <w:bookmarkEnd w:id="155"/>
      <w:bookmarkEnd w:id="156"/>
      <w:bookmarkEnd w:id="157"/>
      <w:bookmarkEnd w:id="158"/>
      <w:bookmarkEnd w:id="159"/>
    </w:p>
    <w:p>
      <w:pPr>
        <w:pStyle w:val="65"/>
        <w:spacing w:before="156" w:after="156"/>
      </w:pPr>
      <w:bookmarkStart w:id="160" w:name="_Toc162146213"/>
      <w:r>
        <w:rPr>
          <w:rFonts w:hint="eastAsia"/>
        </w:rPr>
        <w:t>自动化改造</w:t>
      </w:r>
      <w:bookmarkEnd w:id="160"/>
    </w:p>
    <w:p>
      <w:pPr>
        <w:pStyle w:val="56"/>
        <w:ind w:firstLine="420"/>
      </w:pPr>
      <w:r>
        <w:rPr>
          <w:rFonts w:hint="eastAsia"/>
        </w:rPr>
        <w:t>企业涉及重点监管的危险化工工艺、重点监管的危险化学品和重大危险源(简称“两重点一重大”)的生产装置、储存设施，自动化控制系统的装备投用率应达到100%，符合</w:t>
      </w:r>
      <w:r>
        <w:t>DB32/T 4454</w:t>
      </w:r>
      <w:r>
        <w:rPr>
          <w:rFonts w:hint="eastAsia"/>
        </w:rPr>
        <w:t>的要求。</w:t>
      </w:r>
    </w:p>
    <w:p>
      <w:pPr>
        <w:pStyle w:val="56"/>
        <w:ind w:firstLine="420"/>
      </w:pPr>
      <w:r>
        <w:rPr>
          <w:rFonts w:hint="eastAsia"/>
        </w:rPr>
        <w:t>涉及毒性气体、液化气体、易燃易爆气体、剧毒液体的一级或者二级重大危险源，应配备独立的安全仪表系统，定期开展危险与可操作性分析(HAZOP)，符合</w:t>
      </w:r>
      <w:r>
        <w:t>DB32/T 4454</w:t>
      </w:r>
      <w:r>
        <w:rPr>
          <w:rFonts w:hint="eastAsia"/>
        </w:rPr>
        <w:t>的要求。</w:t>
      </w:r>
    </w:p>
    <w:p>
      <w:pPr>
        <w:pStyle w:val="56"/>
        <w:ind w:firstLine="420"/>
      </w:pPr>
      <w:r>
        <w:rPr>
          <w:rFonts w:hint="eastAsia"/>
        </w:rPr>
        <w:t>其他化工企业可参照执行。</w:t>
      </w:r>
    </w:p>
    <w:p>
      <w:pPr>
        <w:pStyle w:val="65"/>
        <w:spacing w:before="156" w:after="156"/>
      </w:pPr>
      <w:bookmarkStart w:id="161" w:name="_Toc162146214"/>
      <w:r>
        <w:rPr>
          <w:rFonts w:hint="eastAsia"/>
        </w:rPr>
        <w:t>智能装备应用</w:t>
      </w:r>
      <w:bookmarkEnd w:id="161"/>
    </w:p>
    <w:p>
      <w:pPr>
        <w:pStyle w:val="56"/>
        <w:ind w:firstLine="420"/>
      </w:pPr>
      <w:r>
        <w:rPr>
          <w:rFonts w:hint="eastAsia"/>
        </w:rPr>
        <w:t>利用巡检机器人、视觉检测系统等智能检测装备，分布式控制系统、先进过程控制系统、安全仪表系统、在线实时优化系统等智能控制装备及其他智能装备，为企业提供关键工艺段的智能化支撑。</w:t>
      </w:r>
    </w:p>
    <w:p>
      <w:pPr>
        <w:pStyle w:val="65"/>
        <w:spacing w:before="156" w:after="156"/>
      </w:pPr>
      <w:bookmarkStart w:id="162" w:name="_Toc162146215"/>
      <w:r>
        <w:rPr>
          <w:rFonts w:hint="eastAsia"/>
        </w:rPr>
        <w:t>模型算法应用</w:t>
      </w:r>
      <w:bookmarkEnd w:id="162"/>
    </w:p>
    <w:p>
      <w:pPr>
        <w:pStyle w:val="56"/>
        <w:ind w:firstLine="420"/>
      </w:pPr>
      <w:r>
        <w:rPr>
          <w:rFonts w:hint="eastAsia"/>
        </w:rPr>
        <w:t>利用过程模拟、工艺仿真、数据分析等工具软件，将生产调度、工艺参数控制、能源调度等经验知识转化为模型算法，形成可复制推广的模型库、算法库和知识库。</w:t>
      </w:r>
    </w:p>
    <w:p>
      <w:pPr>
        <w:pStyle w:val="105"/>
        <w:spacing w:before="156" w:after="156"/>
      </w:pPr>
      <w:bookmarkStart w:id="163" w:name="_Toc162146216"/>
      <w:bookmarkStart w:id="164" w:name="_Toc159179118"/>
      <w:bookmarkStart w:id="165" w:name="_Toc156557332"/>
      <w:bookmarkStart w:id="166" w:name="_Toc162146174"/>
      <w:bookmarkStart w:id="167" w:name="_Toc156245156"/>
      <w:bookmarkStart w:id="168" w:name="_Toc156557294"/>
      <w:bookmarkStart w:id="169" w:name="_Toc156416014"/>
      <w:bookmarkStart w:id="170" w:name="_Toc162146281"/>
      <w:r>
        <w:rPr>
          <w:rFonts w:hint="eastAsia"/>
        </w:rPr>
        <w:t>数字化基础</w:t>
      </w:r>
      <w:bookmarkEnd w:id="163"/>
      <w:bookmarkEnd w:id="164"/>
      <w:bookmarkEnd w:id="165"/>
      <w:bookmarkEnd w:id="166"/>
      <w:bookmarkEnd w:id="167"/>
      <w:bookmarkEnd w:id="168"/>
      <w:bookmarkEnd w:id="169"/>
      <w:bookmarkEnd w:id="170"/>
    </w:p>
    <w:p>
      <w:pPr>
        <w:pStyle w:val="65"/>
        <w:spacing w:before="156" w:after="156"/>
      </w:pPr>
      <w:bookmarkStart w:id="171" w:name="_Toc162146217"/>
      <w:r>
        <w:rPr>
          <w:rFonts w:hint="eastAsia"/>
        </w:rPr>
        <w:t>数据采集</w:t>
      </w:r>
      <w:bookmarkEnd w:id="171"/>
    </w:p>
    <w:p>
      <w:pPr>
        <w:pStyle w:val="164"/>
      </w:pPr>
      <w:r>
        <w:rPr>
          <w:rFonts w:hint="eastAsia"/>
        </w:rPr>
        <w:t>采用现场总线技术、数采装置等实现传感器、执行器、关键生产设备等装置的运行数据采集。</w:t>
      </w:r>
    </w:p>
    <w:p>
      <w:pPr>
        <w:pStyle w:val="164"/>
      </w:pPr>
      <w:r>
        <w:rPr>
          <w:rFonts w:hint="eastAsia"/>
        </w:rPr>
        <w:t>采用工业有线以太网、工业无线以太网等实现罐区、生产车间、包装车间等生产数据采集。</w:t>
      </w:r>
    </w:p>
    <w:p>
      <w:pPr>
        <w:pStyle w:val="164"/>
      </w:pPr>
      <w:r>
        <w:rPr>
          <w:rFonts w:hint="eastAsia"/>
        </w:rPr>
        <w:t>采用OPC、物联网、5G等技术手段实现车间生产执行情况、视频监控等数据采集。</w:t>
      </w:r>
    </w:p>
    <w:p>
      <w:pPr>
        <w:pStyle w:val="164"/>
      </w:pPr>
      <w:r>
        <w:rPr>
          <w:rFonts w:hint="eastAsia"/>
        </w:rPr>
        <w:t>建立数据中台，根据统一的数据编码、数据交换格式和规则等，整合数据资源，实现企业内采购、销售、物流、库存等异构数据采集。</w:t>
      </w:r>
    </w:p>
    <w:p>
      <w:pPr>
        <w:pStyle w:val="65"/>
        <w:spacing w:before="156" w:after="156"/>
      </w:pPr>
      <w:bookmarkStart w:id="172" w:name="_Toc162146218"/>
      <w:r>
        <w:rPr>
          <w:rFonts w:hint="eastAsia"/>
        </w:rPr>
        <w:t>数据存储和处理</w:t>
      </w:r>
      <w:bookmarkEnd w:id="172"/>
    </w:p>
    <w:p>
      <w:pPr>
        <w:pStyle w:val="56"/>
        <w:ind w:firstLine="420"/>
      </w:pPr>
      <w:r>
        <w:rPr>
          <w:rFonts w:hint="eastAsia"/>
        </w:rPr>
        <w:t>建立安全、稳定、可靠、绿色的数据中心，具备容灾备份能力，实行分类分级管理，完善支撑数字业务运行的信息基础设施。</w:t>
      </w:r>
    </w:p>
    <w:p>
      <w:pPr>
        <w:pStyle w:val="105"/>
        <w:spacing w:before="156" w:after="156"/>
      </w:pPr>
      <w:bookmarkStart w:id="173" w:name="_Toc156416015"/>
      <w:bookmarkStart w:id="174" w:name="_Toc159179119"/>
      <w:bookmarkStart w:id="175" w:name="_Toc156245157"/>
      <w:bookmarkStart w:id="176" w:name="_Toc162146175"/>
      <w:bookmarkStart w:id="177" w:name="_Toc156557295"/>
      <w:bookmarkStart w:id="178" w:name="_Toc156557333"/>
      <w:bookmarkStart w:id="179" w:name="_Toc162146282"/>
      <w:bookmarkStart w:id="180" w:name="_Toc162146219"/>
      <w:r>
        <w:rPr>
          <w:rFonts w:hint="eastAsia"/>
        </w:rPr>
        <w:t>网络化基础</w:t>
      </w:r>
      <w:bookmarkEnd w:id="173"/>
      <w:bookmarkEnd w:id="174"/>
      <w:bookmarkEnd w:id="175"/>
      <w:bookmarkEnd w:id="176"/>
      <w:bookmarkEnd w:id="177"/>
      <w:bookmarkEnd w:id="178"/>
      <w:bookmarkEnd w:id="179"/>
      <w:bookmarkEnd w:id="180"/>
    </w:p>
    <w:p>
      <w:pPr>
        <w:pStyle w:val="65"/>
        <w:spacing w:before="156" w:after="156"/>
      </w:pPr>
      <w:bookmarkStart w:id="181" w:name="_Toc162146220"/>
      <w:r>
        <w:rPr>
          <w:rFonts w:hint="eastAsia"/>
        </w:rPr>
        <w:t>基础网络</w:t>
      </w:r>
      <w:bookmarkEnd w:id="181"/>
    </w:p>
    <w:p>
      <w:pPr>
        <w:pStyle w:val="164"/>
      </w:pPr>
      <w:r>
        <w:rPr>
          <w:rFonts w:hint="eastAsia"/>
        </w:rPr>
        <w:t>采用现场总线、工业以太网、工业光纤网络、时间敏感网络、窄带物联网、4G</w:t>
      </w:r>
      <w:r>
        <w:t>/</w:t>
      </w:r>
      <w:r>
        <w:rPr>
          <w:rFonts w:hint="eastAsia"/>
        </w:rPr>
        <w:t>5G等工业通信技术开展生产网络改造升级和全覆盖，提高企业、园区内部集成和协同水平。</w:t>
      </w:r>
    </w:p>
    <w:p>
      <w:pPr>
        <w:pStyle w:val="164"/>
      </w:pPr>
      <w:r>
        <w:rPr>
          <w:rFonts w:hint="eastAsia"/>
        </w:rPr>
        <w:t>建立关键主机设备、网络设备、数据设备、安全设备、控制组件等冗余配置。</w:t>
      </w:r>
    </w:p>
    <w:p>
      <w:pPr>
        <w:pStyle w:val="65"/>
        <w:spacing w:before="156" w:after="156"/>
      </w:pPr>
      <w:bookmarkStart w:id="182" w:name="_Toc162146221"/>
      <w:r>
        <w:rPr>
          <w:rFonts w:hint="eastAsia"/>
        </w:rPr>
        <w:t>系统互联</w:t>
      </w:r>
      <w:bookmarkEnd w:id="182"/>
    </w:p>
    <w:p>
      <w:pPr>
        <w:pStyle w:val="164"/>
      </w:pPr>
      <w:r>
        <w:rPr>
          <w:rFonts w:hint="eastAsia"/>
        </w:rPr>
        <w:t>利用中间件工具、数据接口、集成平台等实现企业ERP、MES、WMS等跨业务活动集成。</w:t>
      </w:r>
    </w:p>
    <w:p>
      <w:pPr>
        <w:pStyle w:val="164"/>
      </w:pPr>
      <w:r>
        <w:rPr>
          <w:rFonts w:hint="eastAsia"/>
        </w:rPr>
        <w:t>建立稳定可靠的数据安全、信息安全、网络安全防护体系。</w:t>
      </w:r>
    </w:p>
    <w:p>
      <w:pPr>
        <w:pStyle w:val="164"/>
      </w:pPr>
      <w:r>
        <w:rPr>
          <w:rFonts w:hint="eastAsia"/>
        </w:rPr>
        <w:t>应用工业互联网、云计算、大数据等新一代信息技术，在保障信息安全的前提下，纵向实现生产管理、供应链、设计运营等跨系统、跨价值链之间数据互通，横向与园区、行业主管单位、相关职能部门灵活联通，实现综合监管一体化。</w:t>
      </w:r>
    </w:p>
    <w:p>
      <w:pPr>
        <w:pStyle w:val="65"/>
        <w:spacing w:before="156" w:after="156"/>
      </w:pPr>
      <w:bookmarkStart w:id="183" w:name="_Toc162146222"/>
      <w:r>
        <w:rPr>
          <w:rFonts w:hint="eastAsia"/>
        </w:rPr>
        <w:t>标识解析体系接入</w:t>
      </w:r>
      <w:bookmarkEnd w:id="183"/>
    </w:p>
    <w:p>
      <w:pPr>
        <w:pStyle w:val="164"/>
      </w:pPr>
      <w:r>
        <w:rPr>
          <w:rFonts w:hint="eastAsia"/>
        </w:rPr>
        <w:t>依托现有工业互联网标识解析节点，实现设备、工艺模型、产品、原辅料等要素的注册和解析，实现跨企业的业务协同。</w:t>
      </w:r>
    </w:p>
    <w:p>
      <w:pPr>
        <w:pStyle w:val="164"/>
      </w:pPr>
      <w:r>
        <w:rPr>
          <w:rFonts w:hint="eastAsia"/>
        </w:rPr>
        <w:t>企业宜建设国家工业互联网标识解析二级节点，向上与国家顶级节点对接，通过标识解析体系实现跨企业、跨园区、跨行业、跨地域的信息网络化联接和数据共享共用。</w:t>
      </w:r>
    </w:p>
    <w:p>
      <w:pPr>
        <w:pStyle w:val="164"/>
      </w:pPr>
      <w:r>
        <w:rPr>
          <w:rFonts w:hint="eastAsia"/>
        </w:rPr>
        <w:t>企业宜参与注册国家工业互联网标识解析企业节点，向上与二级节点对接，具备标识编码、标识解析能力。</w:t>
      </w:r>
    </w:p>
    <w:p>
      <w:pPr>
        <w:pStyle w:val="105"/>
        <w:spacing w:before="156" w:after="156"/>
      </w:pPr>
      <w:bookmarkStart w:id="184" w:name="_Toc162146176"/>
      <w:bookmarkStart w:id="185" w:name="_Toc162146223"/>
      <w:bookmarkStart w:id="186" w:name="_Toc162146283"/>
      <w:r>
        <w:rPr>
          <w:rFonts w:hint="eastAsia"/>
        </w:rPr>
        <w:t>人才基础</w:t>
      </w:r>
      <w:bookmarkEnd w:id="184"/>
      <w:bookmarkEnd w:id="185"/>
      <w:bookmarkEnd w:id="186"/>
    </w:p>
    <w:p>
      <w:pPr>
        <w:pStyle w:val="56"/>
        <w:ind w:firstLine="420"/>
      </w:pPr>
      <w:r>
        <w:rPr>
          <w:rFonts w:hint="eastAsia"/>
        </w:rPr>
        <w:t>建立健全常态化培训机制，制定相应的培训计划，与龙头企业、高校、科研院所等合作，开展智能化改造数字化转型网络化联接等人才培训，培育既懂化工生产又懂数字技术的复合型人才。</w:t>
      </w:r>
    </w:p>
    <w:p>
      <w:pPr>
        <w:pStyle w:val="104"/>
        <w:spacing w:before="312" w:after="312"/>
      </w:pPr>
      <w:bookmarkStart w:id="187" w:name="_Toc162146284"/>
      <w:bookmarkStart w:id="188" w:name="_Toc162146177"/>
      <w:bookmarkStart w:id="189" w:name="_Toc162146224"/>
      <w:r>
        <w:rPr>
          <w:rFonts w:hint="eastAsia"/>
        </w:rPr>
        <w:t>关键环节建设</w:t>
      </w:r>
      <w:bookmarkEnd w:id="187"/>
      <w:bookmarkEnd w:id="188"/>
      <w:bookmarkEnd w:id="189"/>
    </w:p>
    <w:p>
      <w:pPr>
        <w:pStyle w:val="105"/>
        <w:spacing w:before="156" w:after="156"/>
      </w:pPr>
      <w:bookmarkStart w:id="190" w:name="_Toc156557297"/>
      <w:bookmarkStart w:id="191" w:name="_Toc159179121"/>
      <w:bookmarkStart w:id="192" w:name="_Toc162146225"/>
      <w:bookmarkStart w:id="193" w:name="_Toc156557335"/>
      <w:bookmarkStart w:id="194" w:name="_Toc156245159"/>
      <w:bookmarkStart w:id="195" w:name="_Toc162146178"/>
      <w:bookmarkStart w:id="196" w:name="_Toc156416017"/>
      <w:bookmarkStart w:id="197" w:name="_Toc162146285"/>
      <w:r>
        <w:rPr>
          <w:rFonts w:hint="eastAsia"/>
        </w:rPr>
        <w:t>计划调度</w:t>
      </w:r>
      <w:bookmarkEnd w:id="190"/>
      <w:bookmarkEnd w:id="191"/>
      <w:bookmarkEnd w:id="192"/>
      <w:bookmarkEnd w:id="193"/>
      <w:bookmarkEnd w:id="194"/>
      <w:bookmarkEnd w:id="195"/>
      <w:bookmarkEnd w:id="196"/>
      <w:bookmarkEnd w:id="197"/>
    </w:p>
    <w:p>
      <w:pPr>
        <w:pStyle w:val="164"/>
      </w:pPr>
      <w:r>
        <w:rPr>
          <w:rFonts w:hint="eastAsia"/>
        </w:rPr>
        <w:t>通过MES系统，实时监控各生产环节的实际情况，对异常情况自动预警，自动决策和优化调度。</w:t>
      </w:r>
    </w:p>
    <w:p>
      <w:pPr>
        <w:pStyle w:val="164"/>
      </w:pPr>
      <w:r>
        <w:rPr>
          <w:rFonts w:hint="eastAsia"/>
        </w:rPr>
        <w:t>通过MES、ERP系统，以满负荷、柔性或最优化生产为目标，实现车间生产计划的优化和调度执行。</w:t>
      </w:r>
    </w:p>
    <w:p>
      <w:pPr>
        <w:pStyle w:val="164"/>
      </w:pPr>
      <w:r>
        <w:rPr>
          <w:rFonts w:hint="eastAsia"/>
        </w:rPr>
        <w:t>基于安全库存、采购提前期、产线产能等约束条件，应用约束理论、寻优算法等技术，进行基于多约束和动态扰动条件下的车间排产优化，形成详细生产作业计划，满足</w:t>
      </w:r>
      <w:r>
        <w:t>GB/T39116</w:t>
      </w:r>
      <w:r>
        <w:rPr>
          <w:rFonts w:hint="eastAsia"/>
        </w:rPr>
        <w:t>的要求。</w:t>
      </w:r>
    </w:p>
    <w:p>
      <w:pPr>
        <w:pStyle w:val="164"/>
      </w:pPr>
      <w:r>
        <w:rPr>
          <w:rFonts w:hint="eastAsia"/>
        </w:rPr>
        <w:t>利用工业大数据、数字孪生等技术，构建生产运行实时模型，提前预警生产过程中的异常，实现动态实时的生产排产和调度。</w:t>
      </w:r>
    </w:p>
    <w:p>
      <w:pPr>
        <w:pStyle w:val="105"/>
        <w:spacing w:before="156" w:after="156"/>
      </w:pPr>
      <w:bookmarkStart w:id="198" w:name="_Toc156245160"/>
      <w:bookmarkStart w:id="199" w:name="_Toc159179122"/>
      <w:bookmarkStart w:id="200" w:name="_Toc162146226"/>
      <w:bookmarkStart w:id="201" w:name="_Toc162146286"/>
      <w:bookmarkStart w:id="202" w:name="_Toc156416018"/>
      <w:bookmarkStart w:id="203" w:name="_Toc156557298"/>
      <w:bookmarkStart w:id="204" w:name="_Toc156557336"/>
      <w:bookmarkStart w:id="205" w:name="_Toc162146179"/>
      <w:r>
        <w:rPr>
          <w:rFonts w:hint="eastAsia"/>
        </w:rPr>
        <w:t>生产作业</w:t>
      </w:r>
      <w:bookmarkEnd w:id="198"/>
      <w:bookmarkEnd w:id="199"/>
      <w:bookmarkEnd w:id="200"/>
      <w:bookmarkEnd w:id="201"/>
      <w:bookmarkEnd w:id="202"/>
      <w:bookmarkEnd w:id="203"/>
      <w:bookmarkEnd w:id="204"/>
      <w:bookmarkEnd w:id="205"/>
    </w:p>
    <w:p>
      <w:pPr>
        <w:pStyle w:val="164"/>
      </w:pPr>
      <w:r>
        <w:rPr>
          <w:rFonts w:hint="eastAsia"/>
        </w:rPr>
        <w:t>应用人机界面以及工业平板等移动终端，自动下发工艺文件，自动采集生产过程工艺参数、设备运行情况、质量信息、生产计划执行进度等关键生产数据，并设置访问权限，推动实现生产过程无纸化。</w:t>
      </w:r>
    </w:p>
    <w:p>
      <w:pPr>
        <w:pStyle w:val="164"/>
      </w:pPr>
      <w:r>
        <w:rPr>
          <w:rFonts w:hint="eastAsia"/>
        </w:rPr>
        <w:t>通过MES系统，实现对生产作业计划、原料库存情况、产线负荷情况、质量信息等关键数据的动态监测。</w:t>
      </w:r>
    </w:p>
    <w:p>
      <w:pPr>
        <w:pStyle w:val="164"/>
      </w:pPr>
      <w:r>
        <w:rPr>
          <w:rFonts w:hint="eastAsia"/>
        </w:rPr>
        <w:t>集成全自动配料系统、全自动包装线、人机交互设备等智能装备，应用AR/VR、机器视觉等技术，实现生产的高效组织和作业协同。</w:t>
      </w:r>
    </w:p>
    <w:p>
      <w:pPr>
        <w:pStyle w:val="105"/>
        <w:spacing w:before="156" w:after="156"/>
      </w:pPr>
      <w:bookmarkStart w:id="206" w:name="_Toc162146180"/>
      <w:bookmarkStart w:id="207" w:name="_Toc156557337"/>
      <w:bookmarkStart w:id="208" w:name="_Toc156557299"/>
      <w:bookmarkStart w:id="209" w:name="_Toc156245161"/>
      <w:bookmarkStart w:id="210" w:name="_Toc162146227"/>
      <w:bookmarkStart w:id="211" w:name="_Toc162146287"/>
      <w:bookmarkStart w:id="212" w:name="_Toc156416019"/>
      <w:bookmarkStart w:id="213" w:name="_Toc159179123"/>
      <w:r>
        <w:rPr>
          <w:rFonts w:hint="eastAsia"/>
        </w:rPr>
        <w:t>仓储配送</w:t>
      </w:r>
      <w:bookmarkEnd w:id="206"/>
      <w:bookmarkEnd w:id="207"/>
      <w:bookmarkEnd w:id="208"/>
      <w:bookmarkEnd w:id="209"/>
      <w:bookmarkEnd w:id="210"/>
      <w:bookmarkEnd w:id="211"/>
      <w:bookmarkEnd w:id="212"/>
      <w:bookmarkEnd w:id="213"/>
    </w:p>
    <w:p>
      <w:pPr>
        <w:pStyle w:val="164"/>
      </w:pPr>
      <w:r>
        <w:rPr>
          <w:rFonts w:hint="eastAsia"/>
        </w:rPr>
        <w:t>通过集成智能仓储(储运)装备，应用条码、射频识别、智能传感等技术完成物料自动入库、盘库和出库。</w:t>
      </w:r>
    </w:p>
    <w:p>
      <w:pPr>
        <w:pStyle w:val="164"/>
      </w:pPr>
      <w:r>
        <w:rPr>
          <w:rFonts w:hint="eastAsia"/>
        </w:rPr>
        <w:t>通过应用WMS和智能物流装备，集成视觉/激光导航、室内定位和机器学习等技术，实现物资自动配送和路径优化。</w:t>
      </w:r>
    </w:p>
    <w:p>
      <w:pPr>
        <w:pStyle w:val="164"/>
      </w:pPr>
      <w:r>
        <w:rPr>
          <w:rFonts w:hint="eastAsia"/>
        </w:rPr>
        <w:t>应用MES或WMS，采用识别传感、定位追踪、物联网和 5G</w:t>
      </w:r>
      <w:r>
        <w:t xml:space="preserve"> </w:t>
      </w:r>
      <w:r>
        <w:rPr>
          <w:rFonts w:hint="eastAsia"/>
        </w:rPr>
        <w:t>等技术，实现原材料、在制品和产成品流转的全程跟踪。</w:t>
      </w:r>
    </w:p>
    <w:p>
      <w:pPr>
        <w:pStyle w:val="164"/>
      </w:pPr>
      <w:r>
        <w:rPr>
          <w:rFonts w:hint="eastAsia"/>
        </w:rPr>
        <w:t>自动采集罐区库存信息，对储罐储存异常状态进行监控预警。</w:t>
      </w:r>
    </w:p>
    <w:p>
      <w:pPr>
        <w:pStyle w:val="105"/>
        <w:spacing w:before="156" w:after="156"/>
      </w:pPr>
      <w:bookmarkStart w:id="214" w:name="_Toc156557338"/>
      <w:bookmarkStart w:id="215" w:name="_Toc162146181"/>
      <w:bookmarkStart w:id="216" w:name="_Toc162146228"/>
      <w:bookmarkStart w:id="217" w:name="_Toc156416020"/>
      <w:bookmarkStart w:id="218" w:name="_Toc159179124"/>
      <w:bookmarkStart w:id="219" w:name="_Toc156557300"/>
      <w:bookmarkStart w:id="220" w:name="_Toc156245162"/>
      <w:bookmarkStart w:id="221" w:name="_Toc162146288"/>
      <w:r>
        <w:rPr>
          <w:rFonts w:hint="eastAsia"/>
        </w:rPr>
        <w:t>质量管理</w:t>
      </w:r>
      <w:bookmarkEnd w:id="214"/>
      <w:bookmarkEnd w:id="215"/>
      <w:bookmarkEnd w:id="216"/>
      <w:bookmarkEnd w:id="217"/>
      <w:bookmarkEnd w:id="218"/>
      <w:bookmarkEnd w:id="219"/>
      <w:bookmarkEnd w:id="220"/>
      <w:bookmarkEnd w:id="221"/>
    </w:p>
    <w:p>
      <w:pPr>
        <w:pStyle w:val="164"/>
      </w:pPr>
      <w:r>
        <w:rPr>
          <w:rFonts w:hint="eastAsia"/>
        </w:rPr>
        <w:t>建立企业质量管理系统，通过条形码、二维码、RFID、标识解析等信息技术手段，实现质量检验业务流程的信息化。</w:t>
      </w:r>
    </w:p>
    <w:p>
      <w:pPr>
        <w:pStyle w:val="164"/>
      </w:pPr>
      <w:r>
        <w:rPr>
          <w:rFonts w:hint="eastAsia"/>
        </w:rPr>
        <w:t>实现关键工序质量在线检验和在线分析，且自动对检验结果判断和报警，实现检验数据共享，并建立产品质量问题知识库。</w:t>
      </w:r>
    </w:p>
    <w:p>
      <w:pPr>
        <w:pStyle w:val="164"/>
      </w:pPr>
      <w:r>
        <w:rPr>
          <w:rFonts w:hint="eastAsia"/>
        </w:rPr>
        <w:t>通过质量关键管控指标监控及分析、产品全流程过程质量综合评价、跨工序产品质量交互分析与异常诊断和质量异议快速反查等程序，实现全流程质量追溯及分析。</w:t>
      </w:r>
    </w:p>
    <w:p>
      <w:pPr>
        <w:pStyle w:val="105"/>
        <w:spacing w:before="156" w:after="156"/>
      </w:pPr>
      <w:bookmarkStart w:id="222" w:name="_Toc156245163"/>
      <w:bookmarkStart w:id="223" w:name="_Toc162146182"/>
      <w:bookmarkStart w:id="224" w:name="_Toc162146229"/>
      <w:bookmarkStart w:id="225" w:name="_Toc156557301"/>
      <w:bookmarkStart w:id="226" w:name="_Toc156416021"/>
      <w:bookmarkStart w:id="227" w:name="_Toc156557339"/>
      <w:bookmarkStart w:id="228" w:name="_Toc159179125"/>
      <w:bookmarkStart w:id="229" w:name="_Toc162146289"/>
      <w:r>
        <w:rPr>
          <w:rFonts w:hint="eastAsia"/>
        </w:rPr>
        <w:t>供应链管理</w:t>
      </w:r>
      <w:bookmarkEnd w:id="222"/>
      <w:bookmarkEnd w:id="223"/>
      <w:bookmarkEnd w:id="224"/>
      <w:bookmarkEnd w:id="225"/>
      <w:bookmarkEnd w:id="226"/>
      <w:bookmarkEnd w:id="227"/>
      <w:bookmarkEnd w:id="228"/>
      <w:bookmarkEnd w:id="229"/>
    </w:p>
    <w:p>
      <w:pPr>
        <w:pStyle w:val="164"/>
      </w:pPr>
      <w:r>
        <w:rPr>
          <w:rFonts w:hint="eastAsia"/>
        </w:rPr>
        <w:t>建设SCM系统，集成大数据、寻优算法和知识图谱等技术，实现供应商综合评价、采购需求精准决策和采购方案动态优化。</w:t>
      </w:r>
    </w:p>
    <w:p>
      <w:pPr>
        <w:pStyle w:val="164"/>
      </w:pPr>
      <w:r>
        <w:rPr>
          <w:rFonts w:hint="eastAsia"/>
        </w:rPr>
        <w:t>通过SCM系统，融合大数据和区块链等技术，打通上下游企业数据，实现供应链可视化监控和综合绩效分析。</w:t>
      </w:r>
    </w:p>
    <w:p>
      <w:pPr>
        <w:pStyle w:val="164"/>
      </w:pPr>
      <w:r>
        <w:rPr>
          <w:rFonts w:hint="eastAsia"/>
        </w:rPr>
        <w:t>依托运输管理系统(TMS)，应用智能传感、物联网、实时定位和深度学习等技术，实现运输配送全程跟踪和异常预警，装载能力和配送路径优化。</w:t>
      </w:r>
    </w:p>
    <w:p>
      <w:pPr>
        <w:pStyle w:val="164"/>
      </w:pPr>
      <w:r>
        <w:rPr>
          <w:rFonts w:hint="eastAsia"/>
        </w:rPr>
        <w:t>通过SCM系统，集成大数据、知识图谱和远程管理等技术开展供应链风险隐患识别、定位、预警和高效处置。</w:t>
      </w:r>
    </w:p>
    <w:p>
      <w:pPr>
        <w:pStyle w:val="105"/>
        <w:spacing w:before="156" w:after="156"/>
      </w:pPr>
      <w:bookmarkStart w:id="230" w:name="_Toc156557302"/>
      <w:bookmarkStart w:id="231" w:name="_Toc159179126"/>
      <w:bookmarkStart w:id="232" w:name="_Toc162146183"/>
      <w:bookmarkStart w:id="233" w:name="_Toc156557340"/>
      <w:bookmarkStart w:id="234" w:name="_Toc162146290"/>
      <w:bookmarkStart w:id="235" w:name="_Toc156245164"/>
      <w:bookmarkStart w:id="236" w:name="_Toc156416022"/>
      <w:bookmarkStart w:id="237" w:name="_Toc162146230"/>
      <w:r>
        <w:rPr>
          <w:rFonts w:hint="eastAsia"/>
        </w:rPr>
        <w:t>能源管理</w:t>
      </w:r>
      <w:bookmarkEnd w:id="230"/>
      <w:bookmarkEnd w:id="231"/>
      <w:bookmarkEnd w:id="232"/>
      <w:bookmarkEnd w:id="233"/>
      <w:bookmarkEnd w:id="234"/>
      <w:bookmarkEnd w:id="235"/>
      <w:bookmarkEnd w:id="236"/>
      <w:bookmarkEnd w:id="237"/>
    </w:p>
    <w:p>
      <w:pPr>
        <w:pStyle w:val="164"/>
      </w:pPr>
      <w:r>
        <w:rPr>
          <w:rFonts w:hint="eastAsia"/>
        </w:rPr>
        <w:t>重点能耗企业，宜建立能源管理系统，集成智能传感、大数据等技术，开展全环节、全要素能耗数据采集、计量和可视化监测。</w:t>
      </w:r>
    </w:p>
    <w:p>
      <w:pPr>
        <w:pStyle w:val="164"/>
      </w:pPr>
      <w:r>
        <w:rPr>
          <w:rFonts w:hint="eastAsia"/>
        </w:rPr>
        <w:t>依托能源管理系统，应用能效优化机理分析、大数据和深度学习等技术，基于设备运行参数或工艺参数优化，实现精准用能，提升能源利用率。</w:t>
      </w:r>
    </w:p>
    <w:p>
      <w:pPr>
        <w:pStyle w:val="164"/>
      </w:pPr>
      <w:r>
        <w:rPr>
          <w:rFonts w:hint="eastAsia"/>
        </w:rPr>
        <w:t>依托能源管理系统，融合机理分析、大数据等技术，进行能源消耗量预测，实现关键装备、关键环节能源的综合平衡与优化调度。</w:t>
      </w:r>
    </w:p>
    <w:p>
      <w:pPr>
        <w:pStyle w:val="164"/>
      </w:pPr>
      <w:r>
        <w:rPr>
          <w:rFonts w:hint="eastAsia"/>
        </w:rPr>
        <w:t>对主要耗能设备应具备能源消耗实时监测能力,包括但不限于煤、水、电、气、汽等能源或载能工质；鼓励有条件的企业增加油以及其他能源物料的实时监测。</w:t>
      </w:r>
    </w:p>
    <w:p>
      <w:pPr>
        <w:pStyle w:val="105"/>
        <w:spacing w:before="156" w:after="156"/>
      </w:pPr>
      <w:bookmarkStart w:id="238" w:name="_Toc162146291"/>
      <w:bookmarkStart w:id="239" w:name="_Toc156245165"/>
      <w:bookmarkStart w:id="240" w:name="_Toc156557303"/>
      <w:bookmarkStart w:id="241" w:name="_Toc156416023"/>
      <w:bookmarkStart w:id="242" w:name="_Toc159179127"/>
      <w:bookmarkStart w:id="243" w:name="_Toc162146184"/>
      <w:bookmarkStart w:id="244" w:name="_Toc156557341"/>
      <w:bookmarkStart w:id="245" w:name="_Toc162146231"/>
      <w:r>
        <w:rPr>
          <w:rFonts w:hint="eastAsia"/>
        </w:rPr>
        <w:t>设备管理</w:t>
      </w:r>
      <w:bookmarkEnd w:id="238"/>
      <w:bookmarkEnd w:id="239"/>
      <w:bookmarkEnd w:id="240"/>
      <w:bookmarkEnd w:id="241"/>
      <w:bookmarkEnd w:id="242"/>
      <w:bookmarkEnd w:id="243"/>
      <w:bookmarkEnd w:id="244"/>
      <w:bookmarkEnd w:id="245"/>
    </w:p>
    <w:p>
      <w:pPr>
        <w:pStyle w:val="164"/>
      </w:pPr>
      <w:r>
        <w:rPr>
          <w:rFonts w:hint="eastAsia"/>
        </w:rPr>
        <w:t>通过设备管理系统，实现动设备、静设备、特种设备数字化档案、日常运维、点巡检管理。</w:t>
      </w:r>
    </w:p>
    <w:p>
      <w:pPr>
        <w:pStyle w:val="164"/>
      </w:pPr>
      <w:r>
        <w:rPr>
          <w:rFonts w:hint="eastAsia"/>
        </w:rPr>
        <w:t>通过设备管理系统，融合智能传感、故障机理分析、机器学习、物联网等技术，实现设备关键运行参数实时采集、故障分析和远程诊断。</w:t>
      </w:r>
    </w:p>
    <w:p>
      <w:pPr>
        <w:pStyle w:val="164"/>
      </w:pPr>
      <w:r>
        <w:rPr>
          <w:rFonts w:hint="eastAsia"/>
        </w:rPr>
        <w:t>应用物联网、大数据和机器学习等技术，实现资产运行、检维修、改造报废的全生命周期管理。</w:t>
      </w:r>
    </w:p>
    <w:p>
      <w:pPr>
        <w:pStyle w:val="105"/>
        <w:spacing w:before="156" w:after="156"/>
      </w:pPr>
      <w:bookmarkStart w:id="246" w:name="_Toc156557342"/>
      <w:bookmarkStart w:id="247" w:name="_Toc156245166"/>
      <w:bookmarkStart w:id="248" w:name="_Toc156557304"/>
      <w:bookmarkStart w:id="249" w:name="_Toc159179128"/>
      <w:bookmarkStart w:id="250" w:name="_Toc162146185"/>
      <w:bookmarkStart w:id="251" w:name="_Toc162146232"/>
      <w:bookmarkStart w:id="252" w:name="_Toc156416024"/>
      <w:bookmarkStart w:id="253" w:name="_Toc162146292"/>
      <w:r>
        <w:rPr>
          <w:rFonts w:hint="eastAsia"/>
        </w:rPr>
        <w:t>安全生产</w:t>
      </w:r>
      <w:bookmarkEnd w:id="246"/>
      <w:bookmarkEnd w:id="247"/>
      <w:bookmarkEnd w:id="248"/>
      <w:bookmarkEnd w:id="249"/>
      <w:bookmarkEnd w:id="250"/>
      <w:bookmarkEnd w:id="251"/>
      <w:bookmarkEnd w:id="252"/>
      <w:bookmarkEnd w:id="253"/>
    </w:p>
    <w:p>
      <w:pPr>
        <w:pStyle w:val="65"/>
        <w:spacing w:before="156" w:after="156"/>
      </w:pPr>
      <w:bookmarkStart w:id="254" w:name="_Toc162146233"/>
      <w:r>
        <w:rPr>
          <w:rFonts w:hint="eastAsia"/>
        </w:rPr>
        <w:t>基础管理</w:t>
      </w:r>
      <w:bookmarkEnd w:id="254"/>
    </w:p>
    <w:p>
      <w:pPr>
        <w:pStyle w:val="94"/>
        <w:spacing w:before="156" w:after="156"/>
        <w:ind w:left="168" w:hanging="168"/>
      </w:pPr>
      <w:r>
        <w:rPr>
          <w:rFonts w:hint="eastAsia"/>
        </w:rPr>
        <w:t>安全生产许可相关证照和有关报告信息</w:t>
      </w:r>
    </w:p>
    <w:p>
      <w:pPr>
        <w:pStyle w:val="56"/>
        <w:ind w:firstLine="420"/>
      </w:pPr>
      <w:r>
        <w:rPr>
          <w:rFonts w:hint="eastAsia"/>
        </w:rPr>
        <w:t>实现危险化学品安全生产许可证、危险化学品登记证、安全生产标准化证书、安全评价报告、安全“三同时”等相关材料按统一格式录入信息和定期更新。支持相关证照到期自动提醒、安全材料关键信息缺失自动核验。</w:t>
      </w:r>
    </w:p>
    <w:p>
      <w:pPr>
        <w:pStyle w:val="94"/>
        <w:spacing w:before="156" w:after="156"/>
        <w:ind w:left="168" w:hanging="168"/>
      </w:pPr>
      <w:r>
        <w:rPr>
          <w:rFonts w:hint="eastAsia"/>
        </w:rPr>
        <w:t>生产过程基础信息</w:t>
      </w:r>
    </w:p>
    <w:p>
      <w:pPr>
        <w:pStyle w:val="56"/>
        <w:ind w:firstLine="420"/>
      </w:pPr>
      <w:r>
        <w:rPr>
          <w:rFonts w:hint="eastAsia"/>
        </w:rPr>
        <w:t>建立生产过程基础信息电子档案及线上管理流程，包括但不限于危险工艺名称、反应类型、涉及的危险化学品M</w:t>
      </w:r>
      <w:r>
        <w:t>SDS</w:t>
      </w:r>
      <w:r>
        <w:rPr>
          <w:rFonts w:hint="eastAsia"/>
        </w:rPr>
        <w:t>、重大危险源、重点监控单元、工艺简介、工艺危险特点、重点监控工艺参数指标、现有安全控制手段、开停车信息等。实现与危险化学品登记信息管理系统、化学品安全信息检索系统数据对接。</w:t>
      </w:r>
    </w:p>
    <w:p>
      <w:pPr>
        <w:pStyle w:val="94"/>
        <w:spacing w:before="156" w:after="156"/>
        <w:ind w:left="168" w:hanging="168"/>
      </w:pPr>
      <w:r>
        <w:rPr>
          <w:rFonts w:hint="eastAsia"/>
        </w:rPr>
        <w:t>设备设施基础信息</w:t>
      </w:r>
    </w:p>
    <w:p>
      <w:pPr>
        <w:pStyle w:val="56"/>
        <w:ind w:firstLine="420"/>
      </w:pPr>
      <w:r>
        <w:rPr>
          <w:rFonts w:hint="eastAsia"/>
        </w:rPr>
        <w:t>建立特种设备、仪器仪表和安全设施电子档案及线上管理流程，包括但不限于特种设备清单及定期检测记录、登记注册表、安全阀清单及定期校验记录、爆破片清单及更换记录、安全仪表定期校验记录及联锁清单等。实现安全阀临期校验、爆破片临期更换等提醒。</w:t>
      </w:r>
    </w:p>
    <w:p>
      <w:pPr>
        <w:pStyle w:val="94"/>
        <w:spacing w:before="156" w:after="156"/>
        <w:ind w:left="168" w:hanging="168"/>
      </w:pPr>
      <w:r>
        <w:rPr>
          <w:rFonts w:hint="eastAsia"/>
        </w:rPr>
        <w:t>企业人员基础信息</w:t>
      </w:r>
    </w:p>
    <w:p>
      <w:pPr>
        <w:pStyle w:val="56"/>
        <w:ind w:firstLine="420"/>
      </w:pPr>
      <w:r>
        <w:rPr>
          <w:rFonts w:hint="eastAsia"/>
        </w:rPr>
        <w:t>建立企业人员基础信息电子档案及线上管理流程，包括但不限于主要负责人、安全环保负责人、企业在册从业人员、专职安全人员、注册安全工程师、特种作业人员、值班值守人员等，实现相关人员从业证书、安全培训临期提示。实现从业人员学历、专职安全人员、注册安全工程师的合规性自诊断。</w:t>
      </w:r>
    </w:p>
    <w:p>
      <w:pPr>
        <w:pStyle w:val="94"/>
        <w:spacing w:before="156" w:after="156"/>
        <w:ind w:left="168" w:hanging="168"/>
      </w:pPr>
      <w:r>
        <w:rPr>
          <w:rFonts w:hint="eastAsia"/>
        </w:rPr>
        <w:t>第三方人员基础信息</w:t>
      </w:r>
    </w:p>
    <w:p>
      <w:pPr>
        <w:pStyle w:val="56"/>
        <w:ind w:firstLine="420"/>
      </w:pPr>
      <w:r>
        <w:rPr>
          <w:rFonts w:hint="eastAsia"/>
        </w:rPr>
        <w:t>建立企业第三方人员基础信息电子档案及线上管理流程，包括但不限于承包商、供应商、临时访客等第三方外来人员。具备作业人员证书、外来人员证书管理等功能。实现与特殊作业模块、人员定位模块功能联动。</w:t>
      </w:r>
    </w:p>
    <w:p>
      <w:pPr>
        <w:pStyle w:val="65"/>
        <w:spacing w:before="156" w:after="156"/>
      </w:pPr>
      <w:bookmarkStart w:id="255" w:name="_Toc162146234"/>
      <w:r>
        <w:rPr>
          <w:rFonts w:hint="eastAsia"/>
        </w:rPr>
        <w:t>重大危险源管理</w:t>
      </w:r>
      <w:bookmarkEnd w:id="255"/>
    </w:p>
    <w:p>
      <w:pPr>
        <w:pStyle w:val="94"/>
        <w:spacing w:before="156" w:after="156"/>
        <w:ind w:left="168" w:hanging="168"/>
      </w:pPr>
      <w:r>
        <w:rPr>
          <w:rFonts w:hint="eastAsia"/>
        </w:rPr>
        <w:t>重大危险源基础信息管理</w:t>
      </w:r>
    </w:p>
    <w:p>
      <w:pPr>
        <w:pStyle w:val="167"/>
      </w:pPr>
      <w:r>
        <w:rPr>
          <w:rFonts w:hint="eastAsia"/>
        </w:rPr>
        <w:t>实现重大危险源单元基本信息、储罐信息、仓库信息、工艺信息、物质信息、评估报告信息等信息化管理。</w:t>
      </w:r>
    </w:p>
    <w:p>
      <w:pPr>
        <w:pStyle w:val="167"/>
      </w:pPr>
      <w:r>
        <w:rPr>
          <w:rFonts w:hint="eastAsia"/>
        </w:rPr>
        <w:t>实现重大危险源单元边界绘制，装置、储罐、仓库、生产单元在电子地图上展示与信息查询。</w:t>
      </w:r>
    </w:p>
    <w:p>
      <w:pPr>
        <w:pStyle w:val="167"/>
      </w:pPr>
      <w:r>
        <w:rPr>
          <w:rFonts w:hint="eastAsia"/>
        </w:rPr>
        <w:t>实现重大危险源单元辨识与分级计算，重大危险源火灾、爆炸、泄漏事故评估与模拟，辅助应急决策。</w:t>
      </w:r>
    </w:p>
    <w:p>
      <w:pPr>
        <w:pStyle w:val="94"/>
        <w:spacing w:before="156" w:after="156"/>
        <w:ind w:left="168" w:hanging="168"/>
      </w:pPr>
      <w:r>
        <w:rPr>
          <w:rFonts w:hint="eastAsia"/>
        </w:rPr>
        <w:t>重大危险源安全包保责任制管理</w:t>
      </w:r>
    </w:p>
    <w:p>
      <w:pPr>
        <w:pStyle w:val="56"/>
        <w:ind w:firstLine="420"/>
      </w:pPr>
      <w:r>
        <w:rPr>
          <w:rFonts w:hint="eastAsia"/>
        </w:rPr>
        <w:t>实现重大危险源安全包保履职记录电子化、条目化，管理每一处重大危险源包保责任落实情况，实现重大危险源主要负责人、技术负责人和操作负责人信息维护，三级包保责任人安全包保履职情况记录检查，以及信息查询、多维度统计分析功能。</w:t>
      </w:r>
    </w:p>
    <w:p>
      <w:pPr>
        <w:pStyle w:val="94"/>
        <w:spacing w:before="156" w:after="156"/>
        <w:ind w:left="168" w:hanging="168"/>
      </w:pPr>
      <w:r>
        <w:rPr>
          <w:rFonts w:hint="eastAsia"/>
        </w:rPr>
        <w:t>重大风险管控</w:t>
      </w:r>
    </w:p>
    <w:p>
      <w:pPr>
        <w:pStyle w:val="167"/>
      </w:pPr>
      <w:r>
        <w:rPr>
          <w:rFonts w:hint="eastAsia"/>
        </w:rPr>
        <w:t>实现重大危险源安全风险的实时评估分析和展示，分为重大风险、较大风险、一般风险、低风险四个级别，分别用红、橙、黄、蓝四种颜色表示。</w:t>
      </w:r>
    </w:p>
    <w:p>
      <w:pPr>
        <w:pStyle w:val="167"/>
      </w:pPr>
      <w:r>
        <w:rPr>
          <w:rFonts w:hint="eastAsia"/>
        </w:rPr>
        <w:t>实现根据预警级别，自动完成预警信息的发送、核查、反馈和督办。</w:t>
      </w:r>
    </w:p>
    <w:p>
      <w:pPr>
        <w:pStyle w:val="65"/>
        <w:spacing w:before="156" w:after="156"/>
      </w:pPr>
      <w:bookmarkStart w:id="256" w:name="_Toc162146235"/>
      <w:r>
        <w:rPr>
          <w:rFonts w:hint="eastAsia"/>
        </w:rPr>
        <w:t>风险监测预警</w:t>
      </w:r>
      <w:bookmarkEnd w:id="256"/>
    </w:p>
    <w:p>
      <w:pPr>
        <w:pStyle w:val="167"/>
      </w:pPr>
      <w:r>
        <w:rPr>
          <w:rFonts w:hint="eastAsia"/>
        </w:rPr>
        <w:t>实时采集“两重点一重大”的视频监控数据和压力、温度、液位等工况报警数据。实现基于地图的重大危险源浏览，查看储罐、装置、危险化学品库等的液位、温度、压力和可燃有毒气体浓度的实时监测数据、报警数据，查询历史数据和对比分析。实现重大危险源物联网设备在线、离线情况实时分析和告警，实现设备离线记录追溯查询。</w:t>
      </w:r>
    </w:p>
    <w:p>
      <w:pPr>
        <w:pStyle w:val="167"/>
      </w:pPr>
      <w:r>
        <w:rPr>
          <w:rFonts w:hint="eastAsia"/>
        </w:rPr>
        <w:t>采集危险化学品装卸区、危险化学品仓库、罐区、装置区等重点区域有毒气体、可燃气体实时数据，支持配置有毒可燃、火灾报警阈值。</w:t>
      </w:r>
    </w:p>
    <w:p>
      <w:pPr>
        <w:pStyle w:val="167"/>
      </w:pPr>
      <w:r>
        <w:rPr>
          <w:rFonts w:hint="eastAsia"/>
        </w:rPr>
        <w:t>实现“两重点一重大”、重点区域、重点场所安全风险的实时评估分级和展示。支持根据预警级别，自动完成预警信息的发送、核查、反馈和督办，形成线上闭环处置。</w:t>
      </w:r>
    </w:p>
    <w:p>
      <w:pPr>
        <w:pStyle w:val="167"/>
      </w:pPr>
      <w:r>
        <w:rPr>
          <w:rFonts w:hint="eastAsia"/>
        </w:rPr>
        <w:t>实现对重点监管区域内明火、烟雾、超温等智能识别报警，实现仓库、中控室、重大危险源现场等重点部位的监控视频智能分析，实现火灾、烟雾、人员违章（含中控室脱岗、睡岗等）等全方位的识别和预警。</w:t>
      </w:r>
    </w:p>
    <w:p>
      <w:pPr>
        <w:pStyle w:val="65"/>
        <w:spacing w:before="156" w:after="156"/>
      </w:pPr>
      <w:bookmarkStart w:id="257" w:name="_Toc162146236"/>
      <w:r>
        <w:rPr>
          <w:rFonts w:hint="eastAsia"/>
        </w:rPr>
        <w:t>双重预防机制</w:t>
      </w:r>
      <w:bookmarkEnd w:id="257"/>
    </w:p>
    <w:p>
      <w:pPr>
        <w:pStyle w:val="56"/>
        <w:ind w:firstLine="420"/>
      </w:pPr>
      <w:r>
        <w:rPr>
          <w:rFonts w:hint="eastAsia"/>
        </w:rPr>
        <w:t>建设双重预防机制信息系统，对企业风险分析清单、排查任务及隐患治理情况进行管理，实现风险分级动态管控、隐患排查治理闭环管理、机制运行成效监督预警等功能，全面提升安全风险防控水平。</w:t>
      </w:r>
    </w:p>
    <w:p>
      <w:pPr>
        <w:pStyle w:val="65"/>
        <w:spacing w:before="156" w:after="156"/>
      </w:pPr>
      <w:bookmarkStart w:id="258" w:name="_Toc162146237"/>
      <w:r>
        <w:rPr>
          <w:rFonts w:hint="eastAsia"/>
        </w:rPr>
        <w:t>特殊作业管理</w:t>
      </w:r>
      <w:bookmarkEnd w:id="258"/>
    </w:p>
    <w:p>
      <w:pPr>
        <w:pStyle w:val="56"/>
        <w:ind w:firstLine="420"/>
      </w:pPr>
      <w:r>
        <w:rPr>
          <w:rFonts w:hint="eastAsia"/>
        </w:rPr>
        <w:t>建设特殊作业许可与作业过程管理系统，将特殊作业审批许可条件条目化、电子化、流程化，并通过信息化手段对作业全流程进行过程痕迹管理，从而实现特殊作业申请、预约、审查、安全条件确认、许可、监护、验收全流程信息化、规范化、程序化管理。</w:t>
      </w:r>
    </w:p>
    <w:p>
      <w:pPr>
        <w:pStyle w:val="65"/>
        <w:spacing w:before="156" w:after="156"/>
      </w:pPr>
      <w:bookmarkStart w:id="259" w:name="_Toc162146238"/>
      <w:r>
        <w:rPr>
          <w:rFonts w:hint="eastAsia"/>
        </w:rPr>
        <w:t>智能巡检</w:t>
      </w:r>
      <w:bookmarkEnd w:id="259"/>
    </w:p>
    <w:p>
      <w:pPr>
        <w:pStyle w:val="56"/>
        <w:ind w:firstLine="420"/>
      </w:pPr>
      <w:r>
        <w:rPr>
          <w:rFonts w:hint="eastAsia"/>
        </w:rPr>
        <w:t>建设智能巡检系统，实现巡检、巡查全过程数字化管理，管理人员根据PID工艺流程图、数字化交付资料、风险分析单元划分、隐患排查清单、岗位安全风险责任清单等，分角色制定巡检任务、规划巡检路线，匹配巡检清单及制度规范。巡检人员通过移动终端自动获取巡检任务要求。支持巡检人员按规定时间、规定位置、规定要求完成数据采集，并将设备设施运行状态、设备设施故障以及各类安全生产隐患等信息实时传输回管理后台，从而实现内外操作人员、管理人员、企业各个信息化系统间共享巡检数据。智能巡检系统建设应与双重预防机制系统、设备完整性管理系统等有机结合、互联互通。</w:t>
      </w:r>
    </w:p>
    <w:p>
      <w:pPr>
        <w:pStyle w:val="65"/>
        <w:spacing w:before="156" w:after="156"/>
      </w:pPr>
      <w:bookmarkStart w:id="260" w:name="_Toc162146239"/>
      <w:r>
        <w:rPr>
          <w:rFonts w:hint="eastAsia"/>
        </w:rPr>
        <w:t>人员定位</w:t>
      </w:r>
      <w:bookmarkEnd w:id="260"/>
    </w:p>
    <w:p>
      <w:pPr>
        <w:pStyle w:val="56"/>
        <w:ind w:firstLine="420"/>
      </w:pPr>
      <w:r>
        <w:rPr>
          <w:rFonts w:hint="eastAsia"/>
        </w:rPr>
        <w:t>通过布设多个定位基站与人员携带的信号标签进行通信的方式，结合人员定位算法，计算出信号标签位置进行人员定位。根据企业实际应用场景建设定位精度准确的人员定位系统，实现接受与发送报警信息、可视化展示、人员数量统计分析、人员活动轨迹分析、人员集聚风险预警、存储和查询等功能。实现与报警信息、智能巡检、特殊作业管理、应急疏散撤离、应急演练联动。</w:t>
      </w:r>
    </w:p>
    <w:p>
      <w:pPr>
        <w:pStyle w:val="65"/>
        <w:spacing w:before="156" w:after="156"/>
      </w:pPr>
      <w:bookmarkStart w:id="261" w:name="_Toc162146240"/>
      <w:r>
        <w:rPr>
          <w:rFonts w:hint="eastAsia"/>
        </w:rPr>
        <w:t>视频监控</w:t>
      </w:r>
      <w:bookmarkEnd w:id="261"/>
    </w:p>
    <w:p>
      <w:pPr>
        <w:pStyle w:val="164"/>
      </w:pPr>
      <w:r>
        <w:rPr>
          <w:rFonts w:hint="eastAsia"/>
        </w:rPr>
        <w:t>建设视频监控及智能分析系统，实现重大危险源、中控室等重点区域视频监控全覆盖，应实现中控室人员脱岗、硝酸铵仓库早期烟火等的自动识别与报警，提升企业安全管理效能。</w:t>
      </w:r>
    </w:p>
    <w:p>
      <w:pPr>
        <w:pStyle w:val="164"/>
      </w:pPr>
      <w:r>
        <w:rPr>
          <w:rFonts w:hint="eastAsia"/>
        </w:rPr>
        <w:t>鼓励有条件的企业升级完善视频智能分析系统，汇集固定视频、移动视频、无人机视频、红外成像等，及时发现人的不安全行为、物的不安全状态，如个人防护装备不正确佩戴、人员倒地、检修作业未放置灭火器等。</w:t>
      </w:r>
    </w:p>
    <w:p>
      <w:pPr>
        <w:pStyle w:val="65"/>
        <w:spacing w:before="156" w:after="156"/>
      </w:pPr>
      <w:bookmarkStart w:id="262" w:name="_Toc162146241"/>
      <w:r>
        <w:rPr>
          <w:rFonts w:hint="eastAsia"/>
        </w:rPr>
        <w:t>消防监测预警</w:t>
      </w:r>
      <w:bookmarkEnd w:id="262"/>
    </w:p>
    <w:p>
      <w:pPr>
        <w:pStyle w:val="167"/>
      </w:pPr>
      <w:r>
        <w:rPr>
          <w:rFonts w:hint="eastAsia"/>
        </w:rPr>
        <w:t>具备消防火灾监测预警能力，包括但不限于火灾报警信息监测（如：电气火灾、设备火灾、烟感报警、温感报警）、消防设备监测（如：喷淋系统监测、消防泵状态监测、消防水池水位监测、消防栓水压监测）等。</w:t>
      </w:r>
    </w:p>
    <w:p>
      <w:pPr>
        <w:pStyle w:val="167"/>
      </w:pPr>
      <w:r>
        <w:rPr>
          <w:rFonts w:hint="eastAsia"/>
        </w:rPr>
        <w:t>具备消防自动化监控与预警能力，包括但不限于对电力、温度、可燃气体浓度等现场状况进行监测，并实现对火灾隐患的实时预警。</w:t>
      </w:r>
    </w:p>
    <w:p>
      <w:pPr>
        <w:pStyle w:val="167"/>
      </w:pPr>
      <w:r>
        <w:rPr>
          <w:rFonts w:hint="eastAsia"/>
        </w:rPr>
        <w:t>具备消防设施设备的监测管理能力，对设备设施的使用期限、运转情况进行记录。包括但不限于对室内消防栓及喷淋系统、室外消防栓、消防水池等的实时信息反馈。</w:t>
      </w:r>
    </w:p>
    <w:p>
      <w:pPr>
        <w:pStyle w:val="65"/>
        <w:spacing w:before="156" w:after="156"/>
      </w:pPr>
      <w:bookmarkStart w:id="263" w:name="_Toc162146242"/>
      <w:r>
        <w:rPr>
          <w:rFonts w:hint="eastAsia"/>
        </w:rPr>
        <w:t>安全生产全要素管理</w:t>
      </w:r>
      <w:bookmarkEnd w:id="263"/>
    </w:p>
    <w:p>
      <w:pPr>
        <w:pStyle w:val="56"/>
        <w:ind w:firstLine="420"/>
      </w:pPr>
      <w:r>
        <w:rPr>
          <w:rFonts w:hint="eastAsia"/>
        </w:rPr>
        <w:t>建设</w:t>
      </w:r>
      <w:r>
        <w:t>过程安全管理要素，主要包括安全生产目标责任管理、安全制度管理、教育培训、现场管理、作业管理、安全风险分级管控及隐患排查治理、应急管理、事故管理、考核评审、持续改进等。</w:t>
      </w:r>
    </w:p>
    <w:p>
      <w:pPr>
        <w:pStyle w:val="65"/>
        <w:spacing w:before="156" w:after="156"/>
      </w:pPr>
      <w:bookmarkStart w:id="264" w:name="_Toc162146243"/>
      <w:r>
        <w:rPr>
          <w:rFonts w:hint="eastAsia"/>
        </w:rPr>
        <w:t>应急处置管理</w:t>
      </w:r>
      <w:bookmarkEnd w:id="264"/>
    </w:p>
    <w:p>
      <w:pPr>
        <w:pStyle w:val="167"/>
      </w:pPr>
      <w:r>
        <w:rPr>
          <w:rFonts w:hint="eastAsia"/>
        </w:rPr>
        <w:t>建立应急资源管理，将应急仓库、应急物资、应急设施、应急装备、应急队伍等纳入数字化管理。</w:t>
      </w:r>
    </w:p>
    <w:p>
      <w:pPr>
        <w:pStyle w:val="167"/>
      </w:pPr>
      <w:r>
        <w:rPr>
          <w:rFonts w:hint="eastAsia"/>
        </w:rPr>
        <w:t>建立应急预案管理，内容包括但不限于企业基本信息、企业倾斜摄影三维模型、企业应急组织架构、企业生产存储功能区域、企业工作人员分布、企业先期处置流程、企业内部消防设施等内容。</w:t>
      </w:r>
    </w:p>
    <w:p>
      <w:pPr>
        <w:pStyle w:val="167"/>
      </w:pPr>
      <w:r>
        <w:rPr>
          <w:rFonts w:hint="eastAsia"/>
        </w:rPr>
        <w:t>建立应急演练管理，实现演练计划编制和发布，应急演练过程记录。</w:t>
      </w:r>
    </w:p>
    <w:p>
      <w:pPr>
        <w:pStyle w:val="167"/>
      </w:pPr>
      <w:r>
        <w:rPr>
          <w:rFonts w:hint="eastAsia"/>
        </w:rPr>
        <w:t>建立应急值班管理，实现应急值班管理、日志记录、交接班管理、值班动态管理。</w:t>
      </w:r>
    </w:p>
    <w:p>
      <w:pPr>
        <w:pStyle w:val="167"/>
      </w:pPr>
      <w:r>
        <w:rPr>
          <w:rFonts w:hint="eastAsia"/>
        </w:rPr>
        <w:t>建立应急指挥调度，与应急管理和消防救援部门指挥系统互联互通，实现一键报警、照片和短视频上传、线上视频会商、关键信息点位或区域标记上报、重要联系人员上报、事故情况上报、在岗员工数量上报、事故相关图纸资料上传、事故位置内部行车路径标注、应急和消防救援人员位置信息共享等功能。</w:t>
      </w:r>
    </w:p>
    <w:p>
      <w:pPr>
        <w:pStyle w:val="65"/>
        <w:spacing w:before="156" w:after="156"/>
      </w:pPr>
      <w:bookmarkStart w:id="265" w:name="_Toc162146244"/>
      <w:r>
        <w:rPr>
          <w:rFonts w:hint="eastAsia"/>
        </w:rPr>
        <w:t>其他</w:t>
      </w:r>
      <w:bookmarkEnd w:id="265"/>
    </w:p>
    <w:p>
      <w:pPr>
        <w:pStyle w:val="56"/>
        <w:ind w:firstLine="420"/>
      </w:pPr>
      <w:r>
        <w:rPr>
          <w:rFonts w:hint="eastAsia"/>
        </w:rPr>
        <w:t>鼓励有条件的企业结合本企业实际需要及属地监管要求，扩展建设其他功能模块及功能内容，如全员生产责任体系运行管理及考核、数字交付及数字孪生、设备完整性管理与预测性维修、自动化过程控制优化、工艺生产报警优化、人员不安全行为管控、作业环境及异常状态监控、敏捷应急、知识图谱、危险化学品运输车辆管理、事故事件管理等，提升安全风险智能化管控水平。</w:t>
      </w:r>
    </w:p>
    <w:p>
      <w:pPr>
        <w:pStyle w:val="105"/>
        <w:spacing w:before="156" w:after="156"/>
      </w:pPr>
      <w:bookmarkStart w:id="266" w:name="_Toc156557305"/>
      <w:bookmarkStart w:id="267" w:name="_Toc162146293"/>
      <w:bookmarkStart w:id="268" w:name="_Toc156557343"/>
      <w:bookmarkStart w:id="269" w:name="_Toc156416025"/>
      <w:bookmarkStart w:id="270" w:name="_Toc159179129"/>
      <w:bookmarkStart w:id="271" w:name="_Toc156245167"/>
      <w:bookmarkStart w:id="272" w:name="_Toc162146186"/>
      <w:bookmarkStart w:id="273" w:name="_Toc162146245"/>
      <w:r>
        <w:rPr>
          <w:rFonts w:hint="eastAsia"/>
        </w:rPr>
        <w:t>环保管控</w:t>
      </w:r>
      <w:bookmarkEnd w:id="266"/>
      <w:bookmarkEnd w:id="267"/>
      <w:bookmarkEnd w:id="268"/>
      <w:bookmarkEnd w:id="269"/>
      <w:bookmarkEnd w:id="270"/>
      <w:bookmarkEnd w:id="271"/>
      <w:bookmarkEnd w:id="272"/>
      <w:bookmarkEnd w:id="273"/>
    </w:p>
    <w:p>
      <w:pPr>
        <w:pStyle w:val="65"/>
        <w:spacing w:before="156" w:after="156"/>
      </w:pPr>
      <w:bookmarkStart w:id="274" w:name="_Toc162146246"/>
      <w:r>
        <w:rPr>
          <w:rFonts w:hint="eastAsia"/>
        </w:rPr>
        <w:t>环保档案管理</w:t>
      </w:r>
      <w:bookmarkEnd w:id="274"/>
    </w:p>
    <w:p>
      <w:pPr>
        <w:pStyle w:val="94"/>
        <w:spacing w:before="156" w:after="156"/>
        <w:ind w:left="168" w:hanging="168"/>
      </w:pPr>
      <w:r>
        <w:rPr>
          <w:rFonts w:hint="eastAsia"/>
        </w:rPr>
        <w:t>企业环保基本信息</w:t>
      </w:r>
    </w:p>
    <w:p>
      <w:pPr>
        <w:pStyle w:val="167"/>
      </w:pPr>
      <w:r>
        <w:rPr>
          <w:rFonts w:hint="eastAsia"/>
        </w:rPr>
        <w:t>对企业的基本环保信息、环保相关文件信息、环境管理台账信息、处罚投诉信息、环境风险信息等信息进行管理，支持信息实时更新、查询、统计。</w:t>
      </w:r>
    </w:p>
    <w:p>
      <w:pPr>
        <w:pStyle w:val="167"/>
      </w:pPr>
      <w:r>
        <w:rPr>
          <w:rFonts w:hint="eastAsia"/>
        </w:rPr>
        <w:t>基本环保信息包括企业环保负责人及联系方式、污染源档案信息（废气、废水、固体废物）、危险废物/一般固废暂存库、污水处理/废气处理等环保设施、环保监测监控设备设施、环保应急设备、环保相关图件、相关排污口等。</w:t>
      </w:r>
    </w:p>
    <w:p>
      <w:pPr>
        <w:pStyle w:val="167"/>
      </w:pPr>
      <w:r>
        <w:rPr>
          <w:rFonts w:hint="eastAsia"/>
        </w:rPr>
        <w:t>环保相关文件信息包括项目的环评手续、竣工验收、排污许可、清洁生产、企业环保信息披露详情及报告等环保手续相关文件。</w:t>
      </w:r>
    </w:p>
    <w:p>
      <w:pPr>
        <w:pStyle w:val="167"/>
      </w:pPr>
      <w:r>
        <w:rPr>
          <w:rFonts w:hint="eastAsia"/>
        </w:rPr>
        <w:t>环境管理台账信息包括对污染治理设施运行台账、自行监测台账、原辅料使用台账等台账信息。</w:t>
      </w:r>
    </w:p>
    <w:p>
      <w:pPr>
        <w:pStyle w:val="167"/>
      </w:pPr>
      <w:r>
        <w:rPr>
          <w:rFonts w:hint="eastAsia"/>
        </w:rPr>
        <w:t>处罚投诉信息包括对环保行政处罚及居民投诉、环保隐患排查及处理处置等。</w:t>
      </w:r>
    </w:p>
    <w:p>
      <w:pPr>
        <w:pStyle w:val="167"/>
      </w:pPr>
      <w:r>
        <w:rPr>
          <w:rFonts w:hint="eastAsia"/>
        </w:rPr>
        <w:t>环境风险信息包括对企业的环境风险情况、突发环境事件应急预案与风险评估报告情况、企业环境风险等。</w:t>
      </w:r>
    </w:p>
    <w:p>
      <w:pPr>
        <w:pStyle w:val="94"/>
        <w:spacing w:before="156" w:after="156"/>
        <w:ind w:left="168" w:hanging="168"/>
      </w:pPr>
      <w:r>
        <w:rPr>
          <w:rFonts w:hint="eastAsia"/>
        </w:rPr>
        <w:t>特征污染物名录库</w:t>
      </w:r>
    </w:p>
    <w:p>
      <w:pPr>
        <w:pStyle w:val="167"/>
      </w:pPr>
      <w:r>
        <w:rPr>
          <w:rFonts w:hint="eastAsia"/>
        </w:rPr>
        <w:t>应建立健全废水、废气、土壤及地下水等特征污染物名录库，并进行动态更新和管理。</w:t>
      </w:r>
    </w:p>
    <w:p>
      <w:pPr>
        <w:pStyle w:val="167"/>
      </w:pPr>
      <w:r>
        <w:rPr>
          <w:rFonts w:hint="eastAsia"/>
        </w:rPr>
        <w:t>特征污染物名录库应按要素进行管理，特征污染物种类主要包括废水特征污染物名录库、废气特征污染物名录库、土壤及地下水特征污染物名录库。</w:t>
      </w:r>
    </w:p>
    <w:p>
      <w:pPr>
        <w:pStyle w:val="167"/>
      </w:pPr>
      <w:r>
        <w:rPr>
          <w:rFonts w:hint="eastAsia"/>
        </w:rPr>
        <w:t>筛选特征污染物包括但不限于排放量大、行业特征明显、高毒害性、难降解、异味显著、列入国家优先管控名录等的其中一种或几种（特征污染物）。应列示企业涉及的特征污染物种类、名称、筛选污染物主要特征、排放量、管控标准限值及标准名称编号、排放企业名称及排放浓度等。</w:t>
      </w:r>
    </w:p>
    <w:p>
      <w:pPr>
        <w:pStyle w:val="65"/>
        <w:spacing w:before="156" w:after="156"/>
      </w:pPr>
      <w:bookmarkStart w:id="275" w:name="_Toc162146247"/>
      <w:r>
        <w:rPr>
          <w:rFonts w:hint="eastAsia"/>
        </w:rPr>
        <w:t>污染源监督管理</w:t>
      </w:r>
      <w:bookmarkEnd w:id="275"/>
    </w:p>
    <w:p>
      <w:pPr>
        <w:pStyle w:val="94"/>
        <w:spacing w:before="156" w:after="156"/>
        <w:ind w:left="168" w:hanging="168"/>
      </w:pPr>
      <w:r>
        <w:rPr>
          <w:rFonts w:hint="eastAsia"/>
        </w:rPr>
        <w:t>污染源在线监测</w:t>
      </w:r>
    </w:p>
    <w:p>
      <w:pPr>
        <w:pStyle w:val="167"/>
      </w:pPr>
      <w:r>
        <w:rPr>
          <w:rFonts w:hint="eastAsia"/>
        </w:rPr>
        <w:t>应用机器视觉、智能传感和大数据等技术，实现污染源在线监测监控管理，包括但不限于企业废气排口、污水排口、雨水排口等的监测监控，实现全过程环保数据的采集、实时监测、分析预警和排放优化方案辅助决策。</w:t>
      </w:r>
    </w:p>
    <w:p>
      <w:pPr>
        <w:pStyle w:val="167"/>
      </w:pPr>
      <w:r>
        <w:rPr>
          <w:rFonts w:hint="eastAsia"/>
        </w:rPr>
        <w:t>涉水在线监测设备应具备自动标样核查及自动校准功能。污染源在线监测设备设施应满足国家和地方标准规范要求上传监测数据和动态监控相关状态参数。</w:t>
      </w:r>
    </w:p>
    <w:p>
      <w:pPr>
        <w:pStyle w:val="167"/>
      </w:pPr>
      <w:r>
        <w:rPr>
          <w:rFonts w:hint="eastAsia"/>
        </w:rPr>
        <w:t>根据企业安装的污染源在线监测设施情况,对监测因子、监测浓度、监测点位、流量、风量、噪声等数据进行统计汇总,列示应执行的标准名称、标准编号和管控限值,具备对既往监测数据进行趋势分析和超标预警预报等功能。超标预警预报或异常信息应实时推送至企业和园区生态环境管理部门,并通过警示颜色和警示声音进行显示。应能记录、展示和查询超标记录、故障记录、数据异常记录等。</w:t>
      </w:r>
    </w:p>
    <w:p>
      <w:pPr>
        <w:pStyle w:val="167"/>
      </w:pPr>
      <w:r>
        <w:rPr>
          <w:rFonts w:hint="eastAsia"/>
        </w:rPr>
        <w:t>雨水排放口监测管理可参照污染源监测管理要求。</w:t>
      </w:r>
    </w:p>
    <w:p>
      <w:pPr>
        <w:pStyle w:val="167"/>
      </w:pPr>
      <w:r>
        <w:rPr>
          <w:rFonts w:hint="eastAsia"/>
        </w:rPr>
        <w:t>实施刷卡排污的企业,污水排放总量数据应实时上传,并在园区平台中进行记录、统计、自动累计核算，具备超总量预警预报能力。</w:t>
      </w:r>
    </w:p>
    <w:p>
      <w:pPr>
        <w:pStyle w:val="94"/>
        <w:spacing w:before="156" w:after="156"/>
        <w:ind w:left="168" w:hanging="168"/>
      </w:pPr>
      <w:r>
        <w:rPr>
          <w:rFonts w:hint="eastAsia"/>
        </w:rPr>
        <w:t>污染源手动监测</w:t>
      </w:r>
    </w:p>
    <w:p>
      <w:pPr>
        <w:pStyle w:val="56"/>
        <w:ind w:firstLine="420"/>
      </w:pPr>
      <w:r>
        <w:rPr>
          <w:rFonts w:hint="eastAsia"/>
        </w:rPr>
        <w:t>应集成废气、废水、土壤、地下水及噪声等污染源手工监测数据，包括但不限于监测点位、监测时间、监测数据等,应能进行统计汇总,列示应执行的标准名称、标准编号和管控限值,具备趋势分析功能。</w:t>
      </w:r>
    </w:p>
    <w:p>
      <w:pPr>
        <w:pStyle w:val="94"/>
        <w:spacing w:before="156" w:after="156"/>
        <w:ind w:left="168" w:hanging="168"/>
      </w:pPr>
      <w:r>
        <w:rPr>
          <w:rFonts w:hint="eastAsia"/>
        </w:rPr>
        <w:t>泄漏检测与修复管理</w:t>
      </w:r>
    </w:p>
    <w:p>
      <w:pPr>
        <w:pStyle w:val="56"/>
        <w:ind w:firstLine="420"/>
      </w:pPr>
      <w:r>
        <w:rPr>
          <w:rFonts w:hint="eastAsia"/>
        </w:rPr>
        <w:t>企业按照监管要求开展泄漏检测与修复管理工作，对检测数据、维修数据、排放量计算数据、检测修复评估报告等信息进行管理。</w:t>
      </w:r>
    </w:p>
    <w:p>
      <w:pPr>
        <w:pStyle w:val="94"/>
        <w:spacing w:before="156" w:after="156"/>
        <w:ind w:left="168" w:hanging="168"/>
      </w:pPr>
      <w:r>
        <w:rPr>
          <w:rFonts w:hint="eastAsia"/>
        </w:rPr>
        <w:t>固体废物管理</w:t>
      </w:r>
    </w:p>
    <w:p>
      <w:pPr>
        <w:pStyle w:val="167"/>
      </w:pPr>
      <w:r>
        <w:rPr>
          <w:rFonts w:hint="eastAsia"/>
        </w:rPr>
        <w:t>宜搭建固体废物信息管理平台，融合数据标签、物联网、 5G 和机器视觉等技术，进行固废处置与循环再利用全过程监控、追溯。</w:t>
      </w:r>
    </w:p>
    <w:p>
      <w:pPr>
        <w:pStyle w:val="167"/>
      </w:pPr>
      <w:r>
        <w:rPr>
          <w:rFonts w:hint="eastAsia"/>
        </w:rPr>
        <w:t>鼓励企业对一般工业固体废物进行产生、收集、贮存、处理/处置、转移等环节进行管理，鼓励有条件的产废单位建设电子台账，实现对一般工业固体废物管理台帐的数字化、信息化管理。</w:t>
      </w:r>
    </w:p>
    <w:p>
      <w:pPr>
        <w:pStyle w:val="167"/>
      </w:pPr>
      <w:r>
        <w:rPr>
          <w:rFonts w:hint="eastAsia"/>
        </w:rPr>
        <w:t>企业对危险废物的容器和包装物以及收集、贮存、运输、利用、处置危险废物的设施、场所，应当按照规定设置危险废物识别标志；企业需按包装实时申报危险废物，并将含二维码的标签粘贴在包装容器上，实现危险废物全流程电子信息识别跟踪。</w:t>
      </w:r>
    </w:p>
    <w:p>
      <w:pPr>
        <w:pStyle w:val="167"/>
      </w:pPr>
      <w:r>
        <w:rPr>
          <w:rFonts w:hint="eastAsia"/>
        </w:rPr>
        <w:t>固体废物管理应列示企业产生的固体废物种类、贮存、月度/季度/年度处理处置或综合利用量、处理处置单位名称、相关资质或能力、处理处置资质证书名称及编号等。一般工业固体废物和危险废物贮存、利用、处理等情况应与排污许可证中记载信息一致，未实施排污许可管理的企业应与环境影响评价文件及变动影响分析证明材料一致。</w:t>
      </w:r>
    </w:p>
    <w:p>
      <w:pPr>
        <w:pStyle w:val="94"/>
        <w:spacing w:before="156" w:after="156"/>
        <w:ind w:left="168" w:hanging="168"/>
      </w:pPr>
      <w:r>
        <w:rPr>
          <w:rFonts w:hint="eastAsia"/>
        </w:rPr>
        <w:t>污染治理设施工况监控</w:t>
      </w:r>
    </w:p>
    <w:p>
      <w:pPr>
        <w:pStyle w:val="56"/>
        <w:ind w:firstLine="420"/>
      </w:pPr>
      <w:r>
        <w:rPr>
          <w:rFonts w:hint="eastAsia"/>
        </w:rPr>
        <w:t>对企业各类污染治理设施单独安装的水、电、蒸汽等计量装置，关键设备等进行在线工况监控，当污染治理设施工况监控数据超出了预先设定的报警阈值或设备运行状态出现偏离时，应发出预警信息，并推送至企业环保负责人进行处置，并同步推送园区生态环境管理部门。</w:t>
      </w:r>
    </w:p>
    <w:p>
      <w:pPr>
        <w:pStyle w:val="94"/>
        <w:spacing w:before="156" w:after="156"/>
        <w:ind w:left="168" w:hanging="168"/>
      </w:pPr>
      <w:r>
        <w:rPr>
          <w:rFonts w:hint="eastAsia"/>
        </w:rPr>
        <w:t>污染源视频监控</w:t>
      </w:r>
    </w:p>
    <w:p>
      <w:pPr>
        <w:pStyle w:val="56"/>
        <w:ind w:firstLine="420"/>
      </w:pPr>
      <w:r>
        <w:rPr>
          <w:rFonts w:hint="eastAsia"/>
        </w:rPr>
        <w:t>对污染源进行视频监控，包括但不限于：污染物排放口、自动监控站房、污染治理设施关键位置、雨水排放口、雨水排放口自动切换闸门等场所。其中危险废物年产生量1000t及以上的企业和危险废物利用处置单位的危险废物贮存设施出入口、设施内部、装卸区域、危险废物运输车辆通道等关键位置应布设视频监控设备。实现视频的实时查看与监测点的联动。</w:t>
      </w:r>
    </w:p>
    <w:p>
      <w:pPr>
        <w:pStyle w:val="56"/>
        <w:ind w:firstLine="420"/>
      </w:pPr>
      <w:r>
        <w:rPr>
          <w:rFonts w:hint="eastAsia"/>
        </w:rPr>
        <w:t>开展视频AI智能分析，视频监控系统应支持在图像采集范围内划定保护区域,对外来人员未经许可进入保护区域的行为以及运维人员未按规定开展运维工作的行为进行智能识别和预警，鼓励企业对危废贮存环节开展智能视频分析。</w:t>
      </w:r>
    </w:p>
    <w:p>
      <w:pPr>
        <w:pStyle w:val="94"/>
        <w:spacing w:before="156" w:after="156"/>
        <w:ind w:left="168" w:hanging="168"/>
      </w:pPr>
      <w:r>
        <w:rPr>
          <w:rFonts w:hint="eastAsia"/>
        </w:rPr>
        <w:t>重污染天气应急管理</w:t>
      </w:r>
    </w:p>
    <w:p>
      <w:pPr>
        <w:pStyle w:val="56"/>
        <w:ind w:firstLine="420"/>
      </w:pPr>
      <w:r>
        <w:rPr>
          <w:rFonts w:hint="eastAsia"/>
        </w:rPr>
        <w:t>应具备重污染天气应急响应过程的记录和统计功能，包括但不限于重污染天气应急管理通知、管控周期、落实应急管控采取的措施、未响应或未及时响应的处理结果等。</w:t>
      </w:r>
    </w:p>
    <w:p>
      <w:pPr>
        <w:pStyle w:val="94"/>
        <w:spacing w:before="156" w:after="156"/>
        <w:ind w:left="168" w:hanging="168"/>
      </w:pPr>
      <w:r>
        <w:rPr>
          <w:rFonts w:hint="eastAsia"/>
        </w:rPr>
        <w:t>突发环境事件应急管理</w:t>
      </w:r>
    </w:p>
    <w:p>
      <w:pPr>
        <w:pStyle w:val="56"/>
        <w:ind w:firstLine="420"/>
      </w:pPr>
      <w:r>
        <w:rPr>
          <w:rFonts w:hint="eastAsia"/>
        </w:rPr>
        <w:t>建立企业突发环境事件应急管理系统，涵盖企业的主要环境风险源及其监测监控、突发环境事件应急预案、突发环境事件风险等级、突发环境事件隐患排查治理情况、应急物资储备情况、应急设施建设情况、应急避难所数量和位置、应急队伍建设情况、应急救援指挥体系情况、应急演练情况、企业突发环境事件应急处置案例等。</w:t>
      </w:r>
    </w:p>
    <w:p>
      <w:pPr>
        <w:pStyle w:val="65"/>
        <w:spacing w:before="156" w:after="156"/>
      </w:pPr>
      <w:bookmarkStart w:id="276" w:name="_Toc162146248"/>
      <w:r>
        <w:rPr>
          <w:rFonts w:hint="eastAsia"/>
        </w:rPr>
        <w:t>碳排放管理</w:t>
      </w:r>
      <w:bookmarkEnd w:id="276"/>
    </w:p>
    <w:p>
      <w:pPr>
        <w:pStyle w:val="164"/>
      </w:pPr>
      <w:r>
        <w:rPr>
          <w:rFonts w:hint="eastAsia"/>
        </w:rPr>
        <w:t>开发碳资产管理平台，集成智能传感、大数据和区块链等技术，实现全流程碳排放追踪、分析、核算和交易，包括但不限于企业所属行业、核算周期、核算单元、核算结果等。</w:t>
      </w:r>
    </w:p>
    <w:p>
      <w:pPr>
        <w:pStyle w:val="164"/>
      </w:pPr>
      <w:r>
        <w:rPr>
          <w:rFonts w:hint="eastAsia"/>
        </w:rPr>
        <w:t>鼓励有条件的企业开展重点能耗设施碳排放在线监测监控，对碳排放强度、结构等进行集成分析，对碳减排计划及实施进行集成管控。</w:t>
      </w:r>
    </w:p>
    <w:p>
      <w:pPr>
        <w:pStyle w:val="104"/>
        <w:spacing w:before="312" w:after="312"/>
      </w:pPr>
      <w:bookmarkStart w:id="277" w:name="_Toc162146187"/>
      <w:bookmarkStart w:id="278" w:name="_Toc162146249"/>
      <w:bookmarkStart w:id="279" w:name="_Toc162146294"/>
      <w:r>
        <w:rPr>
          <w:rFonts w:hint="eastAsia"/>
        </w:rPr>
        <w:t>网络化联接</w:t>
      </w:r>
      <w:bookmarkEnd w:id="277"/>
      <w:bookmarkEnd w:id="278"/>
      <w:bookmarkEnd w:id="279"/>
    </w:p>
    <w:p>
      <w:pPr>
        <w:pStyle w:val="105"/>
        <w:spacing w:before="156" w:after="156"/>
      </w:pPr>
      <w:bookmarkStart w:id="280" w:name="_Toc156557307"/>
      <w:bookmarkStart w:id="281" w:name="_Toc156557345"/>
      <w:bookmarkStart w:id="282" w:name="_Toc27111"/>
      <w:bookmarkStart w:id="283" w:name="_Toc156245169"/>
      <w:bookmarkStart w:id="284" w:name="_Toc159179131"/>
      <w:bookmarkStart w:id="285" w:name="_Toc162146250"/>
      <w:bookmarkStart w:id="286" w:name="_Toc156416027"/>
      <w:bookmarkStart w:id="287" w:name="_Toc162146295"/>
      <w:bookmarkStart w:id="288" w:name="_Toc162146188"/>
      <w:r>
        <w:rPr>
          <w:rFonts w:hint="eastAsia"/>
        </w:rPr>
        <w:t>产业链</w:t>
      </w:r>
      <w:bookmarkEnd w:id="280"/>
      <w:bookmarkEnd w:id="281"/>
      <w:bookmarkEnd w:id="282"/>
      <w:bookmarkEnd w:id="283"/>
      <w:bookmarkEnd w:id="284"/>
      <w:bookmarkEnd w:id="285"/>
      <w:bookmarkEnd w:id="286"/>
      <w:bookmarkEnd w:id="287"/>
      <w:bookmarkEnd w:id="288"/>
    </w:p>
    <w:p>
      <w:pPr>
        <w:pStyle w:val="65"/>
        <w:spacing w:before="156" w:after="156"/>
      </w:pPr>
      <w:bookmarkStart w:id="289" w:name="_Toc162146251"/>
      <w:r>
        <w:rPr>
          <w:rFonts w:hint="eastAsia"/>
        </w:rPr>
        <w:t>客户</w:t>
      </w:r>
      <w:bookmarkEnd w:id="289"/>
    </w:p>
    <w:p>
      <w:pPr>
        <w:pStyle w:val="56"/>
        <w:ind w:firstLine="420"/>
      </w:pPr>
      <w:r>
        <w:rPr>
          <w:rFonts w:hint="eastAsia"/>
        </w:rPr>
        <w:t>宜将MES、ERP、WMS系统等数据共享给客户，实现对产能数据的实时跟进，利用大数据技术，将市场需求、客户需求、生产节奏有效协同，实现产品研发、生产计划、仓储配送环节的透明化。</w:t>
      </w:r>
    </w:p>
    <w:p>
      <w:pPr>
        <w:pStyle w:val="65"/>
        <w:spacing w:before="156" w:after="156"/>
      </w:pPr>
      <w:bookmarkStart w:id="290" w:name="_Toc162146252"/>
      <w:r>
        <w:rPr>
          <w:rFonts w:hint="eastAsia"/>
        </w:rPr>
        <w:t>供应链</w:t>
      </w:r>
      <w:bookmarkEnd w:id="290"/>
    </w:p>
    <w:p>
      <w:pPr>
        <w:pStyle w:val="164"/>
      </w:pPr>
      <w:r>
        <w:rPr>
          <w:rFonts w:hint="eastAsia"/>
        </w:rPr>
        <w:t>宜实现自动化的供应商评估和管理、采购管理等，提高采购效率和质量。</w:t>
      </w:r>
    </w:p>
    <w:p>
      <w:pPr>
        <w:pStyle w:val="164"/>
      </w:pPr>
      <w:r>
        <w:rPr>
          <w:rFonts w:hint="eastAsia"/>
        </w:rPr>
        <w:t>宜充分运用物联网技术实现物流数据的高效流动，对原材料物流运输进行精准管控。</w:t>
      </w:r>
    </w:p>
    <w:p>
      <w:pPr>
        <w:pStyle w:val="164"/>
      </w:pPr>
      <w:r>
        <w:rPr>
          <w:rFonts w:hint="eastAsia"/>
        </w:rPr>
        <w:t>宜打通供应商的MES系统、质量管理系统，具备原材料数据实时共享的能力。</w:t>
      </w:r>
    </w:p>
    <w:p>
      <w:pPr>
        <w:pStyle w:val="105"/>
        <w:spacing w:before="156" w:after="156"/>
      </w:pPr>
      <w:bookmarkStart w:id="291" w:name="_Toc18654"/>
      <w:bookmarkStart w:id="292" w:name="_Toc162146253"/>
      <w:bookmarkStart w:id="293" w:name="_Toc156557346"/>
      <w:bookmarkStart w:id="294" w:name="_Toc156557308"/>
      <w:bookmarkStart w:id="295" w:name="_Toc156245170"/>
      <w:bookmarkStart w:id="296" w:name="_Toc156416028"/>
      <w:bookmarkStart w:id="297" w:name="_Toc162146189"/>
      <w:bookmarkStart w:id="298" w:name="_Toc159179132"/>
      <w:bookmarkStart w:id="299" w:name="_Toc162146296"/>
      <w:r>
        <w:rPr>
          <w:rFonts w:hint="eastAsia"/>
        </w:rPr>
        <w:t>园区</w:t>
      </w:r>
      <w:bookmarkEnd w:id="291"/>
      <w:r>
        <w:rPr>
          <w:rFonts w:hint="eastAsia"/>
        </w:rPr>
        <w:t>或相关部门</w:t>
      </w:r>
      <w:bookmarkEnd w:id="292"/>
      <w:bookmarkEnd w:id="293"/>
      <w:bookmarkEnd w:id="294"/>
      <w:bookmarkEnd w:id="295"/>
      <w:bookmarkEnd w:id="296"/>
      <w:bookmarkEnd w:id="297"/>
      <w:bookmarkEnd w:id="298"/>
      <w:bookmarkEnd w:id="299"/>
    </w:p>
    <w:p>
      <w:pPr>
        <w:pStyle w:val="65"/>
        <w:spacing w:before="156" w:after="156"/>
      </w:pPr>
      <w:bookmarkStart w:id="300" w:name="_Toc162146254"/>
      <w:r>
        <w:t>能源管理</w:t>
      </w:r>
      <w:bookmarkEnd w:id="300"/>
    </w:p>
    <w:p>
      <w:pPr>
        <w:pStyle w:val="56"/>
        <w:ind w:firstLine="420"/>
      </w:pPr>
      <w:r>
        <w:rPr>
          <w:rFonts w:hint="eastAsia"/>
        </w:rPr>
        <w:t>能耗数据实时上传园区或省、市、区（县）政府各相关部门平台，</w:t>
      </w:r>
      <w:r>
        <w:t>共享能源消耗数据</w:t>
      </w:r>
      <w:r>
        <w:rPr>
          <w:rFonts w:hint="eastAsia"/>
        </w:rPr>
        <w:t>。</w:t>
      </w:r>
    </w:p>
    <w:p>
      <w:pPr>
        <w:pStyle w:val="65"/>
        <w:spacing w:before="156" w:after="156"/>
      </w:pPr>
      <w:bookmarkStart w:id="301" w:name="_Toc162146255"/>
      <w:r>
        <w:rPr>
          <w:rFonts w:hint="eastAsia"/>
        </w:rPr>
        <w:t>环保</w:t>
      </w:r>
      <w:r>
        <w:t>监测</w:t>
      </w:r>
      <w:bookmarkEnd w:id="301"/>
    </w:p>
    <w:p>
      <w:pPr>
        <w:pStyle w:val="164"/>
      </w:pPr>
      <w:r>
        <w:rPr>
          <w:rFonts w:hint="eastAsia"/>
        </w:rPr>
        <w:t>宜</w:t>
      </w:r>
      <w:r>
        <w:t>对相关要素特征污染物名录库进行动态更新和管理，数据同步上传园区或</w:t>
      </w:r>
      <w:r>
        <w:rPr>
          <w:rFonts w:hint="eastAsia"/>
        </w:rPr>
        <w:t>省、市政府各相关部门</w:t>
      </w:r>
      <w:r>
        <w:t>平台。</w:t>
      </w:r>
    </w:p>
    <w:p>
      <w:pPr>
        <w:pStyle w:val="164"/>
      </w:pPr>
      <w:r>
        <w:rPr>
          <w:rFonts w:hint="eastAsia"/>
        </w:rPr>
        <w:t>对于污染源监测、固废处理与管理、污染治理工况监控等数据建议实时上传到园区或省、市、区（县）政府各相关部门平台。</w:t>
      </w:r>
    </w:p>
    <w:p>
      <w:pPr>
        <w:pStyle w:val="65"/>
        <w:spacing w:before="156" w:after="156"/>
      </w:pPr>
      <w:bookmarkStart w:id="302" w:name="_Toc162146256"/>
      <w:r>
        <w:rPr>
          <w:rFonts w:hint="eastAsia"/>
        </w:rPr>
        <w:t>安全生产</w:t>
      </w:r>
      <w:bookmarkEnd w:id="302"/>
    </w:p>
    <w:p>
      <w:pPr>
        <w:pStyle w:val="56"/>
        <w:ind w:firstLine="420"/>
      </w:pPr>
      <w:r>
        <w:rPr>
          <w:rFonts w:hint="eastAsia"/>
        </w:rPr>
        <w:t>将企业重大危险源在线监测监控、重大危险源安全管理过程中的包保责任数据、人员基础信息及人员定位、事故隐患、安全风险监测预警数据、报警信息、智能巡检、特殊作业管理、应急预案及演练、消防监测预警、视频监控等数据，汇聚到园区及省、市、区（县）政府相关部门平台。</w:t>
      </w:r>
    </w:p>
    <w:p>
      <w:pPr>
        <w:pStyle w:val="65"/>
        <w:spacing w:before="156" w:after="156"/>
      </w:pPr>
      <w:bookmarkStart w:id="303" w:name="_Toc162146257"/>
      <w:r>
        <w:rPr>
          <w:rFonts w:hint="eastAsia"/>
        </w:rPr>
        <w:t>企业运行状态</w:t>
      </w:r>
      <w:bookmarkEnd w:id="303"/>
    </w:p>
    <w:p>
      <w:pPr>
        <w:pStyle w:val="56"/>
        <w:ind w:firstLine="420"/>
      </w:pPr>
      <w:r>
        <w:rPr>
          <w:rFonts w:hint="eastAsia"/>
        </w:rPr>
        <w:t>企业应具备定期向园区或者省、市政府各相关部门上传企业生产、企业营收、经营成本、企业投融资等相关信息的能力。</w:t>
      </w:r>
    </w:p>
    <w:p>
      <w:pPr>
        <w:pStyle w:val="105"/>
        <w:spacing w:before="156" w:after="156"/>
      </w:pPr>
      <w:bookmarkStart w:id="304" w:name="_Toc156557347"/>
      <w:bookmarkStart w:id="305" w:name="_Toc162146297"/>
      <w:bookmarkStart w:id="306" w:name="_Toc159179133"/>
      <w:bookmarkStart w:id="307" w:name="_Toc162146258"/>
      <w:bookmarkStart w:id="308" w:name="_Toc162146190"/>
      <w:bookmarkStart w:id="309" w:name="_Toc156557309"/>
      <w:r>
        <w:rPr>
          <w:rFonts w:hint="eastAsia"/>
        </w:rPr>
        <w:t>第三方服务机构</w:t>
      </w:r>
      <w:bookmarkEnd w:id="304"/>
      <w:bookmarkEnd w:id="305"/>
      <w:bookmarkEnd w:id="306"/>
      <w:bookmarkEnd w:id="307"/>
      <w:bookmarkEnd w:id="308"/>
      <w:bookmarkEnd w:id="309"/>
    </w:p>
    <w:p>
      <w:pPr>
        <w:pStyle w:val="165"/>
      </w:pPr>
      <w:r>
        <w:rPr>
          <w:rFonts w:hint="eastAsia"/>
        </w:rPr>
        <w:t>宜与设计院、研究所和高校建立科研成果共享交易平台，结合市场需求和客户需求，推进科研成果的产业化落地。</w:t>
      </w:r>
    </w:p>
    <w:p>
      <w:pPr>
        <w:pStyle w:val="165"/>
      </w:pPr>
      <w:r>
        <w:t>借助设计院、研究所和高校的专业知识和技术，</w:t>
      </w:r>
      <w:r>
        <w:rPr>
          <w:rFonts w:hint="eastAsia"/>
        </w:rPr>
        <w:t>建立实时获取</w:t>
      </w:r>
      <w:r>
        <w:t>技术咨询和支持</w:t>
      </w:r>
      <w:r>
        <w:rPr>
          <w:rFonts w:hint="eastAsia"/>
        </w:rPr>
        <w:t>的通道</w:t>
      </w:r>
      <w:r>
        <w:t>。</w:t>
      </w:r>
    </w:p>
    <w:p>
      <w:pPr>
        <w:pStyle w:val="165"/>
      </w:pPr>
      <w:r>
        <w:t>与</w:t>
      </w:r>
      <w:r>
        <w:rPr>
          <w:rFonts w:hint="eastAsia"/>
        </w:rPr>
        <w:t>设计院、研究所和</w:t>
      </w:r>
      <w:r>
        <w:t>高校合作，</w:t>
      </w:r>
      <w:r>
        <w:rPr>
          <w:rFonts w:hint="eastAsia"/>
        </w:rPr>
        <w:t>建立人才培养平台，共同完善人才培养体系</w:t>
      </w:r>
      <w:r>
        <w:t>，为企业输送具备数字化技能的专业人才。</w:t>
      </w:r>
    </w:p>
    <w:p>
      <w:pPr>
        <w:pStyle w:val="165"/>
      </w:pPr>
      <w:r>
        <w:rPr>
          <w:rFonts w:hint="eastAsia"/>
        </w:rPr>
        <w:t>宜与化工领域的数字化服务商紧密合作，融合先进行业知识、转型经验、先进技术，共同推动化工行业的智能化改造数字化转型网络化联接。</w:t>
      </w:r>
    </w:p>
    <w:p>
      <w:pPr>
        <w:pStyle w:val="105"/>
        <w:spacing w:before="156" w:after="156"/>
      </w:pPr>
      <w:bookmarkStart w:id="310" w:name="_Toc162146298"/>
      <w:bookmarkStart w:id="311" w:name="_Toc159179134"/>
      <w:bookmarkStart w:id="312" w:name="_Toc156416031"/>
      <w:bookmarkStart w:id="313" w:name="_Toc156557310"/>
      <w:bookmarkStart w:id="314" w:name="_Toc156557348"/>
      <w:bookmarkStart w:id="315" w:name="_Toc156245173"/>
      <w:bookmarkStart w:id="316" w:name="_Toc31299"/>
      <w:bookmarkStart w:id="317" w:name="_Toc162146191"/>
      <w:bookmarkStart w:id="318" w:name="_Toc162146259"/>
      <w:r>
        <w:rPr>
          <w:rFonts w:hint="eastAsia"/>
        </w:rPr>
        <w:t>安全保障</w:t>
      </w:r>
      <w:bookmarkEnd w:id="310"/>
      <w:bookmarkEnd w:id="311"/>
      <w:bookmarkEnd w:id="312"/>
      <w:bookmarkEnd w:id="313"/>
      <w:bookmarkEnd w:id="314"/>
      <w:bookmarkEnd w:id="315"/>
      <w:bookmarkEnd w:id="316"/>
      <w:bookmarkEnd w:id="317"/>
      <w:bookmarkEnd w:id="318"/>
    </w:p>
    <w:p>
      <w:pPr>
        <w:pStyle w:val="56"/>
        <w:ind w:firstLine="420"/>
        <w:rPr>
          <w:color w:val="C00000"/>
        </w:rPr>
      </w:pPr>
      <w:r>
        <w:rPr>
          <w:rFonts w:hint="eastAsia"/>
        </w:rPr>
        <w:t>在实现网络化联接时</w:t>
      </w:r>
      <w:r>
        <w:t>需要采取</w:t>
      </w:r>
      <w:r>
        <w:rPr>
          <w:rFonts w:hint="eastAsia"/>
        </w:rPr>
        <w:t>访问控制、数据加密、区块链等技术</w:t>
      </w:r>
      <w:r>
        <w:t>保障措施，确保数据的隐私性、完整性和可用性。</w:t>
      </w:r>
    </w:p>
    <w:p>
      <w:pPr>
        <w:pStyle w:val="104"/>
        <w:spacing w:before="312" w:after="312"/>
      </w:pPr>
      <w:bookmarkStart w:id="319" w:name="_Toc162146192"/>
      <w:bookmarkStart w:id="320" w:name="_Toc162146260"/>
      <w:bookmarkStart w:id="321" w:name="_Toc162146299"/>
      <w:r>
        <w:rPr>
          <w:rFonts w:hint="eastAsia"/>
        </w:rPr>
        <w:t>系统安全</w:t>
      </w:r>
      <w:bookmarkEnd w:id="319"/>
      <w:bookmarkEnd w:id="320"/>
      <w:bookmarkEnd w:id="321"/>
    </w:p>
    <w:p>
      <w:pPr>
        <w:pStyle w:val="162"/>
      </w:pPr>
      <w:r>
        <w:rPr>
          <w:rFonts w:hint="eastAsia"/>
        </w:rPr>
        <w:t>应建立工业信息安全管理制度和技术防护体系，具备网络防护、终端防护、漏洞扫描、应急响应、容灾备份等信息安全保障能力，信息安全等级保护应符合GB</w:t>
      </w:r>
      <w:r>
        <w:t>/T 22239</w:t>
      </w:r>
      <w:r>
        <w:rPr>
          <w:rFonts w:hint="eastAsia"/>
        </w:rPr>
        <w:t>的要求。</w:t>
      </w:r>
    </w:p>
    <w:p>
      <w:pPr>
        <w:pStyle w:val="162"/>
      </w:pPr>
      <w:r>
        <w:rPr>
          <w:rFonts w:hint="eastAsia"/>
        </w:rPr>
        <w:t>应建立功能安全保护系统，采用网络端、终端安全联动体系，全生命周期保障系统安全性。</w:t>
      </w:r>
    </w:p>
    <w:p>
      <w:pPr>
        <w:pStyle w:val="162"/>
      </w:pPr>
      <w:r>
        <w:rPr>
          <w:rFonts w:hint="eastAsia"/>
        </w:rPr>
        <w:t>控制系统数据接入信息化系统，必须加装经公安部认证的单向隔离网闸，确保企业生产过程控制系统的安全。</w:t>
      </w:r>
    </w:p>
    <w:p>
      <w:pPr>
        <w:pStyle w:val="162"/>
      </w:pPr>
      <w:r>
        <w:rPr>
          <w:rFonts w:hint="eastAsia"/>
        </w:rPr>
        <w:t>应具备基础边界安全防护、访问控制、入侵防御、上网行为管控、运维管理审计、日志审计、数据库增删改查操作审计等能力。</w:t>
      </w:r>
    </w:p>
    <w:p>
      <w:pPr>
        <w:pStyle w:val="56"/>
        <w:ind w:firstLine="420"/>
      </w:pPr>
    </w:p>
    <w:bookmarkEnd w:id="26"/>
    <w:p>
      <w:pPr>
        <w:pStyle w:val="56"/>
        <w:ind w:firstLine="420"/>
        <w:sectPr>
          <w:pgSz w:w="11906" w:h="16838"/>
          <w:pgMar w:top="1928" w:right="1134" w:bottom="1134" w:left="1134" w:header="1418" w:footer="1134" w:gutter="284"/>
          <w:pgNumType w:start="1"/>
          <w:cols w:space="425" w:num="1"/>
          <w:formProt w:val="0"/>
          <w:docGrid w:type="lines" w:linePitch="312" w:charSpace="0"/>
        </w:sectPr>
      </w:pPr>
      <w:bookmarkStart w:id="322" w:name="BookMark6"/>
    </w:p>
    <w:p>
      <w:pPr>
        <w:pStyle w:val="63"/>
        <w:spacing w:after="156"/>
      </w:pPr>
      <w:bookmarkStart w:id="323" w:name="_Toc162146261"/>
      <w:bookmarkStart w:id="324" w:name="_Toc162146300"/>
      <w:bookmarkStart w:id="325" w:name="_Toc162146193"/>
      <w:r>
        <w:rPr>
          <w:rFonts w:hint="eastAsia"/>
          <w:spacing w:val="105"/>
        </w:rPr>
        <w:t>参考文</w:t>
      </w:r>
      <w:r>
        <w:rPr>
          <w:rFonts w:hint="eastAsia"/>
        </w:rPr>
        <w:t>献</w:t>
      </w:r>
      <w:bookmarkEnd w:id="323"/>
      <w:bookmarkEnd w:id="324"/>
      <w:bookmarkEnd w:id="325"/>
    </w:p>
    <w:p>
      <w:pPr>
        <w:pStyle w:val="56"/>
        <w:ind w:firstLine="420"/>
      </w:pPr>
      <w:r>
        <w:rPr>
          <w:rFonts w:hint="eastAsia"/>
        </w:rPr>
        <w:t>[1]危险化学品企业安全风险智能化管控平台建设指南（试行）（应急厅（2022）5号）</w:t>
      </w:r>
    </w:p>
    <w:p>
      <w:pPr>
        <w:pStyle w:val="56"/>
        <w:ind w:firstLine="420"/>
      </w:pPr>
      <w:r>
        <w:rPr>
          <w:rFonts w:hint="eastAsia"/>
        </w:rPr>
        <w:t>[2]智能制造典型场景指引（2021年度智能制造试点示范行动）</w:t>
      </w:r>
    </w:p>
    <w:p>
      <w:pPr>
        <w:pStyle w:val="56"/>
        <w:ind w:firstLine="420"/>
      </w:pPr>
    </w:p>
    <w:p>
      <w:pPr>
        <w:pStyle w:val="56"/>
        <w:ind w:firstLine="420"/>
      </w:pPr>
    </w:p>
    <w:p>
      <w:pPr>
        <w:pStyle w:val="56"/>
        <w:ind w:firstLine="420"/>
      </w:pPr>
    </w:p>
    <w:bookmarkEnd w:id="322"/>
    <w:p>
      <w:pPr>
        <w:pStyle w:val="56"/>
        <w:ind w:firstLine="0" w:firstLineChars="0"/>
        <w:jc w:val="center"/>
      </w:pPr>
      <w:bookmarkStart w:id="326" w:name="BookMark8"/>
      <w:r>
        <w:rPr>
          <w:rFonts w:hint="eastAsia"/>
        </w:rPr>
        <w:drawing>
          <wp:inline distT="0" distB="0" distL="0" distR="0">
            <wp:extent cx="1485900" cy="317500"/>
            <wp:effectExtent l="0" t="0" r="0" b="6350"/>
            <wp:docPr id="943847605" name="图片 2"/>
            <wp:cNvGraphicFramePr/>
            <a:graphic xmlns:a="http://schemas.openxmlformats.org/drawingml/2006/main">
              <a:graphicData uri="http://schemas.openxmlformats.org/drawingml/2006/picture">
                <pic:pic xmlns:pic="http://schemas.openxmlformats.org/drawingml/2006/picture">
                  <pic:nvPicPr>
                    <pic:cNvPr id="943847605"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2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TjbLDXFz5hBC6+J9PhqD9ssa6jtjYuHKcGF1m26PzPww8IebtlEBFLRaaEZqN7YFbVENrDZmNmblRkKriMG3kw==" w:salt="Z3ZF81QRsXH1FokekRVnq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4ODc2N2NkYTZiY2JjNzg2YTQxNTNmMzQ3NGQ3ODAifQ=="/>
  </w:docVars>
  <w:rsids>
    <w:rsidRoot w:val="00AA564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F25"/>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5B81"/>
    <w:rsid w:val="000C6362"/>
    <w:rsid w:val="000C7666"/>
    <w:rsid w:val="000D0A9C"/>
    <w:rsid w:val="000D132C"/>
    <w:rsid w:val="000D1795"/>
    <w:rsid w:val="000D329A"/>
    <w:rsid w:val="000D4B9C"/>
    <w:rsid w:val="000D4EB6"/>
    <w:rsid w:val="000D753B"/>
    <w:rsid w:val="000E20CB"/>
    <w:rsid w:val="000E4C9E"/>
    <w:rsid w:val="000E6FD7"/>
    <w:rsid w:val="000F06E1"/>
    <w:rsid w:val="000F0E3C"/>
    <w:rsid w:val="000F19D5"/>
    <w:rsid w:val="000F4AEA"/>
    <w:rsid w:val="000F633F"/>
    <w:rsid w:val="000F67E9"/>
    <w:rsid w:val="00104926"/>
    <w:rsid w:val="00113B1E"/>
    <w:rsid w:val="00116B17"/>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AFB"/>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67C"/>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665"/>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6641"/>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C1D"/>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8AB"/>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ABC"/>
    <w:rsid w:val="00505767"/>
    <w:rsid w:val="005073F0"/>
    <w:rsid w:val="00510A7B"/>
    <w:rsid w:val="00512F6E"/>
    <w:rsid w:val="00513038"/>
    <w:rsid w:val="00514174"/>
    <w:rsid w:val="00516088"/>
    <w:rsid w:val="00516B0B"/>
    <w:rsid w:val="005201FF"/>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0D6"/>
    <w:rsid w:val="00561475"/>
    <w:rsid w:val="0056487B"/>
    <w:rsid w:val="00564FB9"/>
    <w:rsid w:val="005719F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D3C"/>
    <w:rsid w:val="005A7FCE"/>
    <w:rsid w:val="005B0F3F"/>
    <w:rsid w:val="005B4903"/>
    <w:rsid w:val="005B51CE"/>
    <w:rsid w:val="005B5885"/>
    <w:rsid w:val="005B5CD7"/>
    <w:rsid w:val="005B6CF6"/>
    <w:rsid w:val="005B7422"/>
    <w:rsid w:val="005C166E"/>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5CD3"/>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01D0"/>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0EC"/>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52B"/>
    <w:rsid w:val="007C0F85"/>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01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0C3"/>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CFA"/>
    <w:rsid w:val="008A1893"/>
    <w:rsid w:val="008A2516"/>
    <w:rsid w:val="008A3215"/>
    <w:rsid w:val="008A57E6"/>
    <w:rsid w:val="008A6F81"/>
    <w:rsid w:val="008A769A"/>
    <w:rsid w:val="008B0C9C"/>
    <w:rsid w:val="008B166D"/>
    <w:rsid w:val="008B17F4"/>
    <w:rsid w:val="008B3615"/>
    <w:rsid w:val="008B402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6DC"/>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11E"/>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721"/>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3B1"/>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644"/>
    <w:rsid w:val="00AA57F5"/>
    <w:rsid w:val="00AA672E"/>
    <w:rsid w:val="00AA6EC9"/>
    <w:rsid w:val="00AB41D5"/>
    <w:rsid w:val="00AB6309"/>
    <w:rsid w:val="00AB6C5F"/>
    <w:rsid w:val="00AB7129"/>
    <w:rsid w:val="00AC2777"/>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9A2"/>
    <w:rsid w:val="00AE5EB4"/>
    <w:rsid w:val="00AF0C18"/>
    <w:rsid w:val="00AF47C5"/>
    <w:rsid w:val="00AF4F2F"/>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A61"/>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1941"/>
    <w:rsid w:val="00D4514F"/>
    <w:rsid w:val="00D451E2"/>
    <w:rsid w:val="00D45E89"/>
    <w:rsid w:val="00D45E8D"/>
    <w:rsid w:val="00D466AE"/>
    <w:rsid w:val="00D4734F"/>
    <w:rsid w:val="00D51BF3"/>
    <w:rsid w:val="00D54D09"/>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C96"/>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2EF6"/>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BEE"/>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5C04AD1"/>
    <w:rsid w:val="5E625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4"/>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5"/>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4 字符"/>
    <w:link w:val="5"/>
    <w:autoRedefine/>
    <w:qFormat/>
    <w:uiPriority w:val="0"/>
    <w:rPr>
      <w:rFonts w:ascii="Arial" w:hAnsi="Arial" w:eastAsia="黑体"/>
      <w:b/>
      <w:bCs/>
      <w:kern w:val="2"/>
      <w:sz w:val="28"/>
      <w:szCs w:val="28"/>
    </w:rPr>
  </w:style>
  <w:style w:type="character" w:customStyle="1" w:styleId="35">
    <w:name w:val="标题 5 字符"/>
    <w:link w:val="6"/>
    <w:autoRedefine/>
    <w:qFormat/>
    <w:uiPriority w:val="0"/>
    <w:rPr>
      <w:b/>
      <w:bCs/>
      <w:kern w:val="2"/>
      <w:sz w:val="28"/>
      <w:szCs w:val="28"/>
    </w:rPr>
  </w:style>
  <w:style w:type="character" w:customStyle="1" w:styleId="36">
    <w:name w:val="标题 1 字符"/>
    <w:link w:val="2"/>
    <w:autoRedefine/>
    <w:qFormat/>
    <w:uiPriority w:val="0"/>
    <w:rPr>
      <w:b/>
      <w:bCs/>
      <w:kern w:val="44"/>
      <w:sz w:val="44"/>
      <w:szCs w:val="44"/>
    </w:rPr>
  </w:style>
  <w:style w:type="character" w:customStyle="1" w:styleId="37">
    <w:name w:val="标题 2 字符"/>
    <w:link w:val="3"/>
    <w:autoRedefine/>
    <w:qFormat/>
    <w:uiPriority w:val="0"/>
    <w:rPr>
      <w:rFonts w:ascii="Arial" w:hAnsi="Arial" w:eastAsia="黑体"/>
      <w:b/>
      <w:bCs/>
      <w:kern w:val="2"/>
      <w:sz w:val="32"/>
      <w:szCs w:val="32"/>
    </w:rPr>
  </w:style>
  <w:style w:type="character" w:customStyle="1" w:styleId="38">
    <w:name w:val="标题 3 字符"/>
    <w:link w:val="4"/>
    <w:autoRedefine/>
    <w:qFormat/>
    <w:uiPriority w:val="0"/>
    <w:rPr>
      <w:b/>
      <w:bCs/>
      <w:kern w:val="2"/>
      <w:sz w:val="32"/>
      <w:szCs w:val="32"/>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basedOn w:val="1"/>
    <w:autoRedefine/>
    <w:qFormat/>
    <w:uiPriority w:val="0"/>
    <w:pPr>
      <w:widowControl/>
      <w:autoSpaceDE w:val="0"/>
      <w:autoSpaceDN w:val="0"/>
      <w:adjustRightInd/>
      <w:spacing w:line="240" w:lineRule="auto"/>
      <w:ind w:firstLine="420" w:firstLineChars="200"/>
    </w:pPr>
    <w:rPr>
      <w:rFonts w:ascii="宋体" w:hAnsi="宋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92C4D3D7DE4BE5AF4045EC4F04E8DA"/>
        <w:style w:val=""/>
        <w:category>
          <w:name w:val="常规"/>
          <w:gallery w:val="placeholder"/>
        </w:category>
        <w:types>
          <w:type w:val="bbPlcHdr"/>
        </w:types>
        <w:behaviors>
          <w:behavior w:val="content"/>
        </w:behaviors>
        <w:description w:val=""/>
        <w:guid w:val="{07F3A586-FAE3-4490-AF06-CF0BBDA28DC9}"/>
      </w:docPartPr>
      <w:docPartBody>
        <w:p>
          <w:pPr>
            <w:pStyle w:val="5"/>
          </w:pPr>
          <w:r>
            <w:rPr>
              <w:rStyle w:val="4"/>
              <w:rFonts w:hint="eastAsia"/>
            </w:rPr>
            <w:t>单击或点击此处输入文字。</w:t>
          </w:r>
        </w:p>
      </w:docPartBody>
    </w:docPart>
    <w:docPart>
      <w:docPartPr>
        <w:name w:val="6A804C9F67F847AF920537033034D4A5"/>
        <w:style w:val=""/>
        <w:category>
          <w:name w:val="常规"/>
          <w:gallery w:val="placeholder"/>
        </w:category>
        <w:types>
          <w:type w:val="bbPlcHdr"/>
        </w:types>
        <w:behaviors>
          <w:behavior w:val="content"/>
        </w:behaviors>
        <w:description w:val=""/>
        <w:guid w:val="{9B319ADC-C637-4D8E-B553-D0CA46A83120}"/>
      </w:docPartPr>
      <w:docPartBody>
        <w:p>
          <w:pPr>
            <w:pStyle w:val="6"/>
          </w:pPr>
          <w:r>
            <w:rPr>
              <w:rStyle w:val="4"/>
              <w:rFonts w:hint="eastAsia"/>
            </w:rPr>
            <w:t>选择一项。</w:t>
          </w:r>
        </w:p>
      </w:docPartBody>
    </w:docPart>
    <w:docPart>
      <w:docPartPr>
        <w:name w:val="7679273D1E0347419742D20C443C3B1F"/>
        <w:style w:val=""/>
        <w:category>
          <w:name w:val="常规"/>
          <w:gallery w:val="placeholder"/>
        </w:category>
        <w:types>
          <w:type w:val="bbPlcHdr"/>
        </w:types>
        <w:behaviors>
          <w:behavior w:val="content"/>
        </w:behaviors>
        <w:description w:val=""/>
        <w:guid w:val="{DF0E8A6A-284A-4127-ABD8-8A9019252FA3}"/>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9D5"/>
    <w:rsid w:val="00194F70"/>
    <w:rsid w:val="001B0869"/>
    <w:rsid w:val="00325219"/>
    <w:rsid w:val="004C57DE"/>
    <w:rsid w:val="00721708"/>
    <w:rsid w:val="007616DD"/>
    <w:rsid w:val="008069D5"/>
    <w:rsid w:val="00A824D2"/>
    <w:rsid w:val="00BE61F9"/>
    <w:rsid w:val="00D9576F"/>
    <w:rsid w:val="00E40068"/>
    <w:rsid w:val="00F67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992C4D3D7DE4BE5AF4045EC4F04E8DA"/>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6A804C9F67F847AF920537033034D4A5"/>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7679273D1E0347419742D20C443C3B1F"/>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Pages>
  <Words>7268</Words>
  <Characters>8359</Characters>
  <Lines>309</Lines>
  <Paragraphs>363</Paragraphs>
  <TotalTime>1</TotalTime>
  <ScaleCrop>false</ScaleCrop>
  <LinksUpToDate>false</LinksUpToDate>
  <CharactersWithSpaces>15264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2024-03-18T13:53:00Z</dcterms:created>
  <dc:creator>吕胜超</dc:creator>
  <dc:description>&lt;config cover="true" show_menu="true" version="1.0.0" doctype="SDKXY"&gt;_x000d_
&lt;/config&gt;</dc:description>
  <cp:lastModifiedBy>zc</cp:lastModifiedBy>
  <cp:lastPrinted>2024-03-23T20:17:00Z</cp:lastPrinted>
  <dcterms:modified xsi:type="dcterms:W3CDTF">2024-04-09T09:53:42Z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E47231E7F03F4062BCF920677764BCB6_13</vt:lpwstr>
  </property>
</Properties>
</file>