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11.040.30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31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聚氯乙烯医疗器械中常见荧光物质识别及浸出量的测定</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Identification and leaching amount determination of common fluorescent substances in PVC-based medical devices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 xml:space="preserve"> </w:t>
      </w:r>
      <w:r>
        <w:rPr>
          <w:sz w:val="21"/>
          <w:szCs w:val="28"/>
        </w:rPr>
        <w:t xml:space="preserve">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96521421"/>
      <w:bookmarkStart w:id="23" w:name="_Toc96521434"/>
      <w:bookmarkStart w:id="24" w:name="_Toc149312220"/>
      <w:bookmarkStart w:id="25" w:name="_Toc149312244"/>
      <w:bookmarkStart w:id="26" w:name="_Toc149312314"/>
      <w:bookmarkStart w:id="27" w:name="_Toc96521455"/>
      <w:bookmarkStart w:id="28" w:name="_Toc149313184"/>
      <w:bookmarkStart w:id="29" w:name="_Toc149313208"/>
      <w:bookmarkStart w:id="30" w:name="_Toc149312388"/>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"_Toc149313255" </w:instrText>
      </w:r>
      <w:r>
        <w:fldChar w:fldCharType="separate"/>
      </w:r>
      <w:r>
        <w:rPr>
          <w:rStyle w:val="32"/>
        </w:rPr>
        <w:t>前言</w:t>
      </w:r>
      <w:r>
        <w:tab/>
      </w:r>
      <w:r>
        <w:fldChar w:fldCharType="begin"/>
      </w:r>
      <w:r>
        <w:instrText xml:space="preserve"> PAGEREF _Toc149313255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"_Toc149313256" </w:instrText>
      </w:r>
      <w:r>
        <w:fldChar w:fldCharType="separate"/>
      </w:r>
      <w:r>
        <w:rPr>
          <w:rStyle w:val="32"/>
        </w:rPr>
        <w:t xml:space="preserve">1 </w:t>
      </w:r>
      <w:r>
        <w:rPr>
          <w:rStyle w:val="32"/>
          <w:rFonts w:ascii="Times New Roman"/>
        </w:rPr>
        <w:t xml:space="preserve"> 范围</w:t>
      </w:r>
      <w:r>
        <w:tab/>
      </w:r>
      <w:r>
        <w:fldChar w:fldCharType="begin"/>
      </w:r>
      <w:r>
        <w:instrText xml:space="preserve"> PAGEREF _Toc149313256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"_Toc149313257" </w:instrText>
      </w:r>
      <w:r>
        <w:fldChar w:fldCharType="separate"/>
      </w:r>
      <w:r>
        <w:rPr>
          <w:rStyle w:val="32"/>
        </w:rPr>
        <w:t xml:space="preserve">2 </w:t>
      </w:r>
      <w:r>
        <w:rPr>
          <w:rStyle w:val="32"/>
          <w:rFonts w:ascii="Times New Roman"/>
        </w:rPr>
        <w:t xml:space="preserve"> 规范性引用文件</w:t>
      </w:r>
      <w:r>
        <w:tab/>
      </w:r>
      <w:r>
        <w:fldChar w:fldCharType="begin"/>
      </w:r>
      <w:r>
        <w:instrText xml:space="preserve"> PAGEREF _Toc149313257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"_Toc149313258" </w:instrText>
      </w:r>
      <w:r>
        <w:fldChar w:fldCharType="separate"/>
      </w:r>
      <w:r>
        <w:rPr>
          <w:rStyle w:val="32"/>
        </w:rPr>
        <w:t xml:space="preserve">3 </w:t>
      </w:r>
      <w:r>
        <w:rPr>
          <w:rStyle w:val="32"/>
          <w:rFonts w:ascii="Times New Roman"/>
        </w:rPr>
        <w:t xml:space="preserve"> 术语和定义</w:t>
      </w:r>
      <w:r>
        <w:tab/>
      </w:r>
      <w:r>
        <w:fldChar w:fldCharType="begin"/>
      </w:r>
      <w:r>
        <w:instrText xml:space="preserve"> PAGEREF _Toc149313258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"_Toc149313259" </w:instrText>
      </w:r>
      <w:r>
        <w:fldChar w:fldCharType="separate"/>
      </w:r>
      <w:r>
        <w:rPr>
          <w:rStyle w:val="32"/>
        </w:rPr>
        <w:t xml:space="preserve">4 </w:t>
      </w:r>
      <w:r>
        <w:rPr>
          <w:rStyle w:val="32"/>
          <w:rFonts w:ascii="Times New Roman"/>
        </w:rPr>
        <w:t xml:space="preserve"> 原理</w:t>
      </w:r>
      <w:r>
        <w:tab/>
      </w:r>
      <w:r>
        <w:fldChar w:fldCharType="begin"/>
      </w:r>
      <w:r>
        <w:instrText xml:space="preserve"> PAGEREF _Toc149313259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"_Toc149313260" </w:instrText>
      </w:r>
      <w:r>
        <w:fldChar w:fldCharType="separate"/>
      </w:r>
      <w:r>
        <w:rPr>
          <w:rStyle w:val="32"/>
        </w:rPr>
        <w:t xml:space="preserve">5 </w:t>
      </w:r>
      <w:r>
        <w:rPr>
          <w:rStyle w:val="32"/>
          <w:rFonts w:ascii="Times New Roman"/>
        </w:rPr>
        <w:t xml:space="preserve"> 通用要求</w:t>
      </w:r>
      <w:r>
        <w:tab/>
      </w:r>
      <w:r>
        <w:fldChar w:fldCharType="begin"/>
      </w:r>
      <w:r>
        <w:instrText xml:space="preserve"> PAGEREF _Toc149313260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"_Toc149313261" </w:instrText>
      </w:r>
      <w:r>
        <w:fldChar w:fldCharType="separate"/>
      </w:r>
      <w:r>
        <w:rPr>
          <w:rStyle w:val="32"/>
        </w:rPr>
        <w:t xml:space="preserve">6 </w:t>
      </w:r>
      <w:r>
        <w:rPr>
          <w:rStyle w:val="32"/>
          <w:rFonts w:ascii="Times New Roman"/>
        </w:rPr>
        <w:t xml:space="preserve"> 测定方法</w:t>
      </w:r>
      <w:r>
        <w:tab/>
      </w:r>
      <w:r>
        <w:fldChar w:fldCharType="begin"/>
      </w:r>
      <w:r>
        <w:instrText xml:space="preserve"> PAGEREF _Toc149313261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"_Toc149313262" </w:instrText>
      </w:r>
      <w:r>
        <w:fldChar w:fldCharType="separate"/>
      </w:r>
      <w:r>
        <w:rPr>
          <w:rStyle w:val="32"/>
        </w:rPr>
        <w:t>附录A（资料性）  示例图谱</w:t>
      </w:r>
      <w:r>
        <w:tab/>
      </w:r>
      <w:r>
        <w:fldChar w:fldCharType="begin"/>
      </w:r>
      <w:r>
        <w:instrText xml:space="preserve"> PAGEREF _Toc149313262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"_Toc149313263" </w:instrText>
      </w:r>
      <w:r>
        <w:fldChar w:fldCharType="separate"/>
      </w:r>
      <w:r>
        <w:rPr>
          <w:rStyle w:val="32"/>
          <w:rFonts w:ascii="Times New Roman"/>
        </w:rPr>
        <w:t>参考文献</w:t>
      </w:r>
      <w:r>
        <w:tab/>
      </w:r>
      <w:r>
        <w:fldChar w:fldCharType="begin"/>
      </w:r>
      <w:r>
        <w:instrText xml:space="preserve"> PAGEREF _Toc149313263 \h </w:instrText>
      </w:r>
      <w:r>
        <w:fldChar w:fldCharType="separate"/>
      </w:r>
      <w:r>
        <w:t>5</w:t>
      </w:r>
      <w:r>
        <w:fldChar w:fldCharType="end"/>
      </w:r>
      <w:r>
        <w:fldChar w:fldCharType="end"/>
      </w:r>
    </w:p>
    <w:p>
      <w:pPr>
        <w:pStyle w:val="91"/>
        <w:spacing w:after="468"/>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after="468"/>
      </w:pPr>
      <w:bookmarkStart w:id="31" w:name="_Toc149313255"/>
      <w:bookmarkStart w:id="32" w:name="BookMark2"/>
      <w:r>
        <w:rPr>
          <w:spacing w:val="320"/>
        </w:rPr>
        <w:t>前</w:t>
      </w:r>
      <w:r>
        <w:t>言</w:t>
      </w:r>
      <w:bookmarkEnd w:id="22"/>
      <w:bookmarkEnd w:id="23"/>
      <w:bookmarkEnd w:id="24"/>
      <w:bookmarkEnd w:id="25"/>
      <w:bookmarkEnd w:id="26"/>
      <w:bookmarkEnd w:id="27"/>
      <w:bookmarkEnd w:id="28"/>
      <w:bookmarkEnd w:id="29"/>
      <w:bookmarkEnd w:id="30"/>
      <w:bookmarkEnd w:id="31"/>
    </w:p>
    <w:p>
      <w:pPr>
        <w:pStyle w:val="56"/>
        <w:ind w:firstLine="420"/>
        <w:rPr>
          <w:rFonts w:ascii="Times New Roman"/>
          <w:color w:val="auto"/>
        </w:rPr>
      </w:pPr>
      <w:r>
        <w:rPr>
          <w:rFonts w:hint="eastAsia" w:ascii="Times New Roman"/>
        </w:rPr>
        <w:t>本文件按照GB/T 1.1-2020《标准化工作导则  第1部分：标准化文件的结构和起草规则》的规定起</w:t>
      </w:r>
      <w:bookmarkStart w:id="145" w:name="_GoBack"/>
      <w:r>
        <w:rPr>
          <w:rFonts w:hint="eastAsia" w:ascii="Times New Roman"/>
          <w:color w:val="auto"/>
        </w:rPr>
        <w:t>草。</w:t>
      </w:r>
    </w:p>
    <w:p>
      <w:pPr>
        <w:pStyle w:val="56"/>
        <w:ind w:firstLine="420"/>
        <w:rPr>
          <w:rFonts w:ascii="Times New Roman"/>
          <w:color w:val="auto"/>
        </w:rPr>
      </w:pPr>
      <w:r>
        <w:rPr>
          <w:rFonts w:hint="eastAsia" w:ascii="Times New Roman"/>
          <w:color w:val="auto"/>
        </w:rPr>
        <w:t>请注意本文件的某些内容可能涉及专利。本文件的发布机构不承担识别专利的责任。</w:t>
      </w:r>
    </w:p>
    <w:p>
      <w:pPr>
        <w:pStyle w:val="56"/>
        <w:ind w:firstLine="420"/>
        <w:rPr>
          <w:rFonts w:ascii="Times New Roman"/>
          <w:color w:val="auto"/>
        </w:rPr>
      </w:pPr>
      <w:r>
        <w:rPr>
          <w:rFonts w:hint="eastAsia" w:ascii="Times New Roman"/>
          <w:color w:val="auto"/>
        </w:rPr>
        <w:t>本文件由江苏省药品监督管理局提出</w:t>
      </w:r>
      <w:r>
        <w:rPr>
          <w:rFonts w:hint="eastAsia" w:ascii="Times New Roman"/>
          <w:color w:val="auto"/>
          <w:lang w:eastAsia="zh-CN"/>
        </w:rPr>
        <w:t>、</w:t>
      </w:r>
      <w:r>
        <w:rPr>
          <w:rFonts w:hint="eastAsia" w:ascii="Times New Roman"/>
          <w:color w:val="auto"/>
        </w:rPr>
        <w:t>归口</w:t>
      </w:r>
      <w:r>
        <w:rPr>
          <w:rFonts w:hint="eastAsia" w:ascii="Times New Roman"/>
          <w:color w:val="auto"/>
          <w:lang w:val="en-US" w:eastAsia="zh-CN"/>
        </w:rPr>
        <w:t>并组织实施</w:t>
      </w:r>
      <w:r>
        <w:rPr>
          <w:rFonts w:hint="eastAsia" w:ascii="Times New Roman"/>
          <w:color w:val="auto"/>
        </w:rPr>
        <w:t>。</w:t>
      </w:r>
    </w:p>
    <w:bookmarkEnd w:id="145"/>
    <w:p>
      <w:pPr>
        <w:pStyle w:val="230"/>
        <w:rPr>
          <w:rFonts w:ascii="Times New Roman"/>
        </w:rPr>
      </w:pPr>
      <w:r>
        <w:rPr>
          <w:rFonts w:hint="eastAsia" w:ascii="Times New Roman"/>
        </w:rPr>
        <w:t>本文件起草单位：江苏省医疗器械检验所。</w:t>
      </w:r>
    </w:p>
    <w:p>
      <w:pPr>
        <w:pStyle w:val="56"/>
        <w:ind w:firstLine="420"/>
        <w:rPr>
          <w:rFonts w:ascii="Times New Roman"/>
        </w:rPr>
      </w:pPr>
      <w:r>
        <w:rPr>
          <w:rFonts w:hint="eastAsia" w:ascii="Times New Roman"/>
        </w:rPr>
        <w:t>本文件主要起草人：郑涤新、俞森瀚、陈泱。</w:t>
      </w:r>
    </w:p>
    <w:p>
      <w:pPr>
        <w:pStyle w:val="56"/>
        <w:ind w:firstLine="420"/>
        <w:rPr>
          <w:rFonts w:ascii="Times New Roman"/>
        </w:rPr>
      </w:pPr>
    </w:p>
    <w:p>
      <w:pPr>
        <w:pStyle w:val="56"/>
        <w:ind w:firstLine="420"/>
        <w:rPr>
          <w:rFonts w:ascii="Times New Roman"/>
        </w:rPr>
        <w:sectPr>
          <w:pgSz w:w="11906" w:h="16838"/>
          <w:pgMar w:top="2410" w:right="1134" w:bottom="1134" w:left="1134" w:header="1418" w:footer="1134" w:gutter="284"/>
          <w:pgNumType w:fmt="upperRoman"/>
          <w:cols w:space="425" w:num="1"/>
          <w:formProt w:val="0"/>
          <w:docGrid w:type="lines" w:linePitch="312" w:charSpace="0"/>
        </w:sectPr>
      </w:pPr>
    </w:p>
    <w:bookmarkEnd w:id="32"/>
    <w:p>
      <w:pPr>
        <w:spacing w:line="20" w:lineRule="exact"/>
        <w:jc w:val="center"/>
        <w:rPr>
          <w:rFonts w:ascii="Times New Roman" w:hAnsi="Times New Roman" w:eastAsia="黑体"/>
          <w:sz w:val="32"/>
          <w:szCs w:val="32"/>
        </w:rPr>
      </w:pPr>
      <w:bookmarkStart w:id="33" w:name="BookMark4"/>
    </w:p>
    <w:p>
      <w:pPr>
        <w:spacing w:line="20" w:lineRule="exact"/>
        <w:jc w:val="center"/>
        <w:rPr>
          <w:rFonts w:ascii="Times New Roman" w:hAnsi="Times New Roman" w:eastAsia="黑体"/>
          <w:sz w:val="32"/>
          <w:szCs w:val="32"/>
        </w:rPr>
      </w:pPr>
    </w:p>
    <w:sdt>
      <w:sdtPr>
        <w:tag w:val="NEW_STAND_NAME"/>
        <w:id w:val="595910757"/>
        <w:lock w:val="sdtLocked"/>
        <w:placeholder>
          <w:docPart w:val="015CE6C796DE47E7BDC491AD952EDA04"/>
        </w:placeholder>
      </w:sdtPr>
      <w:sdtContent>
        <w:p>
          <w:pPr>
            <w:pStyle w:val="177"/>
            <w:spacing w:before="3" w:beforeLines="1" w:after="686" w:afterLines="220"/>
          </w:pPr>
          <w:bookmarkStart w:id="34" w:name="NEW_STAND_NAME"/>
          <w:r>
            <w:rPr>
              <w:rFonts w:hint="eastAsia"/>
            </w:rPr>
            <w:t>聚氯乙烯医疗器械中常见荧光物质识别及浸出量的测定</w:t>
          </w:r>
        </w:p>
      </w:sdtContent>
    </w:sdt>
    <w:bookmarkEnd w:id="34"/>
    <w:p>
      <w:pPr>
        <w:pStyle w:val="104"/>
        <w:spacing w:before="312" w:after="312"/>
        <w:ind w:left="0"/>
        <w:rPr>
          <w:rFonts w:ascii="Times New Roman"/>
        </w:rPr>
      </w:pPr>
      <w:bookmarkStart w:id="35" w:name="_Toc96521422"/>
      <w:bookmarkStart w:id="36" w:name="_Toc96521435"/>
      <w:bookmarkStart w:id="37" w:name="_Toc96521456"/>
      <w:bookmarkStart w:id="38" w:name="_Toc149312221"/>
      <w:bookmarkStart w:id="39" w:name="_Toc149312245"/>
      <w:bookmarkStart w:id="40" w:name="_Toc26648465"/>
      <w:bookmarkStart w:id="41" w:name="_Toc26718930"/>
      <w:bookmarkStart w:id="42" w:name="_Toc24884218"/>
      <w:bookmarkStart w:id="43" w:name="_Toc17233325"/>
      <w:bookmarkStart w:id="44" w:name="_Toc17233333"/>
      <w:bookmarkStart w:id="45" w:name="_Toc24884211"/>
      <w:bookmarkStart w:id="46" w:name="_Toc26986771"/>
      <w:bookmarkStart w:id="47" w:name="_Toc26986530"/>
      <w:bookmarkStart w:id="48" w:name="_Toc96520641"/>
      <w:bookmarkStart w:id="49" w:name="_Toc149313209"/>
      <w:bookmarkStart w:id="50" w:name="_Toc149313256"/>
      <w:bookmarkStart w:id="51" w:name="_Toc149312389"/>
      <w:bookmarkStart w:id="52" w:name="_Toc149313185"/>
      <w:bookmarkStart w:id="53" w:name="_Toc149312315"/>
      <w:r>
        <w:rPr>
          <w:rFonts w:hint="eastAsia" w:ascii="Times New Roman"/>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pStyle w:val="56"/>
        <w:ind w:firstLine="420"/>
        <w:rPr>
          <w:rFonts w:ascii="Times New Roman"/>
        </w:rPr>
      </w:pPr>
      <w:bookmarkStart w:id="54" w:name="_Toc24884212"/>
      <w:bookmarkStart w:id="55" w:name="_Toc17233326"/>
      <w:bookmarkStart w:id="56" w:name="_Toc26648466"/>
      <w:bookmarkStart w:id="57" w:name="_Toc24884219"/>
      <w:bookmarkStart w:id="58" w:name="_Toc17233334"/>
      <w:r>
        <w:rPr>
          <w:rFonts w:hint="eastAsia" w:ascii="Times New Roman"/>
        </w:rPr>
        <w:t>本文件描述了以聚氯乙烯为原料制成的医疗器械，在模拟实际使用条件下，对O</w:t>
      </w:r>
      <w:r>
        <w:rPr>
          <w:rFonts w:ascii="Times New Roman"/>
        </w:rPr>
        <w:t>B</w:t>
      </w:r>
      <w:r>
        <w:rPr>
          <w:rFonts w:hint="eastAsia" w:ascii="Times New Roman"/>
        </w:rPr>
        <w:t>、O</w:t>
      </w:r>
      <w:r>
        <w:rPr>
          <w:rFonts w:ascii="Times New Roman"/>
        </w:rPr>
        <w:t>B-1</w:t>
      </w:r>
      <w:r>
        <w:rPr>
          <w:rFonts w:hint="eastAsia" w:ascii="Times New Roman"/>
        </w:rPr>
        <w:t>、O</w:t>
      </w:r>
      <w:r>
        <w:rPr>
          <w:rFonts w:ascii="Times New Roman"/>
        </w:rPr>
        <w:t>B-2</w:t>
      </w:r>
      <w:r>
        <w:rPr>
          <w:rFonts w:hint="eastAsia" w:ascii="Times New Roman"/>
        </w:rPr>
        <w:t>、K</w:t>
      </w:r>
      <w:r>
        <w:rPr>
          <w:rFonts w:ascii="Times New Roman"/>
        </w:rPr>
        <w:t>SN</w:t>
      </w:r>
      <w:r>
        <w:rPr>
          <w:rFonts w:hint="eastAsia" w:ascii="Times New Roman"/>
        </w:rPr>
        <w:t>、C</w:t>
      </w:r>
      <w:r>
        <w:rPr>
          <w:rFonts w:ascii="Times New Roman"/>
        </w:rPr>
        <w:t>BS-127</w:t>
      </w:r>
      <w:r>
        <w:rPr>
          <w:rFonts w:hint="eastAsia" w:ascii="Times New Roman"/>
        </w:rPr>
        <w:t>、</w:t>
      </w:r>
      <w:r>
        <w:rPr>
          <w:rFonts w:ascii="Times New Roman"/>
        </w:rPr>
        <w:t>ER-1</w:t>
      </w:r>
      <w:r>
        <w:rPr>
          <w:rFonts w:hint="eastAsia" w:ascii="Times New Roman"/>
        </w:rPr>
        <w:t>六种常见荧光物质进行识别及浸出量的测定。</w:t>
      </w:r>
    </w:p>
    <w:p>
      <w:pPr>
        <w:pStyle w:val="56"/>
        <w:ind w:firstLine="420"/>
        <w:rPr>
          <w:rFonts w:ascii="Times New Roman"/>
        </w:rPr>
      </w:pPr>
      <w:r>
        <w:rPr>
          <w:rFonts w:hint="eastAsia" w:ascii="Times New Roman"/>
        </w:rPr>
        <w:t>本文件中极限浸提法适用于心血管介入器械等高风险医疗器械，模拟浸提法适用于相对风险较低的医疗器械。</w:t>
      </w:r>
    </w:p>
    <w:p>
      <w:pPr>
        <w:pStyle w:val="56"/>
        <w:ind w:firstLine="420"/>
        <w:rPr>
          <w:rFonts w:ascii="Times New Roman"/>
        </w:rPr>
      </w:pPr>
      <w:r>
        <w:rPr>
          <w:rFonts w:hint="eastAsia" w:ascii="Times New Roman"/>
        </w:rPr>
        <w:t>本文件不适用于医用输液器和输血器中荧光物质的识别及浸出量的测定。</w:t>
      </w:r>
    </w:p>
    <w:p>
      <w:pPr>
        <w:pStyle w:val="104"/>
        <w:spacing w:before="312" w:after="312"/>
        <w:ind w:left="0"/>
        <w:rPr>
          <w:rFonts w:ascii="Times New Roman"/>
        </w:rPr>
      </w:pPr>
      <w:bookmarkStart w:id="59" w:name="_Toc149312390"/>
      <w:bookmarkStart w:id="60" w:name="_Toc149312246"/>
      <w:bookmarkStart w:id="61" w:name="_Toc149313210"/>
      <w:bookmarkStart w:id="62" w:name="_Toc149313257"/>
      <w:bookmarkStart w:id="63" w:name="_Toc26718931"/>
      <w:bookmarkStart w:id="64" w:name="_Toc26986531"/>
      <w:bookmarkStart w:id="65" w:name="_Toc96520642"/>
      <w:bookmarkStart w:id="66" w:name="_Toc96521436"/>
      <w:bookmarkStart w:id="67" w:name="_Toc96521457"/>
      <w:bookmarkStart w:id="68" w:name="_Toc149312222"/>
      <w:bookmarkStart w:id="69" w:name="_Toc26986772"/>
      <w:bookmarkStart w:id="70" w:name="_Toc96521423"/>
      <w:bookmarkStart w:id="71" w:name="_Toc149313186"/>
      <w:bookmarkStart w:id="72" w:name="_Toc149312316"/>
      <w:r>
        <w:rPr>
          <w:rFonts w:hint="eastAsia" w:ascii="Times New Roman"/>
        </w:rPr>
        <w:t>规范性引用文件</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dt>
      <w:sdtPr>
        <w:rPr>
          <w:rFonts w:hint="eastAsia" w:ascii="Times New Roman"/>
        </w:rPr>
        <w:id w:val="715848253"/>
        <w:placeholder>
          <w:docPart w:val="D37B9D3CF9C64FD39CA3FBE0C45A576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Times New Roman"/>
        </w:rPr>
      </w:sdtEndPr>
      <w:sdtContent>
        <w:p>
          <w:pPr>
            <w:pStyle w:val="56"/>
            <w:ind w:firstLine="420"/>
            <w:rPr>
              <w:rFonts w:ascii="Times New Roman"/>
            </w:rPr>
          </w:pPr>
          <w:r>
            <w:rPr>
              <w:rFonts w:hint="eastAsia"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ascii="Times New Roman"/>
        </w:rPr>
      </w:pPr>
      <w:r>
        <w:rPr>
          <w:rFonts w:hint="eastAsia" w:ascii="Times New Roman"/>
        </w:rPr>
        <w:t>GB/T 6682</w:t>
      </w:r>
      <w:r>
        <w:rPr>
          <w:rFonts w:ascii="Times New Roman"/>
        </w:rPr>
        <w:t xml:space="preserve">  </w:t>
      </w:r>
      <w:r>
        <w:rPr>
          <w:rFonts w:hint="eastAsia" w:ascii="Times New Roman"/>
        </w:rPr>
        <w:t xml:space="preserve"> </w:t>
      </w:r>
      <w:r>
        <w:rPr>
          <w:rFonts w:ascii="Times New Roman"/>
        </w:rPr>
        <w:t xml:space="preserve">    </w:t>
      </w:r>
      <w:r>
        <w:rPr>
          <w:rFonts w:hint="eastAsia" w:ascii="Times New Roman"/>
        </w:rPr>
        <w:t>分析实验室用水规格和试验方法</w:t>
      </w:r>
    </w:p>
    <w:p>
      <w:pPr>
        <w:pStyle w:val="56"/>
        <w:ind w:firstLine="420"/>
        <w:rPr>
          <w:rFonts w:ascii="Times New Roman"/>
        </w:rPr>
      </w:pPr>
      <w:r>
        <w:rPr>
          <w:rFonts w:hint="eastAsia" w:ascii="Times New Roman"/>
        </w:rPr>
        <w:t>G</w:t>
      </w:r>
      <w:r>
        <w:rPr>
          <w:rFonts w:ascii="Times New Roman"/>
        </w:rPr>
        <w:t xml:space="preserve">B/T 12808      </w:t>
      </w:r>
      <w:r>
        <w:rPr>
          <w:rFonts w:hint="eastAsia" w:ascii="Times New Roman"/>
        </w:rPr>
        <w:t xml:space="preserve">实验室玻璃仪器 </w:t>
      </w:r>
      <w:r>
        <w:rPr>
          <w:rFonts w:ascii="Times New Roman"/>
        </w:rPr>
        <w:t xml:space="preserve"> </w:t>
      </w:r>
      <w:r>
        <w:rPr>
          <w:rFonts w:hint="eastAsia" w:ascii="Times New Roman"/>
        </w:rPr>
        <w:t>单标线吸量管</w:t>
      </w:r>
    </w:p>
    <w:p>
      <w:pPr>
        <w:pStyle w:val="104"/>
        <w:spacing w:before="312" w:after="312"/>
        <w:ind w:left="0"/>
        <w:rPr>
          <w:rFonts w:ascii="Times New Roman"/>
        </w:rPr>
      </w:pPr>
      <w:bookmarkStart w:id="73" w:name="_Toc149312317"/>
      <w:bookmarkStart w:id="74" w:name="_Toc149312391"/>
      <w:bookmarkStart w:id="75" w:name="_Toc149313187"/>
      <w:bookmarkStart w:id="76" w:name="_Toc96521437"/>
      <w:bookmarkStart w:id="77" w:name="_Toc96521424"/>
      <w:bookmarkStart w:id="78" w:name="_Toc149312247"/>
      <w:bookmarkStart w:id="79" w:name="_Toc96520643"/>
      <w:bookmarkStart w:id="80" w:name="_Toc149312223"/>
      <w:bookmarkStart w:id="81" w:name="_Toc96521458"/>
      <w:bookmarkStart w:id="82" w:name="_Toc149313211"/>
      <w:bookmarkStart w:id="83" w:name="_Toc149313258"/>
      <w:r>
        <w:rPr>
          <w:rFonts w:hint="eastAsia" w:ascii="Times New Roman"/>
        </w:rPr>
        <w:t>术语和定义</w:t>
      </w:r>
      <w:bookmarkEnd w:id="73"/>
      <w:bookmarkEnd w:id="74"/>
      <w:bookmarkEnd w:id="75"/>
      <w:bookmarkEnd w:id="76"/>
      <w:bookmarkEnd w:id="77"/>
      <w:bookmarkEnd w:id="78"/>
      <w:bookmarkEnd w:id="79"/>
      <w:bookmarkEnd w:id="80"/>
      <w:bookmarkEnd w:id="81"/>
      <w:bookmarkEnd w:id="82"/>
      <w:bookmarkEnd w:id="83"/>
    </w:p>
    <w:sdt>
      <w:sdtPr>
        <w:rPr>
          <w:rFonts w:ascii="Times New Roman"/>
        </w:rPr>
        <w:id w:val="-1909835108"/>
        <w:placeholder>
          <w:docPart w:val="C68E99E5EC7147A49D6526311DD1A9B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56"/>
            <w:ind w:firstLine="420"/>
            <w:rPr>
              <w:rFonts w:ascii="Times New Roman"/>
            </w:rPr>
          </w:pPr>
          <w:bookmarkStart w:id="84" w:name="_Toc26986532"/>
          <w:bookmarkEnd w:id="84"/>
          <w:r>
            <w:rPr>
              <w:rFonts w:ascii="Times New Roman"/>
            </w:rPr>
            <w:t>本文件没有需要界定的术语和定义。</w:t>
          </w:r>
        </w:p>
      </w:sdtContent>
    </w:sdt>
    <w:p>
      <w:pPr>
        <w:pStyle w:val="104"/>
        <w:spacing w:before="312" w:after="312"/>
        <w:ind w:left="0"/>
        <w:rPr>
          <w:rFonts w:ascii="Times New Roman"/>
        </w:rPr>
      </w:pPr>
      <w:bookmarkStart w:id="85" w:name="_Toc149313259"/>
      <w:bookmarkStart w:id="86" w:name="_Toc149312224"/>
      <w:bookmarkStart w:id="87" w:name="_Toc149312392"/>
      <w:bookmarkStart w:id="88" w:name="_Toc149313188"/>
      <w:bookmarkStart w:id="89" w:name="_Toc149313212"/>
      <w:bookmarkStart w:id="90" w:name="_Toc149312248"/>
      <w:bookmarkStart w:id="91" w:name="_Toc149312318"/>
      <w:r>
        <w:rPr>
          <w:rFonts w:hint="eastAsia" w:ascii="Times New Roman"/>
        </w:rPr>
        <w:t>原理</w:t>
      </w:r>
      <w:bookmarkEnd w:id="85"/>
      <w:bookmarkEnd w:id="86"/>
      <w:bookmarkEnd w:id="87"/>
      <w:bookmarkEnd w:id="88"/>
      <w:bookmarkEnd w:id="89"/>
      <w:bookmarkEnd w:id="90"/>
      <w:bookmarkEnd w:id="91"/>
    </w:p>
    <w:p>
      <w:pPr>
        <w:pStyle w:val="162"/>
        <w:numPr>
          <w:ilvl w:val="0"/>
          <w:numId w:val="0"/>
        </w:numPr>
        <w:ind w:firstLine="420" w:firstLineChars="200"/>
        <w:rPr>
          <w:rFonts w:ascii="Times New Roman"/>
        </w:rPr>
      </w:pPr>
      <w:r>
        <w:rPr>
          <w:rFonts w:hint="eastAsia" w:ascii="Times New Roman"/>
        </w:rPr>
        <w:t>六种常见荧光物质（OB、OB-1、OB-2、KSN、CBS-127、ER-1）在365 nm波长的紫外线分析仪照射下，会产生蓝色或强蓝色荧光。配制这六种常见荧光物质对照液，采用高效液相色谱法，进行保留时间定性。建立工作曲线和回归方程，对检验液中的这六种常见荧光物质进行定量。</w:t>
      </w:r>
    </w:p>
    <w:p>
      <w:pPr>
        <w:pStyle w:val="104"/>
        <w:spacing w:before="312" w:after="312"/>
        <w:ind w:left="0"/>
        <w:rPr>
          <w:rFonts w:ascii="Times New Roman"/>
        </w:rPr>
      </w:pPr>
      <w:bookmarkStart w:id="92" w:name="_Toc149312393"/>
      <w:bookmarkStart w:id="93" w:name="_Toc149312319"/>
      <w:bookmarkStart w:id="94" w:name="_Toc149313213"/>
      <w:bookmarkStart w:id="95" w:name="_Toc149312249"/>
      <w:bookmarkStart w:id="96" w:name="_Toc149313189"/>
      <w:bookmarkStart w:id="97" w:name="_Toc149312225"/>
      <w:bookmarkStart w:id="98" w:name="_Toc149313260"/>
      <w:r>
        <w:rPr>
          <w:rFonts w:hint="eastAsia" w:ascii="Times New Roman"/>
        </w:rPr>
        <w:t>通用要求</w:t>
      </w:r>
      <w:bookmarkEnd w:id="92"/>
      <w:bookmarkEnd w:id="93"/>
      <w:bookmarkEnd w:id="94"/>
      <w:bookmarkEnd w:id="95"/>
      <w:bookmarkEnd w:id="96"/>
      <w:bookmarkEnd w:id="97"/>
      <w:bookmarkEnd w:id="98"/>
    </w:p>
    <w:p>
      <w:pPr>
        <w:pStyle w:val="162"/>
        <w:ind w:left="141" w:hanging="140" w:hangingChars="67"/>
        <w:rPr>
          <w:rFonts w:ascii="Times New Roman"/>
        </w:rPr>
      </w:pPr>
      <w:r>
        <w:rPr>
          <w:rFonts w:hint="eastAsia" w:ascii="Times New Roman"/>
        </w:rPr>
        <w:t>室温，如无特殊规定，应为10</w:t>
      </w:r>
      <w:r>
        <w:rPr>
          <w:rFonts w:ascii="Times New Roman"/>
        </w:rPr>
        <w:t xml:space="preserve"> ℃</w:t>
      </w:r>
      <w:r>
        <w:rPr>
          <w:rFonts w:hint="eastAsia" w:ascii="Times New Roman"/>
        </w:rPr>
        <w:t>～30</w:t>
      </w:r>
      <w:r>
        <w:rPr>
          <w:rFonts w:ascii="Times New Roman"/>
        </w:rPr>
        <w:t xml:space="preserve"> ℃</w:t>
      </w:r>
      <w:r>
        <w:rPr>
          <w:rFonts w:hint="eastAsia" w:ascii="Times New Roman"/>
        </w:rPr>
        <w:t>。</w:t>
      </w:r>
    </w:p>
    <w:p>
      <w:pPr>
        <w:pStyle w:val="162"/>
        <w:ind w:left="0"/>
        <w:rPr>
          <w:rFonts w:ascii="Times New Roman"/>
        </w:rPr>
      </w:pPr>
      <w:r>
        <w:rPr>
          <w:rFonts w:hint="eastAsia" w:ascii="Times New Roman"/>
        </w:rPr>
        <w:t>试验用水应符合GB/T 6682的要求。</w:t>
      </w:r>
    </w:p>
    <w:p>
      <w:pPr>
        <w:pStyle w:val="162"/>
        <w:ind w:left="0"/>
        <w:rPr>
          <w:rFonts w:ascii="Times New Roman"/>
        </w:rPr>
      </w:pPr>
      <w:r>
        <w:rPr>
          <w:rFonts w:hint="eastAsia" w:ascii="Times New Roman"/>
        </w:rPr>
        <w:t>所用容器如无特殊规定，应为硅硼酸盐玻璃容器。</w:t>
      </w:r>
    </w:p>
    <w:p>
      <w:pPr>
        <w:pStyle w:val="162"/>
        <w:ind w:left="0"/>
        <w:rPr>
          <w:rFonts w:ascii="Times New Roman"/>
        </w:rPr>
      </w:pPr>
      <w:r>
        <w:rPr>
          <w:rFonts w:hint="eastAsia" w:ascii="Times New Roman"/>
        </w:rPr>
        <w:t>所涉及的量取，应使用符合</w:t>
      </w:r>
      <w:r>
        <w:rPr>
          <w:rFonts w:ascii="Times New Roman"/>
        </w:rPr>
        <w:t>GB/T 12808</w:t>
      </w:r>
      <w:r>
        <w:rPr>
          <w:rFonts w:hint="eastAsia" w:ascii="Times New Roman"/>
        </w:rPr>
        <w:t>的准确度要求的移液管量取。</w:t>
      </w:r>
    </w:p>
    <w:p>
      <w:pPr>
        <w:pStyle w:val="104"/>
        <w:spacing w:before="312" w:after="312"/>
        <w:ind w:left="0"/>
        <w:rPr>
          <w:rFonts w:ascii="Times New Roman"/>
        </w:rPr>
      </w:pPr>
      <w:bookmarkStart w:id="99" w:name="_Toc149312394"/>
      <w:bookmarkStart w:id="100" w:name="_Toc149312226"/>
      <w:bookmarkStart w:id="101" w:name="_Toc149313214"/>
      <w:bookmarkStart w:id="102" w:name="_Toc149312250"/>
      <w:bookmarkStart w:id="103" w:name="_Toc149312320"/>
      <w:bookmarkStart w:id="104" w:name="_Toc149313190"/>
      <w:bookmarkStart w:id="105" w:name="_Toc149313261"/>
      <w:r>
        <w:rPr>
          <w:rFonts w:hint="eastAsia" w:ascii="Times New Roman"/>
        </w:rPr>
        <w:t>测定方法</w:t>
      </w:r>
      <w:bookmarkEnd w:id="99"/>
      <w:bookmarkEnd w:id="100"/>
      <w:bookmarkEnd w:id="101"/>
      <w:bookmarkEnd w:id="102"/>
      <w:bookmarkEnd w:id="103"/>
      <w:bookmarkEnd w:id="104"/>
      <w:bookmarkEnd w:id="105"/>
      <w:bookmarkStart w:id="106" w:name="_Toc149312321"/>
      <w:bookmarkStart w:id="107" w:name="_Toc149312227"/>
      <w:bookmarkStart w:id="108" w:name="_Toc149312251"/>
    </w:p>
    <w:p>
      <w:pPr>
        <w:pStyle w:val="105"/>
        <w:spacing w:before="156" w:after="156"/>
        <w:ind w:left="0"/>
      </w:pPr>
      <w:bookmarkStart w:id="109" w:name="_Toc149312395"/>
      <w:r>
        <w:rPr>
          <w:rFonts w:hint="eastAsia"/>
        </w:rPr>
        <w:t>识别</w:t>
      </w:r>
      <w:bookmarkEnd w:id="106"/>
      <w:bookmarkEnd w:id="107"/>
      <w:bookmarkEnd w:id="108"/>
      <w:bookmarkEnd w:id="109"/>
    </w:p>
    <w:p>
      <w:pPr>
        <w:pStyle w:val="65"/>
        <w:spacing w:before="156" w:after="156"/>
        <w:ind w:left="0"/>
        <w:rPr>
          <w:rFonts w:ascii="Times New Roman"/>
          <w:szCs w:val="21"/>
        </w:rPr>
      </w:pPr>
      <w:bookmarkStart w:id="110" w:name="_Toc149312228"/>
      <w:r>
        <w:rPr>
          <w:rFonts w:ascii="Times New Roman"/>
          <w:szCs w:val="21"/>
        </w:rPr>
        <w:t>仪器</w:t>
      </w:r>
      <w:bookmarkEnd w:id="110"/>
    </w:p>
    <w:p>
      <w:pPr>
        <w:pStyle w:val="56"/>
        <w:ind w:firstLine="420"/>
        <w:rPr>
          <w:rFonts w:ascii="Times New Roman"/>
        </w:rPr>
      </w:pPr>
      <w:r>
        <w:rPr>
          <w:rFonts w:hint="eastAsia" w:ascii="Times New Roman"/>
        </w:rPr>
        <w:t>三用紫外线分析仪，波长365</w:t>
      </w:r>
      <w:r>
        <w:rPr>
          <w:rFonts w:ascii="Times New Roman"/>
        </w:rPr>
        <w:t xml:space="preserve"> </w:t>
      </w:r>
      <w:r>
        <w:rPr>
          <w:rFonts w:hint="eastAsia" w:ascii="Times New Roman"/>
        </w:rPr>
        <w:t>nm。</w:t>
      </w:r>
    </w:p>
    <w:p>
      <w:pPr>
        <w:pStyle w:val="65"/>
        <w:spacing w:before="156" w:after="156"/>
        <w:ind w:left="0"/>
        <w:rPr>
          <w:rFonts w:ascii="Times New Roman"/>
        </w:rPr>
      </w:pPr>
      <w:bookmarkStart w:id="111" w:name="_Toc149312229"/>
      <w:r>
        <w:rPr>
          <w:rFonts w:hint="eastAsia" w:ascii="Times New Roman"/>
        </w:rPr>
        <w:t>观察</w:t>
      </w:r>
      <w:bookmarkEnd w:id="111"/>
    </w:p>
    <w:p>
      <w:pPr>
        <w:pStyle w:val="56"/>
        <w:ind w:firstLine="420"/>
        <w:rPr>
          <w:rFonts w:ascii="Times New Roman"/>
        </w:rPr>
      </w:pPr>
      <w:r>
        <w:rPr>
          <w:rFonts w:hint="eastAsia" w:ascii="Times New Roman"/>
        </w:rPr>
        <w:t>取聚氯乙烯医疗器械产品，在洁净的黑色背景上，在暗室里用365</w:t>
      </w:r>
      <w:r>
        <w:rPr>
          <w:rFonts w:ascii="Times New Roman"/>
        </w:rPr>
        <w:t xml:space="preserve"> </w:t>
      </w:r>
      <w:r>
        <w:rPr>
          <w:rFonts w:hint="eastAsia" w:ascii="Times New Roman"/>
        </w:rPr>
        <w:t>nm波长的紫外线分析仪照射样品，观察是否有荧光（蓝色或强蓝色荧光），如有则记录发生荧光的部位，如无表示该产品中不含O</w:t>
      </w:r>
      <w:r>
        <w:rPr>
          <w:rFonts w:ascii="Times New Roman"/>
        </w:rPr>
        <w:t>B</w:t>
      </w:r>
      <w:r>
        <w:rPr>
          <w:rFonts w:hint="eastAsia" w:ascii="Times New Roman"/>
        </w:rPr>
        <w:t>、O</w:t>
      </w:r>
      <w:r>
        <w:rPr>
          <w:rFonts w:ascii="Times New Roman"/>
        </w:rPr>
        <w:t>B-1</w:t>
      </w:r>
      <w:r>
        <w:rPr>
          <w:rFonts w:hint="eastAsia" w:ascii="Times New Roman"/>
        </w:rPr>
        <w:t>等六种常见荧光物质。</w:t>
      </w:r>
    </w:p>
    <w:p>
      <w:pPr>
        <w:pStyle w:val="105"/>
        <w:spacing w:before="156" w:after="156"/>
        <w:ind w:left="0"/>
      </w:pPr>
      <w:bookmarkStart w:id="112" w:name="_Toc149313191"/>
      <w:r>
        <w:rPr>
          <w:rFonts w:hint="eastAsia"/>
        </w:rPr>
        <w:t>测定</w:t>
      </w:r>
      <w:bookmarkEnd w:id="112"/>
    </w:p>
    <w:p>
      <w:pPr>
        <w:pStyle w:val="65"/>
        <w:spacing w:before="156" w:after="156"/>
        <w:ind w:left="0"/>
        <w:rPr>
          <w:rFonts w:ascii="Times New Roman"/>
        </w:rPr>
      </w:pPr>
      <w:bookmarkStart w:id="113" w:name="_Toc149312231"/>
      <w:r>
        <w:rPr>
          <w:rFonts w:hint="eastAsia" w:ascii="Times New Roman"/>
        </w:rPr>
        <w:t>仪器与试剂</w:t>
      </w:r>
      <w:bookmarkEnd w:id="113"/>
    </w:p>
    <w:p>
      <w:pPr>
        <w:pStyle w:val="94"/>
        <w:spacing w:before="156" w:after="156"/>
        <w:rPr>
          <w:rFonts w:ascii="Times New Roman" w:eastAsia="宋体"/>
        </w:rPr>
      </w:pPr>
      <w:bookmarkStart w:id="114" w:name="_Toc149312232"/>
      <w:r>
        <w:rPr>
          <w:rFonts w:hint="eastAsia" w:ascii="Times New Roman" w:eastAsia="宋体"/>
        </w:rPr>
        <w:t>主要仪器</w:t>
      </w:r>
      <w:bookmarkEnd w:id="114"/>
      <w:r>
        <w:rPr>
          <w:rFonts w:hint="eastAsia" w:ascii="Times New Roman" w:eastAsia="宋体"/>
        </w:rPr>
        <w:t>如下：</w:t>
      </w:r>
    </w:p>
    <w:p>
      <w:pPr>
        <w:pStyle w:val="174"/>
      </w:pPr>
      <w:r>
        <w:rPr>
          <w:rFonts w:hint="eastAsia"/>
        </w:rPr>
        <w:t>高效液相色谱仪；</w:t>
      </w:r>
    </w:p>
    <w:p>
      <w:pPr>
        <w:pStyle w:val="174"/>
      </w:pPr>
      <w:r>
        <w:rPr>
          <w:rFonts w:hint="eastAsia"/>
        </w:rPr>
        <w:t>电热恒温水浴锅；</w:t>
      </w:r>
    </w:p>
    <w:p>
      <w:pPr>
        <w:pStyle w:val="174"/>
      </w:pPr>
      <w:r>
        <w:rPr>
          <w:rFonts w:hint="eastAsia"/>
        </w:rPr>
        <w:t>万分之一天平；</w:t>
      </w:r>
    </w:p>
    <w:p>
      <w:pPr>
        <w:pStyle w:val="174"/>
      </w:pPr>
      <w:r>
        <w:rPr>
          <w:rFonts w:hint="eastAsia"/>
        </w:rPr>
        <w:t>真空干燥箱；</w:t>
      </w:r>
    </w:p>
    <w:p>
      <w:pPr>
        <w:pStyle w:val="174"/>
      </w:pPr>
      <w:r>
        <w:rPr>
          <w:rFonts w:hint="eastAsia"/>
        </w:rPr>
        <w:t>超声波清洗器；</w:t>
      </w:r>
    </w:p>
    <w:p>
      <w:pPr>
        <w:pStyle w:val="174"/>
      </w:pPr>
      <w:r>
        <w:rPr>
          <w:rFonts w:hint="eastAsia"/>
        </w:rPr>
        <w:t>液体比重天平；</w:t>
      </w:r>
    </w:p>
    <w:p>
      <w:pPr>
        <w:pStyle w:val="174"/>
      </w:pPr>
      <w:r>
        <w:rPr>
          <w:rFonts w:hint="eastAsia"/>
        </w:rPr>
        <w:t>压力蒸汽灭菌器。</w:t>
      </w:r>
    </w:p>
    <w:p>
      <w:pPr>
        <w:pStyle w:val="94"/>
        <w:spacing w:before="156" w:after="156"/>
        <w:rPr>
          <w:color w:val="FF0000"/>
        </w:rPr>
      </w:pPr>
      <w:bookmarkStart w:id="115" w:name="_Toc149312233"/>
      <w:r>
        <w:rPr>
          <w:rFonts w:hint="eastAsia" w:ascii="Times New Roman" w:eastAsia="宋体"/>
        </w:rPr>
        <w:t>主要试剂</w:t>
      </w:r>
      <w:bookmarkEnd w:id="115"/>
      <w:r>
        <w:rPr>
          <w:rFonts w:hint="eastAsia" w:ascii="Times New Roman" w:eastAsia="宋体"/>
        </w:rPr>
        <w:t>如下：</w:t>
      </w:r>
      <w:r>
        <w:rPr>
          <w:rFonts w:hint="eastAsia"/>
        </w:rPr>
        <w:t xml:space="preserve"> </w:t>
      </w:r>
    </w:p>
    <w:p>
      <w:pPr>
        <w:pStyle w:val="174"/>
        <w:numPr>
          <w:ilvl w:val="0"/>
          <w:numId w:val="32"/>
        </w:numPr>
        <w:rPr>
          <w:rFonts w:ascii="Times New Roman"/>
        </w:rPr>
      </w:pPr>
      <w:r>
        <w:rPr>
          <w:rFonts w:hint="eastAsia" w:ascii="Times New Roman"/>
        </w:rPr>
        <w:t>荧光增白剂OB，FWA184，CAS#7128-64-5，纯度≥9</w:t>
      </w:r>
      <w:r>
        <w:rPr>
          <w:rFonts w:ascii="Times New Roman"/>
        </w:rPr>
        <w:t>5 %</w:t>
      </w:r>
      <w:r>
        <w:rPr>
          <w:rFonts w:hint="eastAsia" w:ascii="Times New Roman"/>
        </w:rPr>
        <w:t>；</w:t>
      </w:r>
    </w:p>
    <w:p>
      <w:pPr>
        <w:pStyle w:val="174"/>
        <w:rPr>
          <w:rFonts w:ascii="Times New Roman"/>
        </w:rPr>
      </w:pPr>
      <w:r>
        <w:rPr>
          <w:rFonts w:hint="eastAsia" w:ascii="Times New Roman"/>
        </w:rPr>
        <w:t>荧光增白剂OB-1，FWA393，CAS#1533-45-5，纯度≥9</w:t>
      </w:r>
      <w:r>
        <w:rPr>
          <w:rFonts w:ascii="Times New Roman"/>
        </w:rPr>
        <w:t>5 %</w:t>
      </w:r>
      <w:r>
        <w:rPr>
          <w:rFonts w:hint="eastAsia" w:ascii="Times New Roman"/>
        </w:rPr>
        <w:t>；</w:t>
      </w:r>
    </w:p>
    <w:p>
      <w:pPr>
        <w:pStyle w:val="174"/>
        <w:rPr>
          <w:rFonts w:ascii="Times New Roman"/>
        </w:rPr>
      </w:pPr>
      <w:r>
        <w:rPr>
          <w:rFonts w:hint="eastAsia" w:ascii="Times New Roman"/>
        </w:rPr>
        <w:t>荧光增白剂OB-2，CAS# 2397-00-4，纯度≥9</w:t>
      </w:r>
      <w:r>
        <w:rPr>
          <w:rFonts w:ascii="Times New Roman"/>
        </w:rPr>
        <w:t>5 %</w:t>
      </w:r>
      <w:r>
        <w:rPr>
          <w:rFonts w:hint="eastAsia" w:ascii="Times New Roman"/>
        </w:rPr>
        <w:t>；</w:t>
      </w:r>
    </w:p>
    <w:p>
      <w:pPr>
        <w:pStyle w:val="174"/>
        <w:rPr>
          <w:rFonts w:ascii="Times New Roman"/>
        </w:rPr>
      </w:pPr>
      <w:r>
        <w:rPr>
          <w:rFonts w:hint="eastAsia" w:ascii="Times New Roman"/>
        </w:rPr>
        <w:t>荧光增白剂KSN，FWA368，CAS#5242-49-9，纯度≥9</w:t>
      </w:r>
      <w:r>
        <w:rPr>
          <w:rFonts w:ascii="Times New Roman"/>
        </w:rPr>
        <w:t>5 %</w:t>
      </w:r>
      <w:r>
        <w:rPr>
          <w:rFonts w:hint="eastAsia" w:ascii="Times New Roman"/>
        </w:rPr>
        <w:t>；</w:t>
      </w:r>
    </w:p>
    <w:p>
      <w:pPr>
        <w:pStyle w:val="174"/>
        <w:rPr>
          <w:rFonts w:ascii="Times New Roman"/>
        </w:rPr>
      </w:pPr>
      <w:r>
        <w:rPr>
          <w:rFonts w:hint="eastAsia" w:ascii="Times New Roman"/>
        </w:rPr>
        <w:t>荧光增白剂CBS-127，FP-127，FWA378，CAS#40470-68-6，纯度≥9</w:t>
      </w:r>
      <w:r>
        <w:rPr>
          <w:rFonts w:ascii="Times New Roman"/>
        </w:rPr>
        <w:t>5 %</w:t>
      </w:r>
      <w:r>
        <w:rPr>
          <w:rFonts w:hint="eastAsia" w:ascii="Times New Roman"/>
        </w:rPr>
        <w:t>；</w:t>
      </w:r>
    </w:p>
    <w:p>
      <w:pPr>
        <w:pStyle w:val="174"/>
        <w:rPr>
          <w:rFonts w:ascii="Times New Roman"/>
        </w:rPr>
      </w:pPr>
      <w:r>
        <w:rPr>
          <w:rFonts w:hint="eastAsia" w:ascii="Times New Roman"/>
        </w:rPr>
        <w:t>荧光增白剂ER-1，FWA199，CAS#13001-40-6，纯度≥9</w:t>
      </w:r>
      <w:r>
        <w:rPr>
          <w:rFonts w:ascii="Times New Roman"/>
        </w:rPr>
        <w:t>5 %</w:t>
      </w:r>
      <w:r>
        <w:rPr>
          <w:rFonts w:hint="eastAsia" w:ascii="Times New Roman"/>
        </w:rPr>
        <w:t>；</w:t>
      </w:r>
    </w:p>
    <w:p>
      <w:pPr>
        <w:pStyle w:val="174"/>
        <w:rPr>
          <w:rFonts w:ascii="Times New Roman"/>
        </w:rPr>
      </w:pPr>
      <w:r>
        <w:rPr>
          <w:rFonts w:hint="eastAsia" w:ascii="Times New Roman"/>
        </w:rPr>
        <w:t>三氯甲烷，色谱纯；</w:t>
      </w:r>
    </w:p>
    <w:p>
      <w:pPr>
        <w:pStyle w:val="174"/>
        <w:rPr>
          <w:rFonts w:ascii="Times New Roman"/>
        </w:rPr>
      </w:pPr>
      <w:r>
        <w:rPr>
          <w:rFonts w:hint="eastAsia" w:ascii="Times New Roman"/>
        </w:rPr>
        <w:t>甲醇，色谱纯；</w:t>
      </w:r>
    </w:p>
    <w:p>
      <w:pPr>
        <w:pStyle w:val="174"/>
        <w:rPr>
          <w:rFonts w:ascii="Times New Roman"/>
        </w:rPr>
      </w:pPr>
      <w:r>
        <w:rPr>
          <w:rFonts w:hint="eastAsia" w:ascii="Times New Roman"/>
        </w:rPr>
        <w:t>0</w:t>
      </w:r>
      <w:r>
        <w:rPr>
          <w:rFonts w:ascii="Times New Roman"/>
        </w:rPr>
        <w:t>.9 %</w:t>
      </w:r>
      <w:r>
        <w:rPr>
          <w:rFonts w:hint="eastAsia" w:ascii="Times New Roman"/>
        </w:rPr>
        <w:t>氯化钠注射液；</w:t>
      </w:r>
    </w:p>
    <w:p>
      <w:pPr>
        <w:pStyle w:val="174"/>
        <w:rPr>
          <w:rFonts w:ascii="Times New Roman"/>
        </w:rPr>
      </w:pPr>
      <w:r>
        <w:rPr>
          <w:rFonts w:hint="eastAsia" w:ascii="Times New Roman"/>
        </w:rPr>
        <w:t>乙醇，色谱纯。</w:t>
      </w:r>
    </w:p>
    <w:p>
      <w:pPr>
        <w:pStyle w:val="65"/>
        <w:tabs>
          <w:tab w:val="left" w:pos="142"/>
        </w:tabs>
        <w:spacing w:before="156" w:after="156"/>
        <w:ind w:left="0"/>
        <w:rPr>
          <w:rFonts w:ascii="Times New Roman"/>
        </w:rPr>
      </w:pPr>
      <w:bookmarkStart w:id="116" w:name="_Toc149312234"/>
      <w:r>
        <w:rPr>
          <w:rFonts w:hint="eastAsia" w:ascii="Times New Roman"/>
        </w:rPr>
        <w:t>检验液制备</w:t>
      </w:r>
      <w:bookmarkEnd w:id="116"/>
    </w:p>
    <w:p>
      <w:pPr>
        <w:pStyle w:val="94"/>
        <w:spacing w:before="156" w:after="156"/>
        <w:rPr>
          <w:rFonts w:ascii="Times New Roman"/>
        </w:rPr>
      </w:pPr>
      <w:bookmarkStart w:id="117" w:name="_Toc149312235"/>
      <w:r>
        <w:rPr>
          <w:rFonts w:hint="eastAsia" w:ascii="Times New Roman"/>
        </w:rPr>
        <w:t>取样部位</w:t>
      </w:r>
      <w:bookmarkEnd w:id="117"/>
    </w:p>
    <w:p>
      <w:pPr>
        <w:pStyle w:val="164"/>
        <w:numPr>
          <w:ilvl w:val="0"/>
          <w:numId w:val="0"/>
        </w:numPr>
        <w:ind w:firstLine="420" w:firstLineChars="200"/>
        <w:rPr>
          <w:rFonts w:ascii="Times New Roman"/>
        </w:rPr>
      </w:pPr>
      <w:r>
        <w:rPr>
          <w:rFonts w:hint="eastAsia" w:ascii="Times New Roman"/>
        </w:rPr>
        <w:t>取产品中经三用紫外线分析仪观察有荧光的部位，剪成约1</w:t>
      </w:r>
      <w:r>
        <w:rPr>
          <w:rFonts w:ascii="Times New Roman"/>
        </w:rPr>
        <w:t xml:space="preserve"> </w:t>
      </w:r>
      <w:r>
        <w:rPr>
          <w:rFonts w:hint="eastAsia" w:ascii="Times New Roman"/>
        </w:rPr>
        <w:t>cm长碎片（或约1</w:t>
      </w:r>
      <w:r>
        <w:rPr>
          <w:rFonts w:ascii="Times New Roman"/>
        </w:rPr>
        <w:t xml:space="preserve"> </w:t>
      </w:r>
      <w:r>
        <w:rPr>
          <w:rFonts w:hint="eastAsia" w:ascii="Times New Roman"/>
        </w:rPr>
        <w:t>cm</w:t>
      </w:r>
      <w:r>
        <w:rPr>
          <w:rFonts w:ascii="Times New Roman"/>
          <w:vertAlign w:val="superscript"/>
        </w:rPr>
        <w:t>2</w:t>
      </w:r>
      <w:r>
        <w:rPr>
          <w:rFonts w:hint="eastAsia" w:ascii="Times New Roman"/>
        </w:rPr>
        <w:t>的片状物）。</w:t>
      </w:r>
    </w:p>
    <w:p>
      <w:pPr>
        <w:pStyle w:val="94"/>
        <w:spacing w:before="156" w:after="156"/>
        <w:rPr>
          <w:rFonts w:ascii="Times New Roman"/>
        </w:rPr>
      </w:pPr>
      <w:bookmarkStart w:id="118" w:name="_Toc149312236"/>
      <w:r>
        <w:rPr>
          <w:rFonts w:hint="eastAsia" w:ascii="Times New Roman"/>
        </w:rPr>
        <w:t>模拟浸提法</w:t>
      </w:r>
      <w:bookmarkEnd w:id="118"/>
    </w:p>
    <w:p>
      <w:pPr>
        <w:pStyle w:val="174"/>
        <w:numPr>
          <w:ilvl w:val="0"/>
          <w:numId w:val="0"/>
        </w:numPr>
        <w:ind w:left="851" w:hanging="426"/>
        <w:rPr>
          <w:rFonts w:ascii="Times New Roman"/>
        </w:rPr>
      </w:pPr>
      <w:r>
        <w:rPr>
          <w:rFonts w:hint="eastAsia" w:ascii="Times New Roman"/>
        </w:rPr>
        <w:t>以下为4种模拟浸提法，可根据临床使用实际情况选择相应的方法。</w:t>
      </w:r>
    </w:p>
    <w:p>
      <w:pPr>
        <w:pStyle w:val="174"/>
        <w:numPr>
          <w:ilvl w:val="0"/>
          <w:numId w:val="33"/>
        </w:numPr>
        <w:rPr>
          <w:rFonts w:ascii="Times New Roman"/>
        </w:rPr>
      </w:pPr>
      <w:r>
        <w:rPr>
          <w:rFonts w:hint="eastAsia" w:ascii="Times New Roman"/>
        </w:rPr>
        <w:t>取样品，按</w:t>
      </w:r>
      <w:r>
        <w:rPr>
          <w:rFonts w:ascii="Times New Roman"/>
        </w:rPr>
        <w:t xml:space="preserve">2 </w:t>
      </w:r>
      <w:r>
        <w:rPr>
          <w:rFonts w:hint="eastAsia" w:ascii="Times New Roman"/>
        </w:rPr>
        <w:t>cm</w:t>
      </w:r>
      <w:r>
        <w:rPr>
          <w:rFonts w:hint="eastAsia" w:ascii="Times New Roman"/>
          <w:vertAlign w:val="superscript"/>
        </w:rPr>
        <w:t>2</w:t>
      </w:r>
      <w:r>
        <w:rPr>
          <w:rFonts w:hint="eastAsia" w:ascii="Times New Roman"/>
        </w:rPr>
        <w:t>样品总表面积加1</w:t>
      </w:r>
      <w:r>
        <w:rPr>
          <w:rFonts w:ascii="Times New Roman"/>
        </w:rPr>
        <w:t xml:space="preserve"> </w:t>
      </w:r>
      <w:r>
        <w:rPr>
          <w:rFonts w:hint="eastAsia" w:ascii="Times New Roman"/>
        </w:rPr>
        <w:t>m</w:t>
      </w:r>
      <w:r>
        <w:rPr>
          <w:rFonts w:ascii="Times New Roman"/>
        </w:rPr>
        <w:t>L</w:t>
      </w:r>
      <w:r>
        <w:rPr>
          <w:rFonts w:hint="eastAsia" w:ascii="Times New Roman"/>
        </w:rPr>
        <w:t>的比例加水，以适当方法密封后，置于压力蒸汽灭菌器中，在121</w:t>
      </w:r>
      <w:r>
        <w:rPr>
          <w:rFonts w:ascii="Times New Roman"/>
        </w:rPr>
        <w:t xml:space="preserve"> ℃</w:t>
      </w:r>
      <w:r>
        <w:rPr>
          <w:rFonts w:hint="eastAsia" w:ascii="Times New Roman"/>
        </w:rPr>
        <w:t>±1</w:t>
      </w:r>
      <w:r>
        <w:rPr>
          <w:rFonts w:ascii="Times New Roman"/>
        </w:rPr>
        <w:t xml:space="preserve"> ℃</w:t>
      </w:r>
      <w:r>
        <w:rPr>
          <w:rFonts w:hint="eastAsia" w:ascii="Times New Roman"/>
        </w:rPr>
        <w:t>加热</w:t>
      </w:r>
      <w:r>
        <w:rPr>
          <w:rFonts w:ascii="Times New Roman"/>
        </w:rPr>
        <w:t>3</w:t>
      </w:r>
      <w:r>
        <w:rPr>
          <w:rFonts w:hint="eastAsia" w:ascii="Times New Roman"/>
        </w:rPr>
        <w:t>0 min，加热结束后将样品与液体分离。取检验液用</w:t>
      </w:r>
      <w:r>
        <w:rPr>
          <w:rFonts w:ascii="Times New Roman"/>
        </w:rPr>
        <w:t xml:space="preserve">10 </w:t>
      </w:r>
      <w:r>
        <w:rPr>
          <w:rFonts w:hint="eastAsia" w:ascii="Times New Roman"/>
        </w:rPr>
        <w:t>mL三氯甲烷两次萃取，合并并转移至2</w:t>
      </w:r>
      <w:r>
        <w:rPr>
          <w:rFonts w:ascii="Times New Roman"/>
        </w:rPr>
        <w:t xml:space="preserve">5 </w:t>
      </w:r>
      <w:r>
        <w:rPr>
          <w:rFonts w:hint="eastAsia" w:ascii="Times New Roman"/>
        </w:rPr>
        <w:t>mL</w:t>
      </w:r>
      <w:r>
        <w:rPr>
          <w:rFonts w:ascii="Times New Roman"/>
        </w:rPr>
        <w:t>棕色容量瓶中</w:t>
      </w:r>
      <w:r>
        <w:rPr>
          <w:rFonts w:hint="eastAsia" w:ascii="Times New Roman"/>
        </w:rPr>
        <w:t>，并定容。</w:t>
      </w:r>
    </w:p>
    <w:p>
      <w:pPr>
        <w:pStyle w:val="174"/>
        <w:numPr>
          <w:ilvl w:val="0"/>
          <w:numId w:val="33"/>
        </w:numPr>
        <w:rPr>
          <w:rFonts w:ascii="Times New Roman"/>
        </w:rPr>
      </w:pPr>
      <w:r>
        <w:rPr>
          <w:rFonts w:hint="eastAsia" w:ascii="Times New Roman"/>
        </w:rPr>
        <w:t>取样品，按0.2</w:t>
      </w:r>
      <w:r>
        <w:rPr>
          <w:rFonts w:ascii="Times New Roman"/>
        </w:rPr>
        <w:t xml:space="preserve"> </w:t>
      </w:r>
      <w:r>
        <w:rPr>
          <w:rFonts w:hint="eastAsia" w:ascii="Times New Roman"/>
        </w:rPr>
        <w:t>g样品加1</w:t>
      </w:r>
      <w:r>
        <w:rPr>
          <w:rFonts w:ascii="Times New Roman"/>
        </w:rPr>
        <w:t xml:space="preserve"> </w:t>
      </w:r>
      <w:r>
        <w:rPr>
          <w:rFonts w:hint="eastAsia" w:ascii="Times New Roman"/>
        </w:rPr>
        <w:t>m</w:t>
      </w:r>
      <w:r>
        <w:rPr>
          <w:rFonts w:ascii="Times New Roman"/>
        </w:rPr>
        <w:t>L</w:t>
      </w:r>
      <w:r>
        <w:rPr>
          <w:rFonts w:hint="eastAsia" w:ascii="Times New Roman"/>
        </w:rPr>
        <w:t>的比例加水，在37</w:t>
      </w:r>
      <w:r>
        <w:rPr>
          <w:rFonts w:ascii="Times New Roman"/>
        </w:rPr>
        <w:t xml:space="preserve"> ℃</w:t>
      </w:r>
      <w:r>
        <w:rPr>
          <w:rFonts w:hint="eastAsia" w:ascii="Times New Roman"/>
        </w:rPr>
        <w:t>±1</w:t>
      </w:r>
      <w:r>
        <w:rPr>
          <w:rFonts w:ascii="Times New Roman"/>
        </w:rPr>
        <w:t xml:space="preserve"> ℃</w:t>
      </w:r>
      <w:r>
        <w:rPr>
          <w:rFonts w:hint="eastAsia" w:ascii="Times New Roman"/>
        </w:rPr>
        <w:t>条件下，浸提72</w:t>
      </w:r>
      <w:r>
        <w:rPr>
          <w:rFonts w:ascii="Times New Roman"/>
        </w:rPr>
        <w:t xml:space="preserve"> </w:t>
      </w:r>
      <w:r>
        <w:rPr>
          <w:rFonts w:hint="eastAsia" w:ascii="Times New Roman"/>
        </w:rPr>
        <w:t>h，将样品与液体分离，冷至室温，作为检验液。取检验液用</w:t>
      </w:r>
      <w:r>
        <w:rPr>
          <w:rFonts w:ascii="Times New Roman"/>
        </w:rPr>
        <w:t xml:space="preserve">10 </w:t>
      </w:r>
      <w:r>
        <w:rPr>
          <w:rFonts w:hint="eastAsia" w:ascii="Times New Roman"/>
        </w:rPr>
        <w:t>mL三氯甲烷两次萃取，合并并转移至2</w:t>
      </w:r>
      <w:r>
        <w:rPr>
          <w:rFonts w:ascii="Times New Roman"/>
        </w:rPr>
        <w:t xml:space="preserve">5 </w:t>
      </w:r>
      <w:r>
        <w:rPr>
          <w:rFonts w:hint="eastAsia" w:ascii="Times New Roman"/>
        </w:rPr>
        <w:t>mL</w:t>
      </w:r>
      <w:r>
        <w:rPr>
          <w:rFonts w:ascii="Times New Roman"/>
        </w:rPr>
        <w:t>棕色容量瓶中</w:t>
      </w:r>
      <w:r>
        <w:rPr>
          <w:rFonts w:hint="eastAsia" w:ascii="Times New Roman"/>
        </w:rPr>
        <w:t>，并定容。</w:t>
      </w:r>
    </w:p>
    <w:p>
      <w:pPr>
        <w:pStyle w:val="174"/>
        <w:numPr>
          <w:ilvl w:val="0"/>
          <w:numId w:val="33"/>
        </w:numPr>
        <w:rPr>
          <w:rFonts w:ascii="Times New Roman"/>
        </w:rPr>
      </w:pPr>
      <w:r>
        <w:rPr>
          <w:rFonts w:hint="eastAsia" w:ascii="Times New Roman"/>
        </w:rPr>
        <w:t>取样品，按0.2</w:t>
      </w:r>
      <w:r>
        <w:rPr>
          <w:rFonts w:ascii="Times New Roman"/>
        </w:rPr>
        <w:t xml:space="preserve"> </w:t>
      </w:r>
      <w:r>
        <w:rPr>
          <w:rFonts w:hint="eastAsia" w:ascii="Times New Roman"/>
        </w:rPr>
        <w:t>g样品加1</w:t>
      </w:r>
      <w:r>
        <w:rPr>
          <w:rFonts w:ascii="Times New Roman"/>
        </w:rPr>
        <w:t xml:space="preserve"> </w:t>
      </w:r>
      <w:r>
        <w:rPr>
          <w:rFonts w:hint="eastAsia" w:ascii="Times New Roman"/>
        </w:rPr>
        <w:t>m</w:t>
      </w:r>
      <w:r>
        <w:rPr>
          <w:rFonts w:ascii="Times New Roman"/>
        </w:rPr>
        <w:t>L</w:t>
      </w:r>
      <w:r>
        <w:rPr>
          <w:rFonts w:hint="eastAsia" w:ascii="Times New Roman"/>
        </w:rPr>
        <w:t>的比例加0</w:t>
      </w:r>
      <w:r>
        <w:rPr>
          <w:rFonts w:ascii="Times New Roman"/>
        </w:rPr>
        <w:t>.9 %</w:t>
      </w:r>
      <w:r>
        <w:rPr>
          <w:rFonts w:hint="eastAsia" w:ascii="Times New Roman"/>
        </w:rPr>
        <w:t>氯化钠注射液，在37</w:t>
      </w:r>
      <w:r>
        <w:rPr>
          <w:rFonts w:ascii="Times New Roman"/>
        </w:rPr>
        <w:t xml:space="preserve"> ℃</w:t>
      </w:r>
      <w:r>
        <w:rPr>
          <w:rFonts w:hint="eastAsia" w:ascii="Times New Roman"/>
        </w:rPr>
        <w:t>±1</w:t>
      </w:r>
      <w:r>
        <w:rPr>
          <w:rFonts w:ascii="Times New Roman"/>
        </w:rPr>
        <w:t xml:space="preserve"> ℃</w:t>
      </w:r>
      <w:r>
        <w:rPr>
          <w:rFonts w:hint="eastAsia" w:ascii="Times New Roman"/>
        </w:rPr>
        <w:t xml:space="preserve">条件下，浸提 </w:t>
      </w:r>
      <w:r>
        <w:rPr>
          <w:rFonts w:ascii="Times New Roman"/>
        </w:rPr>
        <w:t xml:space="preserve">   </w:t>
      </w:r>
      <w:r>
        <w:rPr>
          <w:rFonts w:hint="eastAsia" w:ascii="Times New Roman"/>
        </w:rPr>
        <w:t>72</w:t>
      </w:r>
      <w:r>
        <w:rPr>
          <w:rFonts w:ascii="Times New Roman"/>
        </w:rPr>
        <w:t xml:space="preserve"> </w:t>
      </w:r>
      <w:r>
        <w:rPr>
          <w:rFonts w:hint="eastAsia" w:ascii="Times New Roman"/>
        </w:rPr>
        <w:t>h，将样品与液体分离，冷至室温，作为检验液。取检验液用</w:t>
      </w:r>
      <w:r>
        <w:rPr>
          <w:rFonts w:ascii="Times New Roman"/>
        </w:rPr>
        <w:t xml:space="preserve">10 </w:t>
      </w:r>
      <w:r>
        <w:rPr>
          <w:rFonts w:hint="eastAsia" w:ascii="Times New Roman"/>
        </w:rPr>
        <w:t>mL三氯甲烷两次萃取，合并并转移至2</w:t>
      </w:r>
      <w:r>
        <w:rPr>
          <w:rFonts w:ascii="Times New Roman"/>
        </w:rPr>
        <w:t xml:space="preserve">5 </w:t>
      </w:r>
      <w:r>
        <w:rPr>
          <w:rFonts w:hint="eastAsia" w:ascii="Times New Roman"/>
        </w:rPr>
        <w:t>mL</w:t>
      </w:r>
      <w:r>
        <w:rPr>
          <w:rFonts w:ascii="Times New Roman"/>
        </w:rPr>
        <w:t>棕色容量瓶中</w:t>
      </w:r>
      <w:r>
        <w:rPr>
          <w:rFonts w:hint="eastAsia" w:ascii="Times New Roman"/>
        </w:rPr>
        <w:t>，并定容。</w:t>
      </w:r>
    </w:p>
    <w:p>
      <w:pPr>
        <w:pStyle w:val="174"/>
        <w:numPr>
          <w:ilvl w:val="0"/>
          <w:numId w:val="33"/>
        </w:numPr>
        <w:rPr>
          <w:rFonts w:ascii="Times New Roman"/>
        </w:rPr>
      </w:pPr>
      <w:r>
        <w:rPr>
          <w:rFonts w:hint="eastAsia" w:ascii="Times New Roman"/>
        </w:rPr>
        <w:t>取样品，按0.2</w:t>
      </w:r>
      <w:r>
        <w:rPr>
          <w:rFonts w:ascii="Times New Roman"/>
        </w:rPr>
        <w:t xml:space="preserve"> </w:t>
      </w:r>
      <w:r>
        <w:rPr>
          <w:rFonts w:hint="eastAsia" w:ascii="Times New Roman"/>
        </w:rPr>
        <w:t>g样品加1</w:t>
      </w:r>
      <w:r>
        <w:rPr>
          <w:rFonts w:ascii="Times New Roman"/>
        </w:rPr>
        <w:t xml:space="preserve"> </w:t>
      </w:r>
      <w:r>
        <w:rPr>
          <w:rFonts w:hint="eastAsia" w:ascii="Times New Roman"/>
        </w:rPr>
        <w:t>m</w:t>
      </w:r>
      <w:r>
        <w:rPr>
          <w:rFonts w:ascii="Times New Roman"/>
        </w:rPr>
        <w:t>L</w:t>
      </w:r>
      <w:r>
        <w:rPr>
          <w:rFonts w:hint="eastAsia" w:ascii="Times New Roman"/>
        </w:rPr>
        <w:t>的比例加乙醇水混合液，在37</w:t>
      </w:r>
      <w:r>
        <w:rPr>
          <w:rFonts w:ascii="Times New Roman"/>
        </w:rPr>
        <w:t xml:space="preserve"> ℃</w:t>
      </w:r>
      <w:r>
        <w:rPr>
          <w:rFonts w:hint="eastAsia" w:ascii="Times New Roman"/>
        </w:rPr>
        <w:t>±1</w:t>
      </w:r>
      <w:r>
        <w:rPr>
          <w:rFonts w:ascii="Times New Roman"/>
        </w:rPr>
        <w:t xml:space="preserve"> ℃</w:t>
      </w:r>
      <w:r>
        <w:rPr>
          <w:rFonts w:hint="eastAsia" w:ascii="Times New Roman"/>
        </w:rPr>
        <w:t>条件下，浸提72</w:t>
      </w:r>
      <w:r>
        <w:rPr>
          <w:rFonts w:ascii="Times New Roman"/>
        </w:rPr>
        <w:t xml:space="preserve"> </w:t>
      </w:r>
      <w:r>
        <w:rPr>
          <w:rFonts w:hint="eastAsia" w:ascii="Times New Roman"/>
        </w:rPr>
        <w:t>h，将样品与液体分离，冷至室温，作为检验液。将检验液放置于真空干燥箱6</w:t>
      </w:r>
      <w:r>
        <w:rPr>
          <w:rFonts w:ascii="Times New Roman"/>
        </w:rPr>
        <w:t>0 ℃</w:t>
      </w:r>
      <w:r>
        <w:rPr>
          <w:rFonts w:hint="eastAsia" w:ascii="Times New Roman"/>
        </w:rPr>
        <w:t>±1</w:t>
      </w:r>
      <w:r>
        <w:rPr>
          <w:rFonts w:ascii="Times New Roman"/>
        </w:rPr>
        <w:t xml:space="preserve"> ℃</w:t>
      </w:r>
      <w:r>
        <w:rPr>
          <w:rFonts w:hint="eastAsia" w:ascii="Times New Roman"/>
        </w:rPr>
        <w:t>蒸发至干，用</w:t>
      </w:r>
      <w:r>
        <w:rPr>
          <w:rFonts w:ascii="Times New Roman"/>
        </w:rPr>
        <w:t xml:space="preserve">20 </w:t>
      </w:r>
      <w:r>
        <w:rPr>
          <w:rFonts w:hint="eastAsia" w:ascii="Times New Roman"/>
        </w:rPr>
        <w:t>mL三氯甲烷溶解，转移至2</w:t>
      </w:r>
      <w:r>
        <w:rPr>
          <w:rFonts w:ascii="Times New Roman"/>
        </w:rPr>
        <w:t xml:space="preserve">5 </w:t>
      </w:r>
      <w:r>
        <w:rPr>
          <w:rFonts w:hint="eastAsia" w:ascii="Times New Roman"/>
        </w:rPr>
        <w:t>mL棕色容量瓶中并定容。</w:t>
      </w:r>
    </w:p>
    <w:p>
      <w:pPr>
        <w:pStyle w:val="174"/>
        <w:numPr>
          <w:ilvl w:val="0"/>
          <w:numId w:val="0"/>
        </w:numPr>
        <w:ind w:left="851"/>
        <w:rPr>
          <w:rFonts w:ascii="Times New Roman"/>
          <w:sz w:val="18"/>
          <w:szCs w:val="18"/>
        </w:rPr>
      </w:pPr>
      <w:r>
        <w:rPr>
          <w:rFonts w:hint="eastAsia" w:ascii="Times New Roman"/>
          <w:sz w:val="18"/>
          <w:szCs w:val="18"/>
        </w:rPr>
        <w:t>注：乙醇水混合液采用密度为0.93</w:t>
      </w:r>
      <w:r>
        <w:rPr>
          <w:rFonts w:ascii="Times New Roman"/>
          <w:sz w:val="18"/>
          <w:szCs w:val="18"/>
        </w:rPr>
        <w:t xml:space="preserve"> </w:t>
      </w:r>
      <w:r>
        <w:rPr>
          <w:rFonts w:hint="eastAsia" w:ascii="Times New Roman"/>
          <w:sz w:val="18"/>
          <w:szCs w:val="18"/>
        </w:rPr>
        <w:t>g/mL～0.9</w:t>
      </w:r>
      <w:r>
        <w:rPr>
          <w:rFonts w:ascii="Times New Roman"/>
          <w:sz w:val="18"/>
          <w:szCs w:val="18"/>
        </w:rPr>
        <w:t xml:space="preserve">4 </w:t>
      </w:r>
      <w:r>
        <w:rPr>
          <w:rFonts w:hint="eastAsia" w:ascii="Times New Roman"/>
          <w:sz w:val="18"/>
          <w:szCs w:val="18"/>
        </w:rPr>
        <w:t>g/mL（20</w:t>
      </w:r>
      <w:r>
        <w:rPr>
          <w:rFonts w:ascii="Times New Roman"/>
          <w:sz w:val="18"/>
          <w:szCs w:val="18"/>
        </w:rPr>
        <w:t xml:space="preserve"> ℃</w:t>
      </w:r>
      <w:r>
        <w:rPr>
          <w:rFonts w:hint="eastAsia" w:ascii="Times New Roman"/>
          <w:sz w:val="18"/>
          <w:szCs w:val="18"/>
        </w:rPr>
        <w:t>，用液体比重天平或精度相当的仪器配制）。</w:t>
      </w:r>
    </w:p>
    <w:p>
      <w:pPr>
        <w:pStyle w:val="94"/>
        <w:spacing w:before="156" w:after="156"/>
        <w:rPr>
          <w:rFonts w:ascii="Times New Roman"/>
        </w:rPr>
      </w:pPr>
      <w:bookmarkStart w:id="119" w:name="_Toc149312237"/>
      <w:r>
        <w:rPr>
          <w:rFonts w:hint="eastAsia" w:ascii="Times New Roman"/>
        </w:rPr>
        <w:t>极限浸提法</w:t>
      </w:r>
      <w:bookmarkEnd w:id="119"/>
    </w:p>
    <w:p>
      <w:pPr>
        <w:pStyle w:val="174"/>
        <w:numPr>
          <w:ilvl w:val="0"/>
          <w:numId w:val="0"/>
        </w:numPr>
        <w:ind w:firstLine="420" w:firstLineChars="200"/>
        <w:rPr>
          <w:rFonts w:ascii="Times New Roman"/>
        </w:rPr>
      </w:pPr>
      <w:r>
        <w:rPr>
          <w:rFonts w:hint="eastAsia" w:ascii="Times New Roman"/>
        </w:rPr>
        <w:t>取样品，按1.0</w:t>
      </w:r>
      <w:r>
        <w:rPr>
          <w:rFonts w:ascii="Times New Roman"/>
        </w:rPr>
        <w:t xml:space="preserve"> </w:t>
      </w:r>
      <w:r>
        <w:rPr>
          <w:rFonts w:hint="eastAsia" w:ascii="Times New Roman"/>
        </w:rPr>
        <w:t>g样品加入10</w:t>
      </w:r>
      <w:r>
        <w:rPr>
          <w:rFonts w:ascii="Times New Roman"/>
        </w:rPr>
        <w:t xml:space="preserve"> </w:t>
      </w:r>
      <w:r>
        <w:rPr>
          <w:rFonts w:hint="eastAsia" w:ascii="Times New Roman"/>
        </w:rPr>
        <w:t>mL三氯甲烷完全浸没样品，超声15</w:t>
      </w:r>
      <w:r>
        <w:rPr>
          <w:rFonts w:ascii="Times New Roman"/>
        </w:rPr>
        <w:t xml:space="preserve"> </w:t>
      </w:r>
      <w:r>
        <w:rPr>
          <w:rFonts w:hint="eastAsia" w:ascii="Times New Roman"/>
        </w:rPr>
        <w:t>min，将溶液转移到25</w:t>
      </w:r>
      <w:r>
        <w:rPr>
          <w:rFonts w:ascii="Times New Roman"/>
        </w:rPr>
        <w:t xml:space="preserve"> </w:t>
      </w:r>
      <w:r>
        <w:rPr>
          <w:rFonts w:hint="eastAsia" w:ascii="Times New Roman"/>
        </w:rPr>
        <w:t>mL棕色容量瓶中，再加10</w:t>
      </w:r>
      <w:r>
        <w:rPr>
          <w:rFonts w:ascii="Times New Roman"/>
        </w:rPr>
        <w:t xml:space="preserve"> </w:t>
      </w:r>
      <w:r>
        <w:rPr>
          <w:rFonts w:hint="eastAsia" w:ascii="Times New Roman"/>
        </w:rPr>
        <w:t>mL三氯甲烷继续超声15</w:t>
      </w:r>
      <w:r>
        <w:rPr>
          <w:rFonts w:ascii="Times New Roman"/>
        </w:rPr>
        <w:t xml:space="preserve"> </w:t>
      </w:r>
      <w:r>
        <w:rPr>
          <w:rFonts w:hint="eastAsia" w:ascii="Times New Roman"/>
        </w:rPr>
        <w:t>min，将溶液转移至容量瓶内，分别用少量的三氯甲烷洗涤样品3次，合并洗涤液至烧杯中，过滤定容至25</w:t>
      </w:r>
      <w:r>
        <w:rPr>
          <w:rFonts w:ascii="Times New Roman"/>
        </w:rPr>
        <w:t xml:space="preserve"> </w:t>
      </w:r>
      <w:r>
        <w:rPr>
          <w:rFonts w:hint="eastAsia" w:ascii="Times New Roman"/>
        </w:rPr>
        <w:t>mL，摇匀，作为检验液。</w:t>
      </w:r>
    </w:p>
    <w:p>
      <w:pPr>
        <w:pStyle w:val="65"/>
        <w:spacing w:before="156" w:after="156"/>
        <w:ind w:left="0"/>
        <w:rPr>
          <w:rFonts w:ascii="Times New Roman"/>
        </w:rPr>
      </w:pPr>
      <w:bookmarkStart w:id="120" w:name="_Toc149312238"/>
      <w:r>
        <w:rPr>
          <w:rFonts w:hint="eastAsia" w:ascii="Times New Roman"/>
        </w:rPr>
        <w:t>对照品溶液配制</w:t>
      </w:r>
      <w:bookmarkEnd w:id="120"/>
    </w:p>
    <w:p>
      <w:pPr>
        <w:pStyle w:val="56"/>
        <w:ind w:firstLine="420"/>
        <w:rPr>
          <w:rFonts w:ascii="Times New Roman"/>
        </w:rPr>
      </w:pPr>
      <w:bookmarkStart w:id="121" w:name="_Hlk137230224"/>
      <w:r>
        <w:rPr>
          <w:rFonts w:hint="eastAsia" w:ascii="Times New Roman"/>
        </w:rPr>
        <w:t>精密称取</w:t>
      </w:r>
      <w:r>
        <w:rPr>
          <w:rFonts w:ascii="Times New Roman"/>
          <w:color w:val="000000" w:themeColor="text1"/>
          <w14:textFill>
            <w14:solidFill>
              <w14:schemeClr w14:val="tx1"/>
            </w14:solidFill>
          </w14:textFill>
        </w:rPr>
        <w:t>6</w:t>
      </w:r>
      <w:r>
        <w:rPr>
          <w:rFonts w:hint="eastAsia" w:ascii="Times New Roman"/>
          <w:color w:val="000000" w:themeColor="text1"/>
          <w14:textFill>
            <w14:solidFill>
              <w14:schemeClr w14:val="tx1"/>
            </w14:solidFill>
          </w14:textFill>
        </w:rPr>
        <w:t>.2.1.2</w:t>
      </w:r>
      <w:r>
        <w:rPr>
          <w:rFonts w:hint="eastAsia" w:ascii="Times New Roman"/>
        </w:rPr>
        <w:t>中6种对照品各10</w:t>
      </w:r>
      <w:r>
        <w:rPr>
          <w:rFonts w:ascii="Times New Roman"/>
        </w:rPr>
        <w:t xml:space="preserve"> </w:t>
      </w:r>
      <w:r>
        <w:rPr>
          <w:rFonts w:hint="eastAsia" w:ascii="Times New Roman"/>
        </w:rPr>
        <w:t>mg于100</w:t>
      </w:r>
      <w:r>
        <w:rPr>
          <w:rFonts w:ascii="Times New Roman"/>
        </w:rPr>
        <w:t xml:space="preserve"> </w:t>
      </w:r>
      <w:r>
        <w:rPr>
          <w:rFonts w:hint="eastAsia" w:ascii="Times New Roman"/>
        </w:rPr>
        <w:t>mL容量瓶中，加入三氯甲烷超声溶解后定容，摇匀，配制成浓度分别为100</w:t>
      </w:r>
      <w:r>
        <w:rPr>
          <w:rFonts w:ascii="Times New Roman"/>
        </w:rPr>
        <w:t xml:space="preserve"> </w:t>
      </w:r>
      <w:r>
        <w:rPr>
          <w:rFonts w:hint="eastAsia" w:ascii="Times New Roman"/>
        </w:rPr>
        <w:t>mg/L的混合对照品储备液。将混合对照品储备液稀释成质量浓度分别为0.05</w:t>
      </w:r>
      <w:r>
        <w:rPr>
          <w:rFonts w:ascii="Times New Roman"/>
        </w:rPr>
        <w:t xml:space="preserve"> </w:t>
      </w:r>
      <w:r>
        <w:rPr>
          <w:rFonts w:hint="eastAsia" w:ascii="Times New Roman"/>
        </w:rPr>
        <w:t>mg/L</w:t>
      </w:r>
      <w:r>
        <w:rPr>
          <w:rFonts w:hint="eastAsia" w:ascii="Times New Roman"/>
          <w:szCs w:val="21"/>
        </w:rPr>
        <w:t>～</w:t>
      </w:r>
      <w:r>
        <w:rPr>
          <w:rFonts w:hint="eastAsia" w:ascii="Times New Roman"/>
        </w:rPr>
        <w:t>10</w:t>
      </w:r>
      <w:r>
        <w:rPr>
          <w:rFonts w:ascii="Times New Roman"/>
        </w:rPr>
        <w:t xml:space="preserve"> </w:t>
      </w:r>
      <w:r>
        <w:rPr>
          <w:rFonts w:hint="eastAsia" w:ascii="Times New Roman"/>
        </w:rPr>
        <w:t>mg/L的系列混合对照品溶液。根据待测物实际含量选择合适的工作标准曲线范围。</w:t>
      </w:r>
    </w:p>
    <w:bookmarkEnd w:id="121"/>
    <w:p>
      <w:pPr>
        <w:pStyle w:val="94"/>
        <w:spacing w:before="156" w:after="156"/>
        <w:rPr>
          <w:rFonts w:ascii="Times New Roman"/>
          <w:color w:val="FF0000"/>
        </w:rPr>
      </w:pPr>
      <w:bookmarkStart w:id="122" w:name="_Toc149312239"/>
      <w:r>
        <w:rPr>
          <w:rFonts w:hint="eastAsia" w:ascii="Times New Roman"/>
        </w:rPr>
        <w:t>高效液相色谱条件（推荐）</w:t>
      </w:r>
      <w:bookmarkEnd w:id="122"/>
      <w:r>
        <w:rPr>
          <w:rFonts w:hint="eastAsia" w:ascii="Times New Roman"/>
        </w:rPr>
        <w:t xml:space="preserve"> </w:t>
      </w:r>
    </w:p>
    <w:p>
      <w:pPr>
        <w:pStyle w:val="174"/>
        <w:numPr>
          <w:ilvl w:val="0"/>
          <w:numId w:val="0"/>
        </w:numPr>
        <w:ind w:left="425"/>
        <w:rPr>
          <w:rFonts w:ascii="Times New Roman"/>
        </w:rPr>
      </w:pPr>
      <w:r>
        <w:rPr>
          <w:rFonts w:hint="eastAsia" w:ascii="Times New Roman"/>
        </w:rPr>
        <w:t>色谱条件如下：</w:t>
      </w:r>
    </w:p>
    <w:p>
      <w:pPr>
        <w:pStyle w:val="174"/>
        <w:numPr>
          <w:ilvl w:val="0"/>
          <w:numId w:val="34"/>
        </w:numPr>
        <w:rPr>
          <w:rFonts w:ascii="Times New Roman"/>
        </w:rPr>
      </w:pPr>
      <w:r>
        <w:rPr>
          <w:rFonts w:hint="eastAsia" w:ascii="Times New Roman"/>
        </w:rPr>
        <w:t>色谱柱：</w:t>
      </w:r>
      <w:r>
        <w:rPr>
          <w:rFonts w:ascii="Times New Roman"/>
        </w:rPr>
        <w:t>十八烷基硅烷键合硅胶色谱柱</w:t>
      </w:r>
      <w:r>
        <w:rPr>
          <w:rFonts w:hint="eastAsia" w:ascii="Times New Roman"/>
        </w:rPr>
        <w:t>，或其他等效色谱柱；</w:t>
      </w:r>
    </w:p>
    <w:p>
      <w:pPr>
        <w:pStyle w:val="174"/>
        <w:rPr>
          <w:rFonts w:ascii="Times New Roman"/>
        </w:rPr>
      </w:pPr>
      <w:r>
        <w:rPr>
          <w:rFonts w:hint="eastAsia" w:ascii="Times New Roman"/>
        </w:rPr>
        <w:t>柱温：25</w:t>
      </w:r>
      <w:r>
        <w:rPr>
          <w:rFonts w:ascii="Times New Roman"/>
        </w:rPr>
        <w:t xml:space="preserve"> ℃</w:t>
      </w:r>
      <w:r>
        <w:rPr>
          <w:rFonts w:hint="eastAsia" w:ascii="Times New Roman"/>
        </w:rPr>
        <w:t>；</w:t>
      </w:r>
    </w:p>
    <w:p>
      <w:pPr>
        <w:pStyle w:val="174"/>
        <w:rPr>
          <w:rFonts w:ascii="Times New Roman"/>
        </w:rPr>
      </w:pPr>
      <w:r>
        <w:rPr>
          <w:rFonts w:hint="eastAsia" w:ascii="Times New Roman"/>
        </w:rPr>
        <w:t>流速：1</w:t>
      </w:r>
      <w:r>
        <w:rPr>
          <w:rFonts w:ascii="Times New Roman"/>
        </w:rPr>
        <w:t xml:space="preserve"> </w:t>
      </w:r>
      <w:r>
        <w:rPr>
          <w:rFonts w:hint="eastAsia" w:ascii="Times New Roman"/>
        </w:rPr>
        <w:t>mL/min；</w:t>
      </w:r>
    </w:p>
    <w:p>
      <w:pPr>
        <w:pStyle w:val="174"/>
        <w:rPr>
          <w:rFonts w:ascii="Times New Roman"/>
        </w:rPr>
      </w:pPr>
      <w:r>
        <w:rPr>
          <w:rFonts w:hint="eastAsia" w:ascii="Times New Roman"/>
        </w:rPr>
        <w:t>检测波长：360</w:t>
      </w:r>
      <w:r>
        <w:rPr>
          <w:rFonts w:ascii="Times New Roman"/>
        </w:rPr>
        <w:t xml:space="preserve"> </w:t>
      </w:r>
      <w:r>
        <w:rPr>
          <w:rFonts w:hint="eastAsia" w:ascii="Times New Roman"/>
        </w:rPr>
        <w:t>nm；</w:t>
      </w:r>
    </w:p>
    <w:p>
      <w:pPr>
        <w:pStyle w:val="174"/>
        <w:rPr>
          <w:rFonts w:ascii="Times New Roman"/>
        </w:rPr>
      </w:pPr>
      <w:r>
        <w:rPr>
          <w:rFonts w:hint="eastAsia" w:ascii="Times New Roman"/>
        </w:rPr>
        <w:t>流动相：甲醇 :</w:t>
      </w:r>
      <w:r>
        <w:rPr>
          <w:rFonts w:ascii="Times New Roman"/>
        </w:rPr>
        <w:t xml:space="preserve"> </w:t>
      </w:r>
      <w:r>
        <w:rPr>
          <w:rFonts w:hint="eastAsia" w:ascii="Times New Roman"/>
        </w:rPr>
        <w:t>水 = 96</w:t>
      </w:r>
      <w:r>
        <w:rPr>
          <w:rFonts w:ascii="Times New Roman"/>
        </w:rPr>
        <w:t xml:space="preserve"> </w:t>
      </w:r>
      <w:r>
        <w:rPr>
          <w:rFonts w:hint="eastAsia" w:ascii="Times New Roman"/>
        </w:rPr>
        <w:t>:</w:t>
      </w:r>
      <w:r>
        <w:rPr>
          <w:rFonts w:ascii="Times New Roman"/>
        </w:rPr>
        <w:t xml:space="preserve"> </w:t>
      </w:r>
      <w:r>
        <w:rPr>
          <w:rFonts w:hint="eastAsia" w:ascii="Times New Roman"/>
        </w:rPr>
        <w:t>4；</w:t>
      </w:r>
    </w:p>
    <w:p>
      <w:pPr>
        <w:pStyle w:val="174"/>
        <w:rPr>
          <w:rFonts w:ascii="Times New Roman"/>
        </w:rPr>
      </w:pPr>
      <w:r>
        <w:rPr>
          <w:rFonts w:hint="eastAsia" w:ascii="Times New Roman"/>
        </w:rPr>
        <w:t>进样量：5</w:t>
      </w:r>
      <w:r>
        <w:rPr>
          <w:rFonts w:ascii="Times New Roman"/>
        </w:rPr>
        <w:t xml:space="preserve"> μ</w:t>
      </w:r>
      <w:r>
        <w:rPr>
          <w:rFonts w:hint="eastAsia" w:ascii="Times New Roman"/>
        </w:rPr>
        <w:t>L；</w:t>
      </w:r>
    </w:p>
    <w:p>
      <w:pPr>
        <w:pStyle w:val="174"/>
        <w:rPr>
          <w:rFonts w:ascii="Times New Roman"/>
        </w:rPr>
      </w:pPr>
      <w:r>
        <w:rPr>
          <w:rFonts w:hint="eastAsia" w:ascii="Times New Roman"/>
        </w:rPr>
        <w:t>样品室温度：25</w:t>
      </w:r>
      <w:r>
        <w:rPr>
          <w:rFonts w:ascii="Times New Roman"/>
        </w:rPr>
        <w:t xml:space="preserve"> ℃</w:t>
      </w:r>
      <w:r>
        <w:rPr>
          <w:rFonts w:hint="eastAsia" w:ascii="Times New Roman"/>
        </w:rPr>
        <w:t>。</w:t>
      </w:r>
    </w:p>
    <w:p>
      <w:pPr>
        <w:pStyle w:val="174"/>
        <w:numPr>
          <w:ilvl w:val="0"/>
          <w:numId w:val="0"/>
        </w:numPr>
        <w:ind w:left="425"/>
        <w:rPr>
          <w:rFonts w:ascii="Times New Roman"/>
          <w:sz w:val="18"/>
          <w:szCs w:val="18"/>
        </w:rPr>
      </w:pPr>
      <w:r>
        <w:rPr>
          <w:rFonts w:hint="eastAsia" w:ascii="Times New Roman"/>
          <w:sz w:val="18"/>
          <w:szCs w:val="18"/>
        </w:rPr>
        <w:t>注：也可采用其他经方法学验证的高效液相色谱条件。</w:t>
      </w:r>
    </w:p>
    <w:p>
      <w:pPr>
        <w:pStyle w:val="65"/>
        <w:spacing w:before="156" w:after="156"/>
        <w:ind w:left="0"/>
        <w:rPr>
          <w:rFonts w:ascii="Times New Roman"/>
        </w:rPr>
      </w:pPr>
      <w:bookmarkStart w:id="123" w:name="_Toc149312240"/>
      <w:r>
        <w:rPr>
          <w:rFonts w:hint="eastAsia" w:ascii="Times New Roman"/>
        </w:rPr>
        <w:t>荧光</w:t>
      </w:r>
      <w:bookmarkEnd w:id="123"/>
      <w:r>
        <w:rPr>
          <w:rFonts w:hint="eastAsia" w:ascii="Times New Roman"/>
        </w:rPr>
        <w:t>物质定性和定量分析</w:t>
      </w:r>
    </w:p>
    <w:p>
      <w:pPr>
        <w:pStyle w:val="56"/>
        <w:ind w:firstLine="420"/>
        <w:rPr>
          <w:rFonts w:ascii="Times New Roman"/>
        </w:rPr>
      </w:pPr>
      <w:r>
        <w:rPr>
          <w:rFonts w:hint="eastAsia" w:ascii="Times New Roman"/>
        </w:rPr>
        <w:t>取</w:t>
      </w:r>
      <w:r>
        <w:rPr>
          <w:rFonts w:ascii="Times New Roman"/>
        </w:rPr>
        <w:t>6.2.3</w:t>
      </w:r>
      <w:r>
        <w:rPr>
          <w:rFonts w:hint="eastAsia" w:ascii="Times New Roman"/>
        </w:rPr>
        <w:t>制备的对照品溶液，注入高效液相色谱仪，绘制浓度</w:t>
      </w:r>
      <w:r>
        <w:rPr>
          <w:rFonts w:hAnsi="宋体"/>
        </w:rPr>
        <w:t>-</w:t>
      </w:r>
      <w:r>
        <w:rPr>
          <w:rFonts w:hint="eastAsia" w:ascii="Times New Roman"/>
        </w:rPr>
        <w:t>峰面积标准曲线。取</w:t>
      </w:r>
      <w:r>
        <w:rPr>
          <w:rFonts w:ascii="Times New Roman"/>
          <w:color w:val="000000" w:themeColor="text1"/>
          <w14:textFill>
            <w14:solidFill>
              <w14:schemeClr w14:val="tx1"/>
            </w14:solidFill>
          </w14:textFill>
        </w:rPr>
        <w:t>6.2.2.2</w:t>
      </w:r>
      <w:r>
        <w:rPr>
          <w:rFonts w:hint="eastAsia" w:ascii="Times New Roman"/>
          <w:color w:val="000000" w:themeColor="text1"/>
          <w14:textFill>
            <w14:solidFill>
              <w14:schemeClr w14:val="tx1"/>
            </w14:solidFill>
          </w14:textFill>
        </w:rPr>
        <w:t>或6</w:t>
      </w:r>
      <w:r>
        <w:rPr>
          <w:rFonts w:ascii="Times New Roman"/>
          <w:color w:val="000000" w:themeColor="text1"/>
          <w14:textFill>
            <w14:solidFill>
              <w14:schemeClr w14:val="tx1"/>
            </w14:solidFill>
          </w14:textFill>
        </w:rPr>
        <w:t>.2.2.3</w:t>
      </w:r>
      <w:r>
        <w:rPr>
          <w:rFonts w:hint="eastAsia" w:ascii="Times New Roman"/>
        </w:rPr>
        <w:t>制备的样品检验液（必要时浓缩，如采用氮吹、减压干燥等方法），同法进样分析。将检验液色谱图与对照品色谱图对比，以保留时间一致判定样品中所含的荧光物质种类。根据峰面积计算样品中所含的荧光物质含量。O</w:t>
      </w:r>
      <w:r>
        <w:rPr>
          <w:rFonts w:ascii="Times New Roman"/>
        </w:rPr>
        <w:t>B</w:t>
      </w:r>
      <w:r>
        <w:rPr>
          <w:rFonts w:hint="eastAsia" w:ascii="Times New Roman"/>
        </w:rPr>
        <w:t>、O</w:t>
      </w:r>
      <w:r>
        <w:rPr>
          <w:rFonts w:ascii="Times New Roman"/>
        </w:rPr>
        <w:t>B-1</w:t>
      </w:r>
      <w:r>
        <w:rPr>
          <w:rFonts w:hint="eastAsia" w:ascii="Times New Roman"/>
        </w:rPr>
        <w:t>等六种常见荧光物质示例图谱见附录A。</w:t>
      </w:r>
    </w:p>
    <w:p>
      <w:pPr>
        <w:spacing w:line="240" w:lineRule="auto"/>
        <w:ind w:firstLine="420" w:firstLineChars="200"/>
        <w:rPr>
          <w:rFonts w:ascii="Times New Roman" w:hAnsi="Times New Roman"/>
          <w:kern w:val="0"/>
          <w:szCs w:val="20"/>
        </w:rPr>
      </w:pPr>
      <w:r>
        <w:rPr>
          <w:rFonts w:ascii="Times New Roman" w:hAnsi="Times New Roman"/>
          <w:kern w:val="0"/>
          <w:szCs w:val="20"/>
        </w:rPr>
        <w:t>采用外标法，在液相色谱法下分别对对照液和检验液进行分析。根据对照液建立的标准工作曲线及回归方程，并</w:t>
      </w:r>
      <w:r>
        <w:rPr>
          <w:rFonts w:hint="eastAsia" w:ascii="Times New Roman" w:hAnsi="Times New Roman"/>
          <w:kern w:val="0"/>
          <w:szCs w:val="20"/>
        </w:rPr>
        <w:t>按公式（1）</w:t>
      </w:r>
      <w:r>
        <w:rPr>
          <w:rFonts w:ascii="Times New Roman" w:hAnsi="Times New Roman"/>
          <w:kern w:val="0"/>
          <w:szCs w:val="20"/>
        </w:rPr>
        <w:t>分别</w:t>
      </w:r>
      <w:r>
        <w:rPr>
          <w:rFonts w:hint="eastAsia" w:ascii="Times New Roman" w:hAnsi="Times New Roman"/>
          <w:kern w:val="0"/>
          <w:szCs w:val="20"/>
        </w:rPr>
        <w:t>计算</w:t>
      </w:r>
      <w:r>
        <w:rPr>
          <w:rFonts w:ascii="Times New Roman" w:hAnsi="Times New Roman"/>
          <w:kern w:val="0"/>
          <w:szCs w:val="20"/>
        </w:rPr>
        <w:t>样品中OB、OB-1等六种常见荧光物质的浸出量</w:t>
      </w:r>
      <w:r>
        <w:rPr>
          <w:rFonts w:hint="eastAsia" w:ascii="Times New Roman" w:hAnsi="Times New Roman"/>
          <w:kern w:val="0"/>
          <w:szCs w:val="20"/>
        </w:rPr>
        <w:t>，测定结果以</w:t>
      </w:r>
      <w:r>
        <w:rPr>
          <w:rFonts w:ascii="Times New Roman" w:hAnsi="Times New Roman"/>
          <w:kern w:val="0"/>
          <w:szCs w:val="20"/>
        </w:rPr>
        <w:t>OB、OB-1等六种常见荧光物质相对含</w:t>
      </w:r>
      <w:r>
        <w:rPr>
          <w:rFonts w:hint="eastAsia" w:ascii="Times New Roman" w:hAnsi="Times New Roman"/>
          <w:kern w:val="0"/>
          <w:szCs w:val="20"/>
        </w:rPr>
        <w:t>量表示。</w:t>
      </w:r>
    </w:p>
    <w:p>
      <w:pPr>
        <w:spacing w:line="240" w:lineRule="auto"/>
        <w:ind w:firstLine="420" w:firstLineChars="200"/>
        <w:rPr>
          <w:rFonts w:ascii="Times New Roman" w:hAnsi="Times New Roman"/>
          <w:kern w:val="0"/>
          <w:szCs w:val="20"/>
        </w:rPr>
      </w:pPr>
    </w:p>
    <w:p>
      <w:pPr>
        <w:spacing w:line="240" w:lineRule="auto"/>
        <w:jc w:val="center"/>
        <w:rPr>
          <w:rFonts w:ascii="Times New Roman" w:hAnsi="Times New Roman"/>
          <w:kern w:val="0"/>
          <w:szCs w:val="20"/>
        </w:rPr>
      </w:pPr>
      <w:r>
        <w:rPr>
          <w:rFonts w:hint="eastAsia" w:ascii="Times New Roman" w:hAnsi="Times New Roman"/>
          <w:kern w:val="0"/>
          <w:szCs w:val="20"/>
        </w:rPr>
        <w:t xml:space="preserve"> </w:t>
      </w:r>
      <w:r>
        <w:rPr>
          <w:rFonts w:ascii="Times New Roman" w:hAnsi="Times New Roman"/>
          <w:kern w:val="0"/>
          <w:szCs w:val="20"/>
        </w:rPr>
        <w:t xml:space="preserve">                            </w:t>
      </w:r>
      <m:oMath>
        <m:r>
          <m:rPr>
            <m:sty m:val="p"/>
          </m:rPr>
          <w:rPr>
            <w:rFonts w:ascii="Cambria Math" w:hAnsi="Cambria Math"/>
            <w:kern w:val="0"/>
            <w:szCs w:val="20"/>
          </w:rPr>
          <m:t>W=</m:t>
        </m:r>
      </m:oMath>
      <w:r>
        <w:rPr>
          <w:rFonts w:ascii="Times New Roman" w:hAnsi="Times New Roman"/>
          <w:kern w:val="0"/>
          <w:szCs w:val="20"/>
        </w:rPr>
        <w:t>ρV/m</w:t>
      </w:r>
      <w:r>
        <w:rPr>
          <w:rFonts w:hint="eastAsia" w:ascii="宋体" w:hAnsi="宋体" w:cs="宋体"/>
          <w:i/>
          <w:color w:val="000000" w:themeColor="text1"/>
          <w14:textFill>
            <w14:solidFill>
              <w14:schemeClr w14:val="tx1"/>
            </w14:solidFill>
          </w14:textFill>
        </w:rPr>
        <w:t xml:space="preserve">  </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（1）</w:t>
      </w:r>
    </w:p>
    <w:p>
      <w:pPr>
        <w:spacing w:line="240" w:lineRule="auto"/>
        <w:ind w:firstLine="420" w:firstLineChars="200"/>
        <w:jc w:val="left"/>
        <w:rPr>
          <w:rFonts w:ascii="Times New Roman" w:hAnsi="Times New Roman"/>
          <w:kern w:val="0"/>
          <w:szCs w:val="20"/>
        </w:rPr>
      </w:pPr>
      <w:r>
        <w:rPr>
          <w:rFonts w:ascii="Times New Roman" w:hAnsi="Times New Roman"/>
          <w:kern w:val="0"/>
          <w:szCs w:val="20"/>
        </w:rPr>
        <w:t>式中：</w:t>
      </w:r>
    </w:p>
    <w:p>
      <w:pPr>
        <w:spacing w:line="240" w:lineRule="auto"/>
        <w:ind w:left="840" w:leftChars="200" w:hanging="420" w:hangingChars="200"/>
        <w:jc w:val="left"/>
        <w:rPr>
          <w:rFonts w:ascii="Times New Roman" w:hAnsi="Times New Roman"/>
          <w:kern w:val="0"/>
          <w:szCs w:val="20"/>
        </w:rPr>
      </w:pPr>
      <w:r>
        <w:rPr>
          <w:rFonts w:ascii="Times New Roman" w:hAnsi="Times New Roman"/>
          <w:kern w:val="0"/>
          <w:szCs w:val="20"/>
        </w:rPr>
        <w:t>W</w:t>
      </w:r>
      <w:r>
        <w:rPr>
          <w:rFonts w:hint="eastAsia" w:ascii="Times New Roman" w:hAnsi="Times New Roman"/>
          <w:kern w:val="0"/>
          <w:szCs w:val="20"/>
        </w:rPr>
        <w:t>——</w:t>
      </w:r>
      <w:r>
        <w:rPr>
          <w:rFonts w:ascii="Times New Roman" w:hAnsi="Times New Roman"/>
          <w:kern w:val="0"/>
          <w:szCs w:val="20"/>
        </w:rPr>
        <w:t>单位产品中六种常见荧光物质相对含量，单位为微克每克（μg/g）或微克每平方厘米（μg/cm</w:t>
      </w:r>
      <w:r>
        <w:rPr>
          <w:rFonts w:ascii="Times New Roman" w:hAnsi="Times New Roman"/>
          <w:kern w:val="0"/>
          <w:szCs w:val="20"/>
          <w:vertAlign w:val="superscript"/>
        </w:rPr>
        <w:t>2</w:t>
      </w:r>
      <w:r>
        <w:rPr>
          <w:rFonts w:ascii="Times New Roman" w:hAnsi="Times New Roman"/>
          <w:kern w:val="0"/>
          <w:szCs w:val="20"/>
        </w:rPr>
        <w:t>）</w:t>
      </w:r>
      <w:r>
        <w:rPr>
          <w:rFonts w:hint="eastAsia" w:ascii="Times New Roman" w:hAnsi="Times New Roman"/>
          <w:kern w:val="0"/>
          <w:szCs w:val="20"/>
        </w:rPr>
        <w:t>；</w:t>
      </w:r>
    </w:p>
    <w:p>
      <w:pPr>
        <w:spacing w:line="240" w:lineRule="auto"/>
        <w:ind w:left="840" w:leftChars="200" w:hanging="420" w:hangingChars="200"/>
        <w:jc w:val="left"/>
        <w:rPr>
          <w:rFonts w:ascii="Times New Roman" w:hAnsi="Times New Roman"/>
          <w:kern w:val="0"/>
          <w:szCs w:val="20"/>
        </w:rPr>
      </w:pPr>
      <w:r>
        <w:rPr>
          <w:rFonts w:ascii="Times New Roman" w:hAnsi="Times New Roman"/>
          <w:kern w:val="0"/>
          <w:szCs w:val="20"/>
        </w:rPr>
        <w:t>ρ</w:t>
      </w:r>
      <w:r>
        <w:rPr>
          <w:rFonts w:hint="eastAsia" w:ascii="Times New Roman" w:hAnsi="Times New Roman"/>
          <w:kern w:val="0"/>
          <w:szCs w:val="20"/>
        </w:rPr>
        <w:t>——</w:t>
      </w:r>
      <w:r>
        <w:rPr>
          <w:rFonts w:ascii="Times New Roman" w:hAnsi="Times New Roman"/>
          <w:kern w:val="0"/>
          <w:szCs w:val="20"/>
        </w:rPr>
        <w:t>标准曲线上找出的检验液中六种常见荧光物质相应的质量浓度中相对含量，单位为微克每毫升（μg/mL）</w:t>
      </w:r>
      <w:r>
        <w:rPr>
          <w:rFonts w:hint="eastAsia" w:ascii="Times New Roman" w:hAnsi="Times New Roman"/>
          <w:kern w:val="0"/>
          <w:szCs w:val="20"/>
        </w:rPr>
        <w:t>；</w:t>
      </w:r>
    </w:p>
    <w:p>
      <w:pPr>
        <w:spacing w:line="240" w:lineRule="auto"/>
        <w:ind w:firstLine="420" w:firstLineChars="200"/>
        <w:jc w:val="left"/>
        <w:rPr>
          <w:rFonts w:ascii="Times New Roman" w:hAnsi="Times New Roman"/>
          <w:kern w:val="0"/>
          <w:szCs w:val="20"/>
        </w:rPr>
      </w:pPr>
      <w:r>
        <w:rPr>
          <w:rFonts w:hint="eastAsia" w:ascii="Times New Roman" w:hAnsi="Times New Roman"/>
          <w:kern w:val="0"/>
          <w:szCs w:val="20"/>
        </w:rPr>
        <w:t>m——样品的取样量，单位为克（g）或平方厘米（cm</w:t>
      </w:r>
      <w:r>
        <w:rPr>
          <w:rFonts w:ascii="Times New Roman" w:hAnsi="Times New Roman"/>
          <w:kern w:val="0"/>
          <w:szCs w:val="20"/>
          <w:vertAlign w:val="superscript"/>
        </w:rPr>
        <w:t>2</w:t>
      </w:r>
      <w:r>
        <w:rPr>
          <w:rFonts w:hint="eastAsia" w:ascii="Times New Roman" w:hAnsi="Times New Roman"/>
          <w:kern w:val="0"/>
          <w:szCs w:val="20"/>
        </w:rPr>
        <w:t>）；</w:t>
      </w:r>
    </w:p>
    <w:p>
      <w:pPr>
        <w:spacing w:line="240" w:lineRule="auto"/>
        <w:ind w:firstLine="420" w:firstLineChars="200"/>
        <w:jc w:val="left"/>
        <w:rPr>
          <w:rFonts w:ascii="Times New Roman" w:hAnsi="Times New Roman"/>
          <w:kern w:val="0"/>
          <w:szCs w:val="20"/>
        </w:rPr>
      </w:pPr>
      <w:r>
        <w:rPr>
          <w:rFonts w:hint="eastAsia" w:ascii="Times New Roman" w:hAnsi="Times New Roman"/>
          <w:kern w:val="0"/>
          <w:szCs w:val="20"/>
        </w:rPr>
        <w:t>V——标准曲线上找出的</w:t>
      </w:r>
      <w:r>
        <w:rPr>
          <w:rFonts w:ascii="Times New Roman" w:hAnsi="Times New Roman"/>
          <w:kern w:val="0"/>
          <w:szCs w:val="20"/>
        </w:rPr>
        <w:t>检验液</w:t>
      </w:r>
      <w:r>
        <w:rPr>
          <w:rFonts w:hint="eastAsia" w:ascii="Times New Roman" w:hAnsi="Times New Roman"/>
          <w:kern w:val="0"/>
          <w:szCs w:val="20"/>
        </w:rPr>
        <w:t>相应的体积（m</w:t>
      </w:r>
      <w:r>
        <w:rPr>
          <w:rFonts w:ascii="Times New Roman" w:hAnsi="Times New Roman"/>
          <w:kern w:val="0"/>
          <w:szCs w:val="20"/>
        </w:rPr>
        <w:t>L</w:t>
      </w:r>
      <w:r>
        <w:rPr>
          <w:rFonts w:hint="eastAsia" w:ascii="Times New Roman" w:hAnsi="Times New Roman"/>
          <w:kern w:val="0"/>
          <w:szCs w:val="20"/>
        </w:rPr>
        <w:t>）。</w:t>
      </w:r>
    </w:p>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sectPr>
          <w:pgSz w:w="11906" w:h="16838"/>
          <w:pgMar w:top="2410" w:right="1134" w:bottom="1134" w:left="1134" w:header="1418" w:footer="1134" w:gutter="284"/>
          <w:pgNumType w:start="1"/>
          <w:cols w:space="425" w:num="1"/>
          <w:formProt w:val="0"/>
          <w:docGrid w:type="lines" w:linePitch="312" w:charSpace="0"/>
        </w:sectPr>
      </w:pPr>
    </w:p>
    <w:bookmarkEnd w:id="33"/>
    <w:p>
      <w:pPr>
        <w:pStyle w:val="198"/>
        <w:rPr>
          <w:vanish w:val="0"/>
        </w:rPr>
      </w:pPr>
      <w:bookmarkStart w:id="124" w:name="BookMark5"/>
    </w:p>
    <w:p>
      <w:pPr>
        <w:pStyle w:val="199"/>
        <w:rPr>
          <w:vanish w:val="0"/>
        </w:rPr>
      </w:pPr>
    </w:p>
    <w:p>
      <w:pPr>
        <w:pStyle w:val="76"/>
        <w:spacing w:before="78" w:after="156"/>
      </w:pPr>
      <w:r>
        <w:br w:type="textWrapping"/>
      </w:r>
      <w:bookmarkStart w:id="125" w:name="_Toc149313192"/>
      <w:bookmarkStart w:id="126" w:name="_Toc149313215"/>
      <w:bookmarkStart w:id="127" w:name="_Toc149312253"/>
      <w:bookmarkStart w:id="128" w:name="_Toc149312241"/>
      <w:bookmarkStart w:id="129" w:name="_Toc149312323"/>
      <w:bookmarkStart w:id="130" w:name="_Toc149313262"/>
      <w:bookmarkStart w:id="131" w:name="_Toc149312397"/>
      <w:r>
        <w:rPr>
          <w:rFonts w:hint="eastAsia"/>
        </w:rPr>
        <w:t>（资料性）</w:t>
      </w:r>
      <w:r>
        <w:br w:type="textWrapping"/>
      </w:r>
      <w:r>
        <w:rPr>
          <w:rFonts w:hint="eastAsia"/>
        </w:rPr>
        <w:t>示例图谱</w:t>
      </w:r>
      <w:bookmarkEnd w:id="125"/>
      <w:bookmarkEnd w:id="126"/>
      <w:bookmarkEnd w:id="127"/>
      <w:bookmarkEnd w:id="128"/>
      <w:bookmarkEnd w:id="129"/>
      <w:bookmarkEnd w:id="130"/>
      <w:bookmarkEnd w:id="131"/>
    </w:p>
    <w:p>
      <w:pPr>
        <w:pStyle w:val="56"/>
        <w:ind w:firstLine="420"/>
      </w:pPr>
      <w:r>
        <w:rPr>
          <w:rFonts w:ascii="Times New Roman"/>
        </w:rPr>
        <w:drawing>
          <wp:inline distT="0" distB="0" distL="0" distR="0">
            <wp:extent cx="5274310" cy="36195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274310" cy="3619500"/>
                    </a:xfrm>
                    <a:prstGeom prst="rect">
                      <a:avLst/>
                    </a:prstGeom>
                  </pic:spPr>
                </pic:pic>
              </a:graphicData>
            </a:graphic>
          </wp:inline>
        </w:drawing>
      </w:r>
    </w:p>
    <w:p>
      <w:pPr>
        <w:pStyle w:val="56"/>
        <w:ind w:firstLine="420"/>
      </w:pPr>
    </w:p>
    <w:p>
      <w:pPr>
        <w:pStyle w:val="114"/>
        <w:numPr>
          <w:ilvl w:val="0"/>
          <w:numId w:val="0"/>
        </w:numPr>
        <w:spacing w:before="156" w:after="156"/>
      </w:pPr>
      <w:bookmarkStart w:id="132" w:name="_Toc149312325"/>
      <w:bookmarkStart w:id="133" w:name="_Toc149312399"/>
      <w:bookmarkStart w:id="134" w:name="_Toc149312243"/>
      <w:bookmarkStart w:id="135" w:name="_Toc149312255"/>
      <w:r>
        <w:rPr>
          <w:rFonts w:hint="eastAsia"/>
        </w:rPr>
        <w:t>图</w:t>
      </w:r>
      <w:r>
        <w:t xml:space="preserve">A.1 </w:t>
      </w:r>
      <w:r>
        <w:rPr>
          <w:rFonts w:hint="eastAsia"/>
        </w:rPr>
        <w:t>O</w:t>
      </w:r>
      <w:r>
        <w:t>B</w:t>
      </w:r>
      <w:r>
        <w:rPr>
          <w:rFonts w:hint="eastAsia"/>
        </w:rPr>
        <w:t>、O</w:t>
      </w:r>
      <w:r>
        <w:t>B-1</w:t>
      </w:r>
      <w:r>
        <w:rPr>
          <w:rFonts w:hint="eastAsia"/>
        </w:rPr>
        <w:t>等六种常见荧光物质示例图谱</w:t>
      </w:r>
      <w:bookmarkEnd w:id="132"/>
      <w:bookmarkEnd w:id="133"/>
      <w:bookmarkEnd w:id="134"/>
      <w:bookmarkEnd w:id="135"/>
    </w:p>
    <w:p>
      <w:pPr>
        <w:pStyle w:val="56"/>
        <w:ind w:firstLine="420"/>
      </w:pPr>
    </w:p>
    <w:p>
      <w:pPr>
        <w:pStyle w:val="56"/>
        <w:ind w:firstLine="420"/>
      </w:pPr>
    </w:p>
    <w:bookmarkEnd w:id="124"/>
    <w:p>
      <w:pPr>
        <w:pStyle w:val="56"/>
        <w:ind w:firstLine="420"/>
        <w:rPr>
          <w:rFonts w:ascii="Times New Roman"/>
        </w:rPr>
        <w:sectPr>
          <w:pgSz w:w="11906" w:h="16838"/>
          <w:pgMar w:top="2410" w:right="1134" w:bottom="1134" w:left="1134" w:header="1418" w:footer="1134" w:gutter="284"/>
          <w:cols w:space="425" w:num="1"/>
          <w:formProt w:val="0"/>
          <w:docGrid w:type="lines" w:linePitch="312" w:charSpace="0"/>
        </w:sectPr>
      </w:pPr>
      <w:bookmarkStart w:id="136" w:name="BookMark6"/>
    </w:p>
    <w:p>
      <w:pPr>
        <w:pStyle w:val="63"/>
        <w:spacing w:before="124" w:after="156"/>
        <w:rPr>
          <w:rFonts w:ascii="Times New Roman" w:hAnsi="Times New Roman"/>
        </w:rPr>
      </w:pPr>
      <w:bookmarkStart w:id="137" w:name="_Toc149312324"/>
      <w:bookmarkStart w:id="138" w:name="_Toc149312254"/>
      <w:bookmarkStart w:id="139" w:name="_Toc149312398"/>
      <w:bookmarkStart w:id="140" w:name="_Toc149313263"/>
      <w:bookmarkStart w:id="141" w:name="_Toc149313193"/>
      <w:bookmarkStart w:id="142" w:name="_Toc149312242"/>
      <w:bookmarkStart w:id="143" w:name="_Toc149313216"/>
      <w:r>
        <w:rPr>
          <w:rFonts w:hint="eastAsia" w:ascii="Times New Roman" w:hAnsi="Times New Roman"/>
          <w:spacing w:val="105"/>
        </w:rPr>
        <w:t>参考文</w:t>
      </w:r>
      <w:r>
        <w:rPr>
          <w:rFonts w:hint="eastAsia" w:ascii="Times New Roman" w:hAnsi="Times New Roman"/>
        </w:rPr>
        <w:t>献</w:t>
      </w:r>
      <w:bookmarkEnd w:id="137"/>
      <w:bookmarkEnd w:id="138"/>
      <w:bookmarkEnd w:id="139"/>
      <w:bookmarkEnd w:id="140"/>
      <w:bookmarkEnd w:id="141"/>
      <w:bookmarkEnd w:id="142"/>
      <w:bookmarkEnd w:id="143"/>
    </w:p>
    <w:p>
      <w:pPr>
        <w:pStyle w:val="109"/>
        <w:numPr>
          <w:ilvl w:val="0"/>
          <w:numId w:val="0"/>
        </w:numPr>
        <w:ind w:left="425" w:hanging="425"/>
        <w:rPr>
          <w:rFonts w:ascii="Times New Roman"/>
        </w:rPr>
      </w:pPr>
      <w:r>
        <w:rPr>
          <w:rFonts w:ascii="Times New Roman"/>
        </w:rPr>
        <w:t xml:space="preserve">[1] </w:t>
      </w:r>
      <w:r>
        <w:rPr>
          <w:rFonts w:hint="eastAsia" w:ascii="Times New Roman"/>
        </w:rPr>
        <w:t>GB/T 14</w:t>
      </w:r>
      <w:r>
        <w:rPr>
          <w:rFonts w:ascii="Times New Roman"/>
        </w:rPr>
        <w:t>233</w:t>
      </w:r>
      <w:r>
        <w:rPr>
          <w:rFonts w:hint="eastAsia" w:ascii="Times New Roman"/>
        </w:rPr>
        <w:t>.</w:t>
      </w:r>
      <w:r>
        <w:rPr>
          <w:rFonts w:ascii="Times New Roman"/>
        </w:rPr>
        <w:t xml:space="preserve">1 </w:t>
      </w:r>
      <w:r>
        <w:rPr>
          <w:rFonts w:hint="eastAsia" w:ascii="Times New Roman"/>
        </w:rPr>
        <w:t>医用输液、输血、注射器具检验方法 第1部分：化学分析方法</w:t>
      </w:r>
    </w:p>
    <w:p>
      <w:pPr>
        <w:pStyle w:val="109"/>
        <w:numPr>
          <w:ilvl w:val="0"/>
          <w:numId w:val="0"/>
        </w:numPr>
        <w:ind w:left="425" w:hanging="425"/>
        <w:rPr>
          <w:rFonts w:ascii="Times New Roman"/>
        </w:rPr>
      </w:pPr>
      <w:r>
        <w:rPr>
          <w:rFonts w:ascii="Times New Roman"/>
        </w:rPr>
        <w:t>[2] 中华人民共和国药典</w:t>
      </w:r>
      <w:r>
        <w:rPr>
          <w:rFonts w:hint="eastAsia" w:ascii="Times New Roman"/>
        </w:rPr>
        <w:t>2</w:t>
      </w:r>
      <w:r>
        <w:rPr>
          <w:rFonts w:ascii="Times New Roman"/>
        </w:rPr>
        <w:t>020版</w:t>
      </w:r>
      <w:r>
        <w:rPr>
          <w:rFonts w:hint="eastAsia" w:ascii="Times New Roman"/>
        </w:rPr>
        <w:t>（四部）</w:t>
      </w:r>
    </w:p>
    <w:p>
      <w:pPr>
        <w:pStyle w:val="109"/>
        <w:numPr>
          <w:ilvl w:val="0"/>
          <w:numId w:val="0"/>
        </w:numPr>
        <w:ind w:left="420" w:hanging="420" w:hangingChars="200"/>
        <w:rPr>
          <w:rFonts w:ascii="Times New Roman"/>
        </w:rPr>
      </w:pPr>
      <w:r>
        <w:rPr>
          <w:rFonts w:ascii="Times New Roman"/>
        </w:rPr>
        <w:t xml:space="preserve">[3] </w:t>
      </w:r>
      <w:r>
        <w:rPr>
          <w:rFonts w:hint="eastAsia" w:ascii="Times New Roman" w:cs="Arial"/>
          <w:color w:val="191919"/>
          <w:shd w:val="clear" w:color="auto" w:fill="FFFFFF"/>
        </w:rPr>
        <w:t>国家</w:t>
      </w:r>
      <w:r>
        <w:rPr>
          <w:rFonts w:ascii="Times New Roman" w:cs="Arial"/>
          <w:color w:val="191919"/>
          <w:shd w:val="clear" w:color="auto" w:fill="FFFFFF"/>
        </w:rPr>
        <w:t>药监局关于发布聚氯乙烯输液输血器具中荧光物质识别及定量补充检验方法的公告（2017年第110号）</w:t>
      </w:r>
    </w:p>
    <w:p>
      <w:pPr>
        <w:pStyle w:val="109"/>
        <w:numPr>
          <w:ilvl w:val="0"/>
          <w:numId w:val="0"/>
        </w:numPr>
        <w:ind w:left="1276"/>
        <w:rPr>
          <w:rFonts w:ascii="Times New Roman"/>
        </w:rPr>
      </w:pPr>
    </w:p>
    <w:p>
      <w:pPr>
        <w:pStyle w:val="56"/>
        <w:ind w:firstLine="420"/>
        <w:rPr>
          <w:rFonts w:ascii="Times New Roman"/>
        </w:rPr>
      </w:pPr>
    </w:p>
    <w:p>
      <w:pPr>
        <w:pStyle w:val="56"/>
        <w:ind w:firstLine="420"/>
        <w:rPr>
          <w:rFonts w:ascii="Times New Roman"/>
        </w:rPr>
      </w:pPr>
    </w:p>
    <w:bookmarkEnd w:id="136"/>
    <w:p>
      <w:pPr>
        <w:pStyle w:val="56"/>
        <w:ind w:firstLine="0" w:firstLineChars="0"/>
        <w:jc w:val="center"/>
        <w:rPr>
          <w:rFonts w:ascii="Times New Roman"/>
        </w:rPr>
      </w:pPr>
      <w:bookmarkStart w:id="144" w:name="BookMark8"/>
      <w:r>
        <w:rPr>
          <w:rFonts w:ascii="Times New Roman"/>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4"/>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2"/>
        </w:tabs>
        <w:ind w:left="852"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567" w:firstLine="0"/>
      </w:pPr>
      <w:rPr>
        <w:rFonts w:hint="eastAsia" w:ascii="黑体" w:eastAsia="黑体"/>
        <w:b w:val="0"/>
        <w:i w:val="0"/>
        <w:sz w:val="21"/>
      </w:rPr>
    </w:lvl>
    <w:lvl w:ilvl="2" w:tentative="0">
      <w:start w:val="1"/>
      <w:numFmt w:val="decimal"/>
      <w:pStyle w:val="105"/>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4537"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color w:val="auto"/>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xIw9PpDYFhy7p9/qFBO45Hu2PP6W8xudpt8sviNR6MvEDrUpcMEMQPHYvoKfsptidhCxcqhNWguXf598NYa4ZQ==" w:salt="REh80QbE9/+sPbxKkVBfN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5F20B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2D0"/>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E78"/>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21"/>
    <w:rsid w:val="000C1492"/>
    <w:rsid w:val="000C2FBD"/>
    <w:rsid w:val="000C4B41"/>
    <w:rsid w:val="000C57D6"/>
    <w:rsid w:val="000C6362"/>
    <w:rsid w:val="000C7666"/>
    <w:rsid w:val="000D0A9C"/>
    <w:rsid w:val="000D1795"/>
    <w:rsid w:val="000D329A"/>
    <w:rsid w:val="000D3C1C"/>
    <w:rsid w:val="000D4B9C"/>
    <w:rsid w:val="000D4EB6"/>
    <w:rsid w:val="000D753B"/>
    <w:rsid w:val="000E4C9E"/>
    <w:rsid w:val="000E5365"/>
    <w:rsid w:val="000E6FD7"/>
    <w:rsid w:val="000F06E1"/>
    <w:rsid w:val="000F0E3C"/>
    <w:rsid w:val="000F0ECB"/>
    <w:rsid w:val="000F19D5"/>
    <w:rsid w:val="000F2538"/>
    <w:rsid w:val="000F4AEA"/>
    <w:rsid w:val="000F633F"/>
    <w:rsid w:val="000F67E9"/>
    <w:rsid w:val="00104926"/>
    <w:rsid w:val="00111B72"/>
    <w:rsid w:val="00113B1E"/>
    <w:rsid w:val="0011711C"/>
    <w:rsid w:val="0012059C"/>
    <w:rsid w:val="001227B1"/>
    <w:rsid w:val="00123C46"/>
    <w:rsid w:val="00124E4F"/>
    <w:rsid w:val="001260B7"/>
    <w:rsid w:val="001265CB"/>
    <w:rsid w:val="00127793"/>
    <w:rsid w:val="001321C6"/>
    <w:rsid w:val="001325C4"/>
    <w:rsid w:val="00133010"/>
    <w:rsid w:val="00133439"/>
    <w:rsid w:val="001338EE"/>
    <w:rsid w:val="00133AAE"/>
    <w:rsid w:val="00134314"/>
    <w:rsid w:val="00135323"/>
    <w:rsid w:val="001356C4"/>
    <w:rsid w:val="00141114"/>
    <w:rsid w:val="00142969"/>
    <w:rsid w:val="001446C2"/>
    <w:rsid w:val="001457E7"/>
    <w:rsid w:val="00145D9D"/>
    <w:rsid w:val="00146388"/>
    <w:rsid w:val="0015091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01B5"/>
    <w:rsid w:val="001913C4"/>
    <w:rsid w:val="0019348F"/>
    <w:rsid w:val="00193A07"/>
    <w:rsid w:val="00194C95"/>
    <w:rsid w:val="00195C34"/>
    <w:rsid w:val="00195CFA"/>
    <w:rsid w:val="00196EF5"/>
    <w:rsid w:val="001A1A53"/>
    <w:rsid w:val="001A234A"/>
    <w:rsid w:val="001A4CF3"/>
    <w:rsid w:val="001B06E8"/>
    <w:rsid w:val="001B71D0"/>
    <w:rsid w:val="001B71EE"/>
    <w:rsid w:val="001C04A8"/>
    <w:rsid w:val="001C2C03"/>
    <w:rsid w:val="001C42F7"/>
    <w:rsid w:val="001C49E5"/>
    <w:rsid w:val="001C680C"/>
    <w:rsid w:val="001C6A0B"/>
    <w:rsid w:val="001C6D77"/>
    <w:rsid w:val="001C7FEA"/>
    <w:rsid w:val="001D0499"/>
    <w:rsid w:val="001D0BBE"/>
    <w:rsid w:val="001D0ED4"/>
    <w:rsid w:val="001D212F"/>
    <w:rsid w:val="001D29D7"/>
    <w:rsid w:val="001D2DE7"/>
    <w:rsid w:val="001D411C"/>
    <w:rsid w:val="001E1B6A"/>
    <w:rsid w:val="001E2484"/>
    <w:rsid w:val="001E311F"/>
    <w:rsid w:val="001E3CC4"/>
    <w:rsid w:val="001E4882"/>
    <w:rsid w:val="001E73AB"/>
    <w:rsid w:val="001F092D"/>
    <w:rsid w:val="001F143A"/>
    <w:rsid w:val="001F1605"/>
    <w:rsid w:val="001F2508"/>
    <w:rsid w:val="001F4816"/>
    <w:rsid w:val="001F4EE9"/>
    <w:rsid w:val="001F6030"/>
    <w:rsid w:val="001F69B4"/>
    <w:rsid w:val="001F77C7"/>
    <w:rsid w:val="00200183"/>
    <w:rsid w:val="00200333"/>
    <w:rsid w:val="0020107D"/>
    <w:rsid w:val="00202AA4"/>
    <w:rsid w:val="002031F7"/>
    <w:rsid w:val="002040E6"/>
    <w:rsid w:val="0020527B"/>
    <w:rsid w:val="00205F2C"/>
    <w:rsid w:val="00207F37"/>
    <w:rsid w:val="00210B15"/>
    <w:rsid w:val="00212F1E"/>
    <w:rsid w:val="002142EA"/>
    <w:rsid w:val="002204BB"/>
    <w:rsid w:val="00221B79"/>
    <w:rsid w:val="00221C6B"/>
    <w:rsid w:val="002253A1"/>
    <w:rsid w:val="00225830"/>
    <w:rsid w:val="00225CF8"/>
    <w:rsid w:val="00226A0F"/>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44F"/>
    <w:rsid w:val="00264A0C"/>
    <w:rsid w:val="00265575"/>
    <w:rsid w:val="00266EEB"/>
    <w:rsid w:val="00267EF4"/>
    <w:rsid w:val="00270CB8"/>
    <w:rsid w:val="00272B08"/>
    <w:rsid w:val="00275537"/>
    <w:rsid w:val="00281BB8"/>
    <w:rsid w:val="00281E9E"/>
    <w:rsid w:val="00282405"/>
    <w:rsid w:val="00285170"/>
    <w:rsid w:val="00285361"/>
    <w:rsid w:val="002900ED"/>
    <w:rsid w:val="0029134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2C"/>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7F7"/>
    <w:rsid w:val="0030441D"/>
    <w:rsid w:val="0030575E"/>
    <w:rsid w:val="00306063"/>
    <w:rsid w:val="003061FC"/>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538B"/>
    <w:rsid w:val="003615D2"/>
    <w:rsid w:val="0036429C"/>
    <w:rsid w:val="00364A53"/>
    <w:rsid w:val="003654CB"/>
    <w:rsid w:val="00365AA9"/>
    <w:rsid w:val="00365B29"/>
    <w:rsid w:val="00365F86"/>
    <w:rsid w:val="00365F87"/>
    <w:rsid w:val="00366E89"/>
    <w:rsid w:val="003705F4"/>
    <w:rsid w:val="00370D58"/>
    <w:rsid w:val="00371316"/>
    <w:rsid w:val="003756E0"/>
    <w:rsid w:val="00376713"/>
    <w:rsid w:val="00381815"/>
    <w:rsid w:val="003819AF"/>
    <w:rsid w:val="003820E9"/>
    <w:rsid w:val="00382DE7"/>
    <w:rsid w:val="00383118"/>
    <w:rsid w:val="00384FFC"/>
    <w:rsid w:val="0038529F"/>
    <w:rsid w:val="003872FC"/>
    <w:rsid w:val="00387ADC"/>
    <w:rsid w:val="00390020"/>
    <w:rsid w:val="00390294"/>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42A6"/>
    <w:rsid w:val="003D4D5E"/>
    <w:rsid w:val="003D6D61"/>
    <w:rsid w:val="003E091D"/>
    <w:rsid w:val="003E1C53"/>
    <w:rsid w:val="003E2A69"/>
    <w:rsid w:val="003E2D49"/>
    <w:rsid w:val="003E2FD4"/>
    <w:rsid w:val="003E49F6"/>
    <w:rsid w:val="003E660F"/>
    <w:rsid w:val="003F0841"/>
    <w:rsid w:val="003F23D3"/>
    <w:rsid w:val="003F3F08"/>
    <w:rsid w:val="003F49F1"/>
    <w:rsid w:val="003F6272"/>
    <w:rsid w:val="003F7824"/>
    <w:rsid w:val="00400E72"/>
    <w:rsid w:val="00401400"/>
    <w:rsid w:val="00404869"/>
    <w:rsid w:val="00405884"/>
    <w:rsid w:val="00407D39"/>
    <w:rsid w:val="0041477A"/>
    <w:rsid w:val="004167A3"/>
    <w:rsid w:val="00432DAA"/>
    <w:rsid w:val="00434305"/>
    <w:rsid w:val="00434AD4"/>
    <w:rsid w:val="00435DF7"/>
    <w:rsid w:val="0044083F"/>
    <w:rsid w:val="00441AE7"/>
    <w:rsid w:val="00445574"/>
    <w:rsid w:val="004467FB"/>
    <w:rsid w:val="00452D6B"/>
    <w:rsid w:val="00454484"/>
    <w:rsid w:val="0045517B"/>
    <w:rsid w:val="00461B6E"/>
    <w:rsid w:val="00463B77"/>
    <w:rsid w:val="00463C7B"/>
    <w:rsid w:val="004644A6"/>
    <w:rsid w:val="004659BD"/>
    <w:rsid w:val="00470775"/>
    <w:rsid w:val="004746B1"/>
    <w:rsid w:val="0047583F"/>
    <w:rsid w:val="00475DE8"/>
    <w:rsid w:val="00477D7B"/>
    <w:rsid w:val="00481C44"/>
    <w:rsid w:val="00484936"/>
    <w:rsid w:val="00485C89"/>
    <w:rsid w:val="00486BE3"/>
    <w:rsid w:val="004905E4"/>
    <w:rsid w:val="00490A89"/>
    <w:rsid w:val="00490AB4"/>
    <w:rsid w:val="00492F02"/>
    <w:rsid w:val="004939AE"/>
    <w:rsid w:val="004A12DF"/>
    <w:rsid w:val="004A17E6"/>
    <w:rsid w:val="004A1BA8"/>
    <w:rsid w:val="004A4B57"/>
    <w:rsid w:val="004A55C3"/>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5B9E"/>
    <w:rsid w:val="004E67C0"/>
    <w:rsid w:val="004F391A"/>
    <w:rsid w:val="004F3CFB"/>
    <w:rsid w:val="004F6456"/>
    <w:rsid w:val="004F696E"/>
    <w:rsid w:val="004F6C71"/>
    <w:rsid w:val="00501139"/>
    <w:rsid w:val="0050363E"/>
    <w:rsid w:val="005039BC"/>
    <w:rsid w:val="005043BB"/>
    <w:rsid w:val="00504A3D"/>
    <w:rsid w:val="00505767"/>
    <w:rsid w:val="00507051"/>
    <w:rsid w:val="005072A2"/>
    <w:rsid w:val="005073F0"/>
    <w:rsid w:val="00510A7B"/>
    <w:rsid w:val="00512F6E"/>
    <w:rsid w:val="00513038"/>
    <w:rsid w:val="00514174"/>
    <w:rsid w:val="00516088"/>
    <w:rsid w:val="005164C6"/>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C31"/>
    <w:rsid w:val="005479DA"/>
    <w:rsid w:val="00547BCC"/>
    <w:rsid w:val="0055013B"/>
    <w:rsid w:val="00551F6F"/>
    <w:rsid w:val="00555044"/>
    <w:rsid w:val="00561475"/>
    <w:rsid w:val="0056487B"/>
    <w:rsid w:val="00564FB9"/>
    <w:rsid w:val="00567AAE"/>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4DD7"/>
    <w:rsid w:val="005B51CE"/>
    <w:rsid w:val="005B5885"/>
    <w:rsid w:val="005B5CD7"/>
    <w:rsid w:val="005B6CF6"/>
    <w:rsid w:val="005B7422"/>
    <w:rsid w:val="005C29B8"/>
    <w:rsid w:val="005C2A50"/>
    <w:rsid w:val="005C3CA1"/>
    <w:rsid w:val="005C5F21"/>
    <w:rsid w:val="005C661A"/>
    <w:rsid w:val="005C7156"/>
    <w:rsid w:val="005D0C75"/>
    <w:rsid w:val="005D4171"/>
    <w:rsid w:val="005D6A95"/>
    <w:rsid w:val="005D6B2C"/>
    <w:rsid w:val="005D6D9C"/>
    <w:rsid w:val="005E2335"/>
    <w:rsid w:val="005E25B8"/>
    <w:rsid w:val="005E34CA"/>
    <w:rsid w:val="005E3C18"/>
    <w:rsid w:val="005E6812"/>
    <w:rsid w:val="005E7881"/>
    <w:rsid w:val="005E78E0"/>
    <w:rsid w:val="005F0D9C"/>
    <w:rsid w:val="005F20BE"/>
    <w:rsid w:val="005F284E"/>
    <w:rsid w:val="005F4712"/>
    <w:rsid w:val="006015CE"/>
    <w:rsid w:val="00604784"/>
    <w:rsid w:val="00606419"/>
    <w:rsid w:val="00607D29"/>
    <w:rsid w:val="00612952"/>
    <w:rsid w:val="00612B88"/>
    <w:rsid w:val="00612EA0"/>
    <w:rsid w:val="00614CC1"/>
    <w:rsid w:val="00615A9D"/>
    <w:rsid w:val="00616A16"/>
    <w:rsid w:val="00617387"/>
    <w:rsid w:val="00620409"/>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5CD"/>
    <w:rsid w:val="00652AB2"/>
    <w:rsid w:val="00653FED"/>
    <w:rsid w:val="00654EC0"/>
    <w:rsid w:val="0065525B"/>
    <w:rsid w:val="00655D4F"/>
    <w:rsid w:val="00656D29"/>
    <w:rsid w:val="006615C1"/>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4729"/>
    <w:rsid w:val="006A6EFD"/>
    <w:rsid w:val="006B2672"/>
    <w:rsid w:val="006B449B"/>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0848"/>
    <w:rsid w:val="00711A75"/>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7C1"/>
    <w:rsid w:val="00765C43"/>
    <w:rsid w:val="00765EFB"/>
    <w:rsid w:val="00766447"/>
    <w:rsid w:val="007671CA"/>
    <w:rsid w:val="00767C61"/>
    <w:rsid w:val="0077008A"/>
    <w:rsid w:val="00772656"/>
    <w:rsid w:val="00773C1F"/>
    <w:rsid w:val="00774DA4"/>
    <w:rsid w:val="00775FB5"/>
    <w:rsid w:val="00776599"/>
    <w:rsid w:val="0078114B"/>
    <w:rsid w:val="00781DD2"/>
    <w:rsid w:val="00783ECF"/>
    <w:rsid w:val="0078413A"/>
    <w:rsid w:val="007959E8"/>
    <w:rsid w:val="00795E9C"/>
    <w:rsid w:val="007A0521"/>
    <w:rsid w:val="007A116F"/>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1A70"/>
    <w:rsid w:val="007D2508"/>
    <w:rsid w:val="007D346A"/>
    <w:rsid w:val="007D6518"/>
    <w:rsid w:val="007D76BD"/>
    <w:rsid w:val="007E0BF1"/>
    <w:rsid w:val="007E0CE7"/>
    <w:rsid w:val="007F0ED8"/>
    <w:rsid w:val="007F0F63"/>
    <w:rsid w:val="007F1F06"/>
    <w:rsid w:val="007F75CE"/>
    <w:rsid w:val="007F7EA2"/>
    <w:rsid w:val="008013A4"/>
    <w:rsid w:val="008027CE"/>
    <w:rsid w:val="00802F42"/>
    <w:rsid w:val="00804383"/>
    <w:rsid w:val="00804BB7"/>
    <w:rsid w:val="00804D41"/>
    <w:rsid w:val="00810257"/>
    <w:rsid w:val="008104F5"/>
    <w:rsid w:val="00811072"/>
    <w:rsid w:val="00811369"/>
    <w:rsid w:val="00814F8C"/>
    <w:rsid w:val="00815419"/>
    <w:rsid w:val="008163C8"/>
    <w:rsid w:val="008164A1"/>
    <w:rsid w:val="00817325"/>
    <w:rsid w:val="008178EA"/>
    <w:rsid w:val="008209E6"/>
    <w:rsid w:val="00823303"/>
    <w:rsid w:val="008233B2"/>
    <w:rsid w:val="00823A9F"/>
    <w:rsid w:val="00823C85"/>
    <w:rsid w:val="0082406C"/>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644E"/>
    <w:rsid w:val="00867ADA"/>
    <w:rsid w:val="00867C10"/>
    <w:rsid w:val="00870439"/>
    <w:rsid w:val="00870DA1"/>
    <w:rsid w:val="00873F18"/>
    <w:rsid w:val="0087615E"/>
    <w:rsid w:val="00883F93"/>
    <w:rsid w:val="00884DB3"/>
    <w:rsid w:val="00885293"/>
    <w:rsid w:val="00885A9D"/>
    <w:rsid w:val="008864F6"/>
    <w:rsid w:val="0089049D"/>
    <w:rsid w:val="008928C9"/>
    <w:rsid w:val="00892B14"/>
    <w:rsid w:val="008930CB"/>
    <w:rsid w:val="008938DC"/>
    <w:rsid w:val="00893FD1"/>
    <w:rsid w:val="0089429D"/>
    <w:rsid w:val="00894836"/>
    <w:rsid w:val="00895172"/>
    <w:rsid w:val="00895680"/>
    <w:rsid w:val="00896DFF"/>
    <w:rsid w:val="0089762C"/>
    <w:rsid w:val="008A1893"/>
    <w:rsid w:val="008A3215"/>
    <w:rsid w:val="008A57E6"/>
    <w:rsid w:val="008A6319"/>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0E8E"/>
    <w:rsid w:val="008E1648"/>
    <w:rsid w:val="008E1B3E"/>
    <w:rsid w:val="008E2319"/>
    <w:rsid w:val="008E4BB6"/>
    <w:rsid w:val="008E5518"/>
    <w:rsid w:val="008E6A84"/>
    <w:rsid w:val="008F0CDC"/>
    <w:rsid w:val="008F17A3"/>
    <w:rsid w:val="008F1ED3"/>
    <w:rsid w:val="008F23A5"/>
    <w:rsid w:val="008F4C29"/>
    <w:rsid w:val="008F58AD"/>
    <w:rsid w:val="008F70BD"/>
    <w:rsid w:val="008F788F"/>
    <w:rsid w:val="008F7EA2"/>
    <w:rsid w:val="00902722"/>
    <w:rsid w:val="009027BC"/>
    <w:rsid w:val="009062E6"/>
    <w:rsid w:val="00911BE5"/>
    <w:rsid w:val="00913CA9"/>
    <w:rsid w:val="009145AE"/>
    <w:rsid w:val="009146CE"/>
    <w:rsid w:val="00914CA7"/>
    <w:rsid w:val="00915C3E"/>
    <w:rsid w:val="009161A8"/>
    <w:rsid w:val="009177FA"/>
    <w:rsid w:val="009245F5"/>
    <w:rsid w:val="009249EC"/>
    <w:rsid w:val="00927287"/>
    <w:rsid w:val="009273B3"/>
    <w:rsid w:val="009305B5"/>
    <w:rsid w:val="009429D5"/>
    <w:rsid w:val="00942BF1"/>
    <w:rsid w:val="00945180"/>
    <w:rsid w:val="00945428"/>
    <w:rsid w:val="0094607B"/>
    <w:rsid w:val="00946F11"/>
    <w:rsid w:val="00947EAC"/>
    <w:rsid w:val="00953604"/>
    <w:rsid w:val="0095496B"/>
    <w:rsid w:val="00957541"/>
    <w:rsid w:val="009610DC"/>
    <w:rsid w:val="00961490"/>
    <w:rsid w:val="0096381A"/>
    <w:rsid w:val="00964D89"/>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2E2"/>
    <w:rsid w:val="009A72AD"/>
    <w:rsid w:val="009B09E0"/>
    <w:rsid w:val="009B0BC5"/>
    <w:rsid w:val="009B1247"/>
    <w:rsid w:val="009B6029"/>
    <w:rsid w:val="009B6971"/>
    <w:rsid w:val="009B7469"/>
    <w:rsid w:val="009C27F1"/>
    <w:rsid w:val="009C3152"/>
    <w:rsid w:val="009C4CFA"/>
    <w:rsid w:val="009C5070"/>
    <w:rsid w:val="009D112C"/>
    <w:rsid w:val="009D2A73"/>
    <w:rsid w:val="009D47FA"/>
    <w:rsid w:val="009D4C5B"/>
    <w:rsid w:val="009D50D2"/>
    <w:rsid w:val="009D6BCA"/>
    <w:rsid w:val="009E0F62"/>
    <w:rsid w:val="009E4A58"/>
    <w:rsid w:val="009E5A2D"/>
    <w:rsid w:val="009E5AB2"/>
    <w:rsid w:val="009E6219"/>
    <w:rsid w:val="009F03B3"/>
    <w:rsid w:val="009F75B9"/>
    <w:rsid w:val="00A0096C"/>
    <w:rsid w:val="00A01757"/>
    <w:rsid w:val="00A028C0"/>
    <w:rsid w:val="00A02BAE"/>
    <w:rsid w:val="00A06A6B"/>
    <w:rsid w:val="00A07E47"/>
    <w:rsid w:val="00A129D0"/>
    <w:rsid w:val="00A12C33"/>
    <w:rsid w:val="00A12F84"/>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E61"/>
    <w:rsid w:val="00A41C79"/>
    <w:rsid w:val="00A41CB5"/>
    <w:rsid w:val="00A42CDF"/>
    <w:rsid w:val="00A4452E"/>
    <w:rsid w:val="00A4472C"/>
    <w:rsid w:val="00A44E69"/>
    <w:rsid w:val="00A4661E"/>
    <w:rsid w:val="00A55BD6"/>
    <w:rsid w:val="00A55D50"/>
    <w:rsid w:val="00A57142"/>
    <w:rsid w:val="00A609F0"/>
    <w:rsid w:val="00A648CD"/>
    <w:rsid w:val="00A6537A"/>
    <w:rsid w:val="00A67866"/>
    <w:rsid w:val="00A70B07"/>
    <w:rsid w:val="00A723F8"/>
    <w:rsid w:val="00A77CCB"/>
    <w:rsid w:val="00A83D8D"/>
    <w:rsid w:val="00A8446B"/>
    <w:rsid w:val="00A8473F"/>
    <w:rsid w:val="00A862D6"/>
    <w:rsid w:val="00A8715E"/>
    <w:rsid w:val="00A9295B"/>
    <w:rsid w:val="00A93755"/>
    <w:rsid w:val="00A93B09"/>
    <w:rsid w:val="00A94247"/>
    <w:rsid w:val="00A952D7"/>
    <w:rsid w:val="00A963F7"/>
    <w:rsid w:val="00A96AD8"/>
    <w:rsid w:val="00AA052C"/>
    <w:rsid w:val="00AA1E45"/>
    <w:rsid w:val="00AA4286"/>
    <w:rsid w:val="00AA456B"/>
    <w:rsid w:val="00AA57F5"/>
    <w:rsid w:val="00AA672E"/>
    <w:rsid w:val="00AA6EC9"/>
    <w:rsid w:val="00AA73AA"/>
    <w:rsid w:val="00AB41D5"/>
    <w:rsid w:val="00AB6309"/>
    <w:rsid w:val="00AB6C5F"/>
    <w:rsid w:val="00AB6ED4"/>
    <w:rsid w:val="00AB7129"/>
    <w:rsid w:val="00AC27A6"/>
    <w:rsid w:val="00AC30F7"/>
    <w:rsid w:val="00AC3A5A"/>
    <w:rsid w:val="00AC4D95"/>
    <w:rsid w:val="00AC5DF4"/>
    <w:rsid w:val="00AD0AEF"/>
    <w:rsid w:val="00AD11B7"/>
    <w:rsid w:val="00AD1A94"/>
    <w:rsid w:val="00AD1C05"/>
    <w:rsid w:val="00AD4126"/>
    <w:rsid w:val="00AD421C"/>
    <w:rsid w:val="00AD44FA"/>
    <w:rsid w:val="00AD467D"/>
    <w:rsid w:val="00AE070A"/>
    <w:rsid w:val="00AE101C"/>
    <w:rsid w:val="00AE37E5"/>
    <w:rsid w:val="00AE5EB4"/>
    <w:rsid w:val="00AF0C18"/>
    <w:rsid w:val="00AF33C5"/>
    <w:rsid w:val="00AF47C5"/>
    <w:rsid w:val="00AF5398"/>
    <w:rsid w:val="00B0077D"/>
    <w:rsid w:val="00B03ED4"/>
    <w:rsid w:val="00B049AF"/>
    <w:rsid w:val="00B07242"/>
    <w:rsid w:val="00B10112"/>
    <w:rsid w:val="00B10534"/>
    <w:rsid w:val="00B113DB"/>
    <w:rsid w:val="00B11D8A"/>
    <w:rsid w:val="00B1268C"/>
    <w:rsid w:val="00B12981"/>
    <w:rsid w:val="00B147DD"/>
    <w:rsid w:val="00B156FD"/>
    <w:rsid w:val="00B21F61"/>
    <w:rsid w:val="00B22B53"/>
    <w:rsid w:val="00B242E2"/>
    <w:rsid w:val="00B24F7B"/>
    <w:rsid w:val="00B261F1"/>
    <w:rsid w:val="00B265BC"/>
    <w:rsid w:val="00B31FB1"/>
    <w:rsid w:val="00B33952"/>
    <w:rsid w:val="00B33C5E"/>
    <w:rsid w:val="00B342F4"/>
    <w:rsid w:val="00B34369"/>
    <w:rsid w:val="00B34DC2"/>
    <w:rsid w:val="00B378E5"/>
    <w:rsid w:val="00B40161"/>
    <w:rsid w:val="00B4346D"/>
    <w:rsid w:val="00B440F4"/>
    <w:rsid w:val="00B4431D"/>
    <w:rsid w:val="00B447A5"/>
    <w:rsid w:val="00B45FD6"/>
    <w:rsid w:val="00B4654C"/>
    <w:rsid w:val="00B47293"/>
    <w:rsid w:val="00B50E50"/>
    <w:rsid w:val="00B52120"/>
    <w:rsid w:val="00B54ABC"/>
    <w:rsid w:val="00B54DDE"/>
    <w:rsid w:val="00B56FBE"/>
    <w:rsid w:val="00B60ACF"/>
    <w:rsid w:val="00B60C27"/>
    <w:rsid w:val="00B62B58"/>
    <w:rsid w:val="00B65149"/>
    <w:rsid w:val="00B66567"/>
    <w:rsid w:val="00B66F52"/>
    <w:rsid w:val="00B66FE5"/>
    <w:rsid w:val="00B7046A"/>
    <w:rsid w:val="00B72880"/>
    <w:rsid w:val="00B758BF"/>
    <w:rsid w:val="00B77EC8"/>
    <w:rsid w:val="00B80263"/>
    <w:rsid w:val="00B827A6"/>
    <w:rsid w:val="00B831CE"/>
    <w:rsid w:val="00B86677"/>
    <w:rsid w:val="00B87131"/>
    <w:rsid w:val="00B939B1"/>
    <w:rsid w:val="00B96D40"/>
    <w:rsid w:val="00B97386"/>
    <w:rsid w:val="00BA263B"/>
    <w:rsid w:val="00BA42B2"/>
    <w:rsid w:val="00BA58D4"/>
    <w:rsid w:val="00BA5B9E"/>
    <w:rsid w:val="00BA7C9A"/>
    <w:rsid w:val="00BB32EF"/>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ED5"/>
    <w:rsid w:val="00BF51E5"/>
    <w:rsid w:val="00BF74A6"/>
    <w:rsid w:val="00C013AD"/>
    <w:rsid w:val="00C04904"/>
    <w:rsid w:val="00C056B3"/>
    <w:rsid w:val="00C103E5"/>
    <w:rsid w:val="00C13319"/>
    <w:rsid w:val="00C13EE9"/>
    <w:rsid w:val="00C21540"/>
    <w:rsid w:val="00C21906"/>
    <w:rsid w:val="00C21BFA"/>
    <w:rsid w:val="00C22148"/>
    <w:rsid w:val="00C24C8D"/>
    <w:rsid w:val="00C2585F"/>
    <w:rsid w:val="00C25FE2"/>
    <w:rsid w:val="00C262C3"/>
    <w:rsid w:val="00C26B53"/>
    <w:rsid w:val="00C279B2"/>
    <w:rsid w:val="00C3005E"/>
    <w:rsid w:val="00C33E50"/>
    <w:rsid w:val="00C34C20"/>
    <w:rsid w:val="00C35A3E"/>
    <w:rsid w:val="00C42130"/>
    <w:rsid w:val="00C423A4"/>
    <w:rsid w:val="00C44BF5"/>
    <w:rsid w:val="00C521D6"/>
    <w:rsid w:val="00C55232"/>
    <w:rsid w:val="00C553A4"/>
    <w:rsid w:val="00C55A06"/>
    <w:rsid w:val="00C55D03"/>
    <w:rsid w:val="00C56169"/>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0899"/>
    <w:rsid w:val="00C918C8"/>
    <w:rsid w:val="00C92D03"/>
    <w:rsid w:val="00C92F16"/>
    <w:rsid w:val="00C9319C"/>
    <w:rsid w:val="00C9435D"/>
    <w:rsid w:val="00C94965"/>
    <w:rsid w:val="00C94DF2"/>
    <w:rsid w:val="00C96741"/>
    <w:rsid w:val="00C97860"/>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5EF"/>
    <w:rsid w:val="00CE0C4F"/>
    <w:rsid w:val="00CE2569"/>
    <w:rsid w:val="00CE30EA"/>
    <w:rsid w:val="00CE36F6"/>
    <w:rsid w:val="00CF048A"/>
    <w:rsid w:val="00CF09D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84B"/>
    <w:rsid w:val="00D27EC4"/>
    <w:rsid w:val="00D32719"/>
    <w:rsid w:val="00D3299D"/>
    <w:rsid w:val="00D33333"/>
    <w:rsid w:val="00D33457"/>
    <w:rsid w:val="00D352A2"/>
    <w:rsid w:val="00D4162B"/>
    <w:rsid w:val="00D43E0D"/>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B6D"/>
    <w:rsid w:val="00DA1E08"/>
    <w:rsid w:val="00DA22D7"/>
    <w:rsid w:val="00DA24F8"/>
    <w:rsid w:val="00DA28E8"/>
    <w:rsid w:val="00DA31CA"/>
    <w:rsid w:val="00DA320F"/>
    <w:rsid w:val="00DA38D3"/>
    <w:rsid w:val="00DA3932"/>
    <w:rsid w:val="00DA3AFC"/>
    <w:rsid w:val="00DA64F8"/>
    <w:rsid w:val="00DA6C15"/>
    <w:rsid w:val="00DB0258"/>
    <w:rsid w:val="00DB38EE"/>
    <w:rsid w:val="00DB3CCB"/>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213"/>
    <w:rsid w:val="00DE2410"/>
    <w:rsid w:val="00DE2939"/>
    <w:rsid w:val="00DE6E81"/>
    <w:rsid w:val="00DE703F"/>
    <w:rsid w:val="00DE7595"/>
    <w:rsid w:val="00DF1961"/>
    <w:rsid w:val="00DF44DE"/>
    <w:rsid w:val="00DF5F11"/>
    <w:rsid w:val="00E006E7"/>
    <w:rsid w:val="00E01138"/>
    <w:rsid w:val="00E02DFB"/>
    <w:rsid w:val="00E030F9"/>
    <w:rsid w:val="00E0311A"/>
    <w:rsid w:val="00E03138"/>
    <w:rsid w:val="00E06404"/>
    <w:rsid w:val="00E06444"/>
    <w:rsid w:val="00E11A85"/>
    <w:rsid w:val="00E12495"/>
    <w:rsid w:val="00E15CCD"/>
    <w:rsid w:val="00E202EF"/>
    <w:rsid w:val="00E210B5"/>
    <w:rsid w:val="00E23D99"/>
    <w:rsid w:val="00E2552F"/>
    <w:rsid w:val="00E2767E"/>
    <w:rsid w:val="00E3137A"/>
    <w:rsid w:val="00E32CCF"/>
    <w:rsid w:val="00E34A98"/>
    <w:rsid w:val="00E352AB"/>
    <w:rsid w:val="00E35D1E"/>
    <w:rsid w:val="00E364F9"/>
    <w:rsid w:val="00E365FA"/>
    <w:rsid w:val="00E36789"/>
    <w:rsid w:val="00E372DD"/>
    <w:rsid w:val="00E42566"/>
    <w:rsid w:val="00E44A83"/>
    <w:rsid w:val="00E502C1"/>
    <w:rsid w:val="00E502DD"/>
    <w:rsid w:val="00E5051A"/>
    <w:rsid w:val="00E50D3A"/>
    <w:rsid w:val="00E510AF"/>
    <w:rsid w:val="00E51387"/>
    <w:rsid w:val="00E51E68"/>
    <w:rsid w:val="00E52EFD"/>
    <w:rsid w:val="00E5408A"/>
    <w:rsid w:val="00E56800"/>
    <w:rsid w:val="00E60C63"/>
    <w:rsid w:val="00E62FF9"/>
    <w:rsid w:val="00E635D6"/>
    <w:rsid w:val="00E639BC"/>
    <w:rsid w:val="00E664CC"/>
    <w:rsid w:val="00E66953"/>
    <w:rsid w:val="00E70388"/>
    <w:rsid w:val="00E70F92"/>
    <w:rsid w:val="00E725C2"/>
    <w:rsid w:val="00E74C54"/>
    <w:rsid w:val="00E77A03"/>
    <w:rsid w:val="00E822E8"/>
    <w:rsid w:val="00E82554"/>
    <w:rsid w:val="00E82606"/>
    <w:rsid w:val="00E846C8"/>
    <w:rsid w:val="00E84957"/>
    <w:rsid w:val="00E84A55"/>
    <w:rsid w:val="00E85BFF"/>
    <w:rsid w:val="00E90391"/>
    <w:rsid w:val="00E906C2"/>
    <w:rsid w:val="00E9311F"/>
    <w:rsid w:val="00E9314B"/>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671F"/>
    <w:rsid w:val="00EE7295"/>
    <w:rsid w:val="00EE7869"/>
    <w:rsid w:val="00EE7A9B"/>
    <w:rsid w:val="00EF054A"/>
    <w:rsid w:val="00EF3235"/>
    <w:rsid w:val="00EF7E72"/>
    <w:rsid w:val="00F06D37"/>
    <w:rsid w:val="00F07B9D"/>
    <w:rsid w:val="00F11586"/>
    <w:rsid w:val="00F1183B"/>
    <w:rsid w:val="00F11C9F"/>
    <w:rsid w:val="00F12263"/>
    <w:rsid w:val="00F1409D"/>
    <w:rsid w:val="00F14214"/>
    <w:rsid w:val="00F157A9"/>
    <w:rsid w:val="00F15E60"/>
    <w:rsid w:val="00F25142"/>
    <w:rsid w:val="00F25BB6"/>
    <w:rsid w:val="00F26B7E"/>
    <w:rsid w:val="00F27A3B"/>
    <w:rsid w:val="00F33817"/>
    <w:rsid w:val="00F34159"/>
    <w:rsid w:val="00F420D5"/>
    <w:rsid w:val="00F451EA"/>
    <w:rsid w:val="00F45447"/>
    <w:rsid w:val="00F456C6"/>
    <w:rsid w:val="00F4577B"/>
    <w:rsid w:val="00F46496"/>
    <w:rsid w:val="00F474D0"/>
    <w:rsid w:val="00F50179"/>
    <w:rsid w:val="00F505C8"/>
    <w:rsid w:val="00F515EE"/>
    <w:rsid w:val="00F56511"/>
    <w:rsid w:val="00F6194E"/>
    <w:rsid w:val="00F623AC"/>
    <w:rsid w:val="00F6412A"/>
    <w:rsid w:val="00F65893"/>
    <w:rsid w:val="00F66A4A"/>
    <w:rsid w:val="00F71E22"/>
    <w:rsid w:val="00F72142"/>
    <w:rsid w:val="00F72AE7"/>
    <w:rsid w:val="00F74618"/>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5C0"/>
    <w:rsid w:val="00FB0CB9"/>
    <w:rsid w:val="00FB1759"/>
    <w:rsid w:val="00FB231D"/>
    <w:rsid w:val="00FB45F1"/>
    <w:rsid w:val="00FB4775"/>
    <w:rsid w:val="00FB4A72"/>
    <w:rsid w:val="00FB54E8"/>
    <w:rsid w:val="00FB7054"/>
    <w:rsid w:val="00FB7672"/>
    <w:rsid w:val="00FC17B7"/>
    <w:rsid w:val="00FC2CB7"/>
    <w:rsid w:val="00FC4090"/>
    <w:rsid w:val="00FC55B4"/>
    <w:rsid w:val="00FD00E6"/>
    <w:rsid w:val="00FD09A1"/>
    <w:rsid w:val="00FD2A7C"/>
    <w:rsid w:val="00FD3EEB"/>
    <w:rsid w:val="00FD59EB"/>
    <w:rsid w:val="00FD7299"/>
    <w:rsid w:val="00FE1FBE"/>
    <w:rsid w:val="00FE2DD2"/>
    <w:rsid w:val="00FE3901"/>
    <w:rsid w:val="00FE39D3"/>
    <w:rsid w:val="00FE4BCE"/>
    <w:rsid w:val="00FE54AE"/>
    <w:rsid w:val="00FE576A"/>
    <w:rsid w:val="00FE7E79"/>
    <w:rsid w:val="00FF2CD1"/>
    <w:rsid w:val="00FF3E7D"/>
    <w:rsid w:val="00FF5B99"/>
    <w:rsid w:val="00FF730C"/>
    <w:rsid w:val="00FF73F4"/>
    <w:rsid w:val="00FF7CE4"/>
    <w:rsid w:val="00FF7E39"/>
    <w:rsid w:val="60022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uiPriority w:val="0"/>
    <w:rPr>
      <w:rFonts w:ascii="宋体" w:hAnsi="Times New Roman" w:eastAsia="宋体"/>
      <w:sz w:val="18"/>
    </w:rPr>
  </w:style>
  <w:style w:type="character" w:styleId="31">
    <w:name w:val="Emphasis"/>
    <w:autoRedefine/>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rFonts w:ascii="Times New Roman" w:hAnsi="Times New Roman" w:eastAsia="宋体" w:cs="Times New Roman"/>
      <w:b/>
      <w:bCs/>
      <w:kern w:val="44"/>
      <w:sz w:val="44"/>
      <w:szCs w:val="44"/>
    </w:rPr>
  </w:style>
  <w:style w:type="character" w:customStyle="1" w:styleId="35">
    <w:name w:val="标题 2 字符"/>
    <w:link w:val="3"/>
    <w:autoRedefine/>
    <w:qFormat/>
    <w:uiPriority w:val="0"/>
    <w:rPr>
      <w:rFonts w:ascii="Arial" w:hAnsi="Arial" w:eastAsia="黑体" w:cs="Times New Roman"/>
      <w:b/>
      <w:bCs/>
      <w:sz w:val="32"/>
      <w:szCs w:val="32"/>
    </w:rPr>
  </w:style>
  <w:style w:type="character" w:customStyle="1" w:styleId="36">
    <w:name w:val="标题 3 字符"/>
    <w:link w:val="4"/>
    <w:autoRedefine/>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autoRedefine/>
    <w:qFormat/>
    <w:uiPriority w:val="0"/>
    <w:rPr>
      <w:rFonts w:ascii="Times New Roman" w:hAnsi="Times New Roman" w:eastAsia="宋体" w:cs="Times New Roman"/>
      <w:b/>
      <w:bCs/>
      <w:sz w:val="28"/>
      <w:szCs w:val="28"/>
    </w:rPr>
  </w:style>
  <w:style w:type="character" w:customStyle="1" w:styleId="39">
    <w:name w:val="标题 6 字符"/>
    <w:link w:val="7"/>
    <w:autoRedefine/>
    <w:qFormat/>
    <w:uiPriority w:val="0"/>
    <w:rPr>
      <w:rFonts w:ascii="Arial" w:hAnsi="Arial" w:eastAsia="黑体" w:cs="Times New Roman"/>
      <w:b/>
      <w:bCs/>
      <w:sz w:val="24"/>
      <w:szCs w:val="24"/>
    </w:rPr>
  </w:style>
  <w:style w:type="character" w:customStyle="1" w:styleId="40">
    <w:name w:val="标题 7 字符"/>
    <w:link w:val="8"/>
    <w:autoRedefine/>
    <w:qFormat/>
    <w:uiPriority w:val="0"/>
    <w:rPr>
      <w:rFonts w:ascii="Times New Roman" w:hAnsi="Times New Roman" w:eastAsia="宋体" w:cs="Times New Roman"/>
      <w:b/>
      <w:bCs/>
      <w:sz w:val="24"/>
      <w:szCs w:val="24"/>
    </w:rPr>
  </w:style>
  <w:style w:type="character" w:customStyle="1" w:styleId="41">
    <w:name w:val="标题 8 字符"/>
    <w:link w:val="9"/>
    <w:autoRedefine/>
    <w:qFormat/>
    <w:uiPriority w:val="0"/>
    <w:rPr>
      <w:rFonts w:ascii="Arial" w:hAnsi="Arial" w:eastAsia="黑体" w:cs="Times New Roman"/>
      <w:sz w:val="24"/>
      <w:szCs w:val="24"/>
    </w:rPr>
  </w:style>
  <w:style w:type="character" w:customStyle="1" w:styleId="42">
    <w:name w:val="标题 9 字符"/>
    <w:link w:val="10"/>
    <w:autoRedefine/>
    <w:qFormat/>
    <w:uiPriority w:val="0"/>
    <w:rPr>
      <w:rFonts w:ascii="Arial" w:hAnsi="Arial" w:eastAsia="黑体" w:cs="Times New Roman"/>
      <w:szCs w:val="21"/>
    </w:rPr>
  </w:style>
  <w:style w:type="character" w:customStyle="1" w:styleId="43">
    <w:name w:val="页眉 字符"/>
    <w:link w:val="18"/>
    <w:autoRedefine/>
    <w:uiPriority w:val="99"/>
    <w:rPr>
      <w:rFonts w:ascii="Times New Roman" w:hAnsi="Times New Roman" w:eastAsia="宋体" w:cs="Times New Roman"/>
      <w:sz w:val="18"/>
      <w:szCs w:val="18"/>
    </w:rPr>
  </w:style>
  <w:style w:type="character" w:customStyle="1" w:styleId="44">
    <w:name w:val="页脚 字符"/>
    <w:link w:val="17"/>
    <w:autoRedefine/>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uiPriority w:val="0"/>
    <w:rPr>
      <w:rFonts w:ascii="Arial" w:hAnsi="Arial" w:eastAsia="宋体" w:cs="Arial"/>
      <w:b/>
      <w:bCs/>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autoRedefine/>
    <w:uiPriority w:val="0"/>
    <w:pPr>
      <w:spacing w:line="310" w:lineRule="exact"/>
      <w:jc w:val="right"/>
    </w:pPr>
    <w:rPr>
      <w:rFonts w:ascii="宋体" w:hAnsi="宋体"/>
      <w:kern w:val="0"/>
    </w:rPr>
  </w:style>
  <w:style w:type="paragraph" w:customStyle="1" w:styleId="60">
    <w:name w:val="标准文件_标准名称标题"/>
    <w:basedOn w:val="1"/>
    <w:next w:val="1"/>
    <w:autoRedefine/>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ind w:left="142"/>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5CE6C796DE47E7BDC491AD952EDA04"/>
        <w:style w:val=""/>
        <w:category>
          <w:name w:val="常规"/>
          <w:gallery w:val="placeholder"/>
        </w:category>
        <w:types>
          <w:type w:val="bbPlcHdr"/>
        </w:types>
        <w:behaviors>
          <w:behavior w:val="content"/>
        </w:behaviors>
        <w:description w:val=""/>
        <w:guid w:val="{77D9B755-D6C6-4FCC-8752-D0D9A0588CA2}"/>
      </w:docPartPr>
      <w:docPartBody>
        <w:p>
          <w:pPr>
            <w:pStyle w:val="5"/>
          </w:pPr>
          <w:r>
            <w:rPr>
              <w:rStyle w:val="4"/>
              <w:rFonts w:hint="eastAsia"/>
            </w:rPr>
            <w:t>单击或点击此处输入文字。</w:t>
          </w:r>
        </w:p>
      </w:docPartBody>
    </w:docPart>
    <w:docPart>
      <w:docPartPr>
        <w:name w:val="D37B9D3CF9C64FD39CA3FBE0C45A576D"/>
        <w:style w:val=""/>
        <w:category>
          <w:name w:val="常规"/>
          <w:gallery w:val="placeholder"/>
        </w:category>
        <w:types>
          <w:type w:val="bbPlcHdr"/>
        </w:types>
        <w:behaviors>
          <w:behavior w:val="content"/>
        </w:behaviors>
        <w:description w:val=""/>
        <w:guid w:val="{EE048764-7D7B-4F1D-9715-6D75967D1D69}"/>
      </w:docPartPr>
      <w:docPartBody>
        <w:p>
          <w:pPr>
            <w:pStyle w:val="6"/>
          </w:pPr>
          <w:r>
            <w:rPr>
              <w:rStyle w:val="4"/>
              <w:rFonts w:hint="eastAsia"/>
            </w:rPr>
            <w:t>选择一项。</w:t>
          </w:r>
        </w:p>
      </w:docPartBody>
    </w:docPart>
    <w:docPart>
      <w:docPartPr>
        <w:name w:val="C68E99E5EC7147A49D6526311DD1A9BA"/>
        <w:style w:val=""/>
        <w:category>
          <w:name w:val="常规"/>
          <w:gallery w:val="placeholder"/>
        </w:category>
        <w:types>
          <w:type w:val="bbPlcHdr"/>
        </w:types>
        <w:behaviors>
          <w:behavior w:val="content"/>
        </w:behaviors>
        <w:description w:val=""/>
        <w:guid w:val="{13860DA9-54EE-4740-89B0-F1C5E1B9366F}"/>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210"/>
    <w:rsid w:val="000325FD"/>
    <w:rsid w:val="00076B3D"/>
    <w:rsid w:val="000E5B6D"/>
    <w:rsid w:val="00162267"/>
    <w:rsid w:val="00165527"/>
    <w:rsid w:val="00255B58"/>
    <w:rsid w:val="00275798"/>
    <w:rsid w:val="002B3588"/>
    <w:rsid w:val="002C3C89"/>
    <w:rsid w:val="002D17A2"/>
    <w:rsid w:val="00312A88"/>
    <w:rsid w:val="004A63AE"/>
    <w:rsid w:val="004E6F33"/>
    <w:rsid w:val="006C5AA6"/>
    <w:rsid w:val="006F232A"/>
    <w:rsid w:val="007518F4"/>
    <w:rsid w:val="008D39F7"/>
    <w:rsid w:val="0092303E"/>
    <w:rsid w:val="009B3E84"/>
    <w:rsid w:val="00A2220B"/>
    <w:rsid w:val="00A87AB5"/>
    <w:rsid w:val="00B23544"/>
    <w:rsid w:val="00B67B5C"/>
    <w:rsid w:val="00BE73DE"/>
    <w:rsid w:val="00C63525"/>
    <w:rsid w:val="00C829BD"/>
    <w:rsid w:val="00CE15E6"/>
    <w:rsid w:val="00CE2210"/>
    <w:rsid w:val="00CF0425"/>
    <w:rsid w:val="00D15635"/>
    <w:rsid w:val="00D365D7"/>
    <w:rsid w:val="00D83D3F"/>
    <w:rsid w:val="00DA3230"/>
    <w:rsid w:val="00F70790"/>
    <w:rsid w:val="00F96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5CE6C796DE47E7BDC491AD952EDA0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37B9D3CF9C64FD39CA3FBE0C45A576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68E99E5EC7147A49D6526311DD1A9BA"/>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C7E9A7-D749-4F37-B222-E77EF241B12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645</Words>
  <Characters>3682</Characters>
  <Lines>30</Lines>
  <Paragraphs>8</Paragraphs>
  <TotalTime>21</TotalTime>
  <ScaleCrop>false</ScaleCrop>
  <LinksUpToDate>false</LinksUpToDate>
  <CharactersWithSpaces>4319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2024-01-17T07:59:00Z</dcterms:created>
  <dc:creator>100</dc:creator>
  <dc:description>&lt;config cover="true" show_menu="true" version="1.0.0" doctype="SDKXY"&gt;_x000d_
&lt;/config&gt;</dc:description>
  <cp:lastModifiedBy>mmme</cp:lastModifiedBy>
  <cp:lastPrinted>2020-08-30T10:00:00Z</cp:lastPrinted>
  <dcterms:modified xsi:type="dcterms:W3CDTF">2024-03-13T08:28:23Z</dcterms:modified>
  <dc:title>地方标准</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A3FCDBF99EEF40B4845C7F9C50063E4D_12</vt:lpwstr>
  </property>
</Properties>
</file>