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03.200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w:t>
            </w:r>
            <w:r>
              <w:rPr>
                <w:rFonts w:ascii="黑体" w:hAnsi="黑体" w:eastAsia="黑体"/>
                <w:sz w:val="21"/>
                <w:szCs w:val="21"/>
              </w:rPr>
              <w:t>12</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573613044"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3+&#10;I8zYAAAADAEAAA8AAAAAAAAAAQAgAAAAIgAAAGRycy9kb3ducmV2LnhtbFBLAQIUABQAAAAIAIdO&#10;4kCZ9iv+6gEAALI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休闲度假饭店基本要求</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Basic requirement for leisure resort</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700778715"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BkXVnvqAQAAsgMAAA4AAAAAAAAAAQAgAAAAJgEAAGRycy9lMm9Eb2MueG1sUEsFBgAAAAAGAAYA&#10;WQEAAIIFAAAAAA==&#10;">
                <v:fill on="f" focussize="0,0"/>
                <v:stroke color="#000000" joinstyle="round"/>
                <v:imagedata o:title=""/>
                <o:lock v:ext="edit" aspectratio="f"/>
                <w10:anchorlock/>
              </v:line>
            </w:pict>
          </mc:Fallback>
        </mc:AlternateContent>
      </w:r>
    </w:p>
    <w:p>
      <w:pPr>
        <w:pStyle w:val="93"/>
        <w:spacing w:after="468"/>
        <w:rPr>
          <w:rFonts w:hint="eastAsia"/>
        </w:rPr>
      </w:pPr>
      <w:bookmarkStart w:id="21" w:name="BookMark1"/>
      <w:bookmarkStart w:id="22" w:name="_Toc162270394"/>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"_Toc162270494" </w:instrText>
      </w:r>
      <w:r>
        <w:fldChar w:fldCharType="separate"/>
      </w:r>
      <w:r>
        <w:rPr>
          <w:rStyle w:val="34"/>
          <w:rFonts w:hint="eastAsia"/>
        </w:rPr>
        <w:t>前言</w:t>
      </w:r>
      <w:r>
        <w:tab/>
      </w:r>
      <w:r>
        <w:fldChar w:fldCharType="begin"/>
      </w:r>
      <w:r>
        <w:instrText xml:space="preserve"> PAGEREF _Toc162270494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"_Toc162270495" </w:instrText>
      </w:r>
      <w:r>
        <w:fldChar w:fldCharType="separate"/>
      </w:r>
      <w:r>
        <w:rPr>
          <w:rStyle w:val="34"/>
          <w:rFonts w:hint="eastAsia"/>
        </w:rPr>
        <w:t>引言</w:t>
      </w:r>
      <w:r>
        <w:tab/>
      </w:r>
      <w:r>
        <w:fldChar w:fldCharType="begin"/>
      </w:r>
      <w:r>
        <w:instrText xml:space="preserve"> PAGEREF _Toc162270495 \h </w:instrText>
      </w:r>
      <w:r>
        <w:fldChar w:fldCharType="separate"/>
      </w:r>
      <w:r>
        <w:t>III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"_Toc162270496" </w:instrText>
      </w:r>
      <w:r>
        <w:fldChar w:fldCharType="separate"/>
      </w:r>
      <w:r>
        <w:rPr>
          <w:rStyle w:val="34"/>
        </w:rPr>
        <w:t xml:space="preserve">1 </w:t>
      </w:r>
      <w:r>
        <w:rPr>
          <w:rStyle w:val="34"/>
          <w:rFonts w:hint="eastAsia"/>
        </w:rPr>
        <w:t xml:space="preserve"> 范围</w:t>
      </w:r>
      <w:r>
        <w:tab/>
      </w:r>
      <w:r>
        <w:fldChar w:fldCharType="begin"/>
      </w:r>
      <w:r>
        <w:instrText xml:space="preserve"> PAGEREF _Toc162270496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"_Toc162270497" </w:instrText>
      </w:r>
      <w:r>
        <w:fldChar w:fldCharType="separate"/>
      </w:r>
      <w:r>
        <w:rPr>
          <w:rStyle w:val="34"/>
        </w:rPr>
        <w:t xml:space="preserve">2 </w:t>
      </w:r>
      <w:r>
        <w:rPr>
          <w:rStyle w:val="34"/>
          <w:rFonts w:hint="eastAsia"/>
        </w:rPr>
        <w:t xml:space="preserve"> 规范性引用文件</w:t>
      </w:r>
      <w:r>
        <w:tab/>
      </w:r>
      <w:r>
        <w:fldChar w:fldCharType="begin"/>
      </w:r>
      <w:r>
        <w:instrText xml:space="preserve"> PAGEREF _Toc162270497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"_Toc162270498" </w:instrText>
      </w:r>
      <w:r>
        <w:fldChar w:fldCharType="separate"/>
      </w:r>
      <w:r>
        <w:rPr>
          <w:rStyle w:val="34"/>
        </w:rPr>
        <w:t xml:space="preserve">3 </w:t>
      </w:r>
      <w:r>
        <w:rPr>
          <w:rStyle w:val="34"/>
          <w:rFonts w:hint="eastAsia"/>
        </w:rPr>
        <w:t xml:space="preserve"> 术语和定义</w:t>
      </w:r>
      <w:r>
        <w:tab/>
      </w:r>
      <w:r>
        <w:fldChar w:fldCharType="begin"/>
      </w:r>
      <w:r>
        <w:instrText xml:space="preserve"> PAGEREF _Toc162270498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"_Toc162270499" </w:instrText>
      </w:r>
      <w:r>
        <w:fldChar w:fldCharType="separate"/>
      </w:r>
      <w:r>
        <w:rPr>
          <w:rStyle w:val="34"/>
        </w:rPr>
        <w:t xml:space="preserve">4 </w:t>
      </w:r>
      <w:r>
        <w:rPr>
          <w:rStyle w:val="34"/>
          <w:rFonts w:hint="eastAsia"/>
        </w:rPr>
        <w:t xml:space="preserve"> 总体要求</w:t>
      </w:r>
      <w:r>
        <w:tab/>
      </w:r>
      <w:r>
        <w:fldChar w:fldCharType="begin"/>
      </w:r>
      <w:r>
        <w:instrText xml:space="preserve"> PAGEREF _Toc162270499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"_Toc162270500" </w:instrText>
      </w:r>
      <w:r>
        <w:fldChar w:fldCharType="separate"/>
      </w:r>
      <w:r>
        <w:rPr>
          <w:rStyle w:val="34"/>
        </w:rPr>
        <w:t xml:space="preserve">5 </w:t>
      </w:r>
      <w:r>
        <w:rPr>
          <w:rStyle w:val="34"/>
          <w:rFonts w:hint="eastAsia"/>
        </w:rPr>
        <w:t xml:space="preserve"> 环境与建筑设计要求</w:t>
      </w:r>
      <w:r>
        <w:tab/>
      </w:r>
      <w:r>
        <w:fldChar w:fldCharType="begin"/>
      </w:r>
      <w:r>
        <w:instrText xml:space="preserve"> PAGEREF _Toc162270500 \h </w:instrText>
      </w:r>
      <w:r>
        <w:fldChar w:fldCharType="separate"/>
      </w:r>
      <w:r>
        <w:t>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"_Toc162270501" </w:instrText>
      </w:r>
      <w:r>
        <w:fldChar w:fldCharType="separate"/>
      </w:r>
      <w:r>
        <w:rPr>
          <w:rStyle w:val="34"/>
        </w:rPr>
        <w:t xml:space="preserve">5.1 </w:t>
      </w:r>
      <w:r>
        <w:rPr>
          <w:rStyle w:val="34"/>
          <w:rFonts w:hint="eastAsia"/>
        </w:rPr>
        <w:t xml:space="preserve"> 地理位置与环境</w:t>
      </w:r>
      <w:r>
        <w:tab/>
      </w:r>
      <w:r>
        <w:fldChar w:fldCharType="begin"/>
      </w:r>
      <w:r>
        <w:instrText xml:space="preserve"> PAGEREF _Toc162270501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"_Toc162270502" </w:instrText>
      </w:r>
      <w:r>
        <w:fldChar w:fldCharType="separate"/>
      </w:r>
      <w:r>
        <w:rPr>
          <w:rStyle w:val="34"/>
        </w:rPr>
        <w:t xml:space="preserve">5.2 </w:t>
      </w:r>
      <w:r>
        <w:rPr>
          <w:rStyle w:val="34"/>
          <w:rFonts w:hint="eastAsia"/>
        </w:rPr>
        <w:t xml:space="preserve"> 休闲度假饭店设计</w:t>
      </w:r>
      <w:r>
        <w:tab/>
      </w:r>
      <w:r>
        <w:fldChar w:fldCharType="begin"/>
      </w:r>
      <w:r>
        <w:instrText xml:space="preserve"> PAGEREF _Toc162270502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"_Toc162270503" </w:instrText>
      </w:r>
      <w:r>
        <w:fldChar w:fldCharType="separate"/>
      </w:r>
      <w:r>
        <w:rPr>
          <w:rStyle w:val="34"/>
        </w:rPr>
        <w:t xml:space="preserve">5.3 </w:t>
      </w:r>
      <w:r>
        <w:rPr>
          <w:rStyle w:val="34"/>
          <w:rFonts w:hint="eastAsia"/>
        </w:rPr>
        <w:t xml:space="preserve"> 休闲度假氛围</w:t>
      </w:r>
      <w:r>
        <w:tab/>
      </w:r>
      <w:r>
        <w:fldChar w:fldCharType="begin"/>
      </w:r>
      <w:r>
        <w:instrText xml:space="preserve"> PAGEREF _Toc162270503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"_Toc162270504" </w:instrText>
      </w:r>
      <w:r>
        <w:fldChar w:fldCharType="separate"/>
      </w:r>
      <w:r>
        <w:rPr>
          <w:rStyle w:val="34"/>
        </w:rPr>
        <w:t xml:space="preserve">6 </w:t>
      </w:r>
      <w:r>
        <w:rPr>
          <w:rStyle w:val="34"/>
          <w:rFonts w:hint="eastAsia"/>
        </w:rPr>
        <w:t xml:space="preserve"> 服务与活动要求</w:t>
      </w:r>
      <w:r>
        <w:tab/>
      </w:r>
      <w:r>
        <w:fldChar w:fldCharType="begin"/>
      </w:r>
      <w:r>
        <w:instrText xml:space="preserve"> PAGEREF _Toc162270504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"_Toc162270505" </w:instrText>
      </w:r>
      <w:r>
        <w:fldChar w:fldCharType="separate"/>
      </w:r>
      <w:r>
        <w:rPr>
          <w:rStyle w:val="34"/>
        </w:rPr>
        <w:t xml:space="preserve">6.1 </w:t>
      </w:r>
      <w:r>
        <w:rPr>
          <w:rStyle w:val="34"/>
          <w:rFonts w:hint="eastAsia"/>
        </w:rPr>
        <w:t xml:space="preserve"> 休闲度假服务</w:t>
      </w:r>
      <w:r>
        <w:tab/>
      </w:r>
      <w:r>
        <w:fldChar w:fldCharType="begin"/>
      </w:r>
      <w:r>
        <w:instrText xml:space="preserve"> PAGEREF _Toc162270505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"_Toc162270506" </w:instrText>
      </w:r>
      <w:r>
        <w:fldChar w:fldCharType="separate"/>
      </w:r>
      <w:r>
        <w:rPr>
          <w:rStyle w:val="34"/>
        </w:rPr>
        <w:t xml:space="preserve">6.2 </w:t>
      </w:r>
      <w:r>
        <w:rPr>
          <w:rStyle w:val="34"/>
          <w:rFonts w:hint="eastAsia"/>
        </w:rPr>
        <w:t xml:space="preserve"> 休闲度假特色活动</w:t>
      </w:r>
      <w:r>
        <w:tab/>
      </w:r>
      <w:r>
        <w:fldChar w:fldCharType="begin"/>
      </w:r>
      <w:r>
        <w:instrText xml:space="preserve"> PAGEREF _Toc162270506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"_Toc162270507" </w:instrText>
      </w:r>
      <w:r>
        <w:fldChar w:fldCharType="separate"/>
      </w:r>
      <w:r>
        <w:rPr>
          <w:rStyle w:val="34"/>
        </w:rPr>
        <w:t xml:space="preserve">7 </w:t>
      </w:r>
      <w:r>
        <w:rPr>
          <w:rStyle w:val="34"/>
          <w:rFonts w:hint="eastAsia"/>
        </w:rPr>
        <w:t xml:space="preserve"> 设施设备要求</w:t>
      </w:r>
      <w:r>
        <w:tab/>
      </w:r>
      <w:r>
        <w:fldChar w:fldCharType="begin"/>
      </w:r>
      <w:r>
        <w:instrText xml:space="preserve"> PAGEREF _Toc162270507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"_Toc162270508" </w:instrText>
      </w:r>
      <w:r>
        <w:fldChar w:fldCharType="separate"/>
      </w:r>
      <w:r>
        <w:rPr>
          <w:rStyle w:val="34"/>
        </w:rPr>
        <w:t xml:space="preserve">7.1 </w:t>
      </w:r>
      <w:r>
        <w:rPr>
          <w:rStyle w:val="34"/>
          <w:rFonts w:hint="eastAsia"/>
        </w:rPr>
        <w:t xml:space="preserve"> 公共区域及前厅设施</w:t>
      </w:r>
      <w:r>
        <w:tab/>
      </w:r>
      <w:r>
        <w:fldChar w:fldCharType="begin"/>
      </w:r>
      <w:r>
        <w:instrText xml:space="preserve"> PAGEREF _Toc162270508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"_Toc162270509" </w:instrText>
      </w:r>
      <w:r>
        <w:fldChar w:fldCharType="separate"/>
      </w:r>
      <w:r>
        <w:rPr>
          <w:rStyle w:val="34"/>
        </w:rPr>
        <w:t xml:space="preserve">7.2 </w:t>
      </w:r>
      <w:r>
        <w:rPr>
          <w:rStyle w:val="34"/>
          <w:rFonts w:hint="eastAsia"/>
        </w:rPr>
        <w:t xml:space="preserve"> 住宿设施</w:t>
      </w:r>
      <w:r>
        <w:tab/>
      </w:r>
      <w:r>
        <w:fldChar w:fldCharType="begin"/>
      </w:r>
      <w:r>
        <w:instrText xml:space="preserve"> PAGEREF _Toc162270509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"_Toc162270510" </w:instrText>
      </w:r>
      <w:r>
        <w:fldChar w:fldCharType="separate"/>
      </w:r>
      <w:r>
        <w:rPr>
          <w:rStyle w:val="34"/>
        </w:rPr>
        <w:t xml:space="preserve">7.3 </w:t>
      </w:r>
      <w:r>
        <w:rPr>
          <w:rStyle w:val="34"/>
          <w:rFonts w:hint="eastAsia"/>
        </w:rPr>
        <w:t xml:space="preserve"> 餐饮设施</w:t>
      </w:r>
      <w:r>
        <w:tab/>
      </w:r>
      <w:r>
        <w:fldChar w:fldCharType="begin"/>
      </w:r>
      <w:r>
        <w:instrText xml:space="preserve"> PAGEREF _Toc162270510 \h </w:instrText>
      </w:r>
      <w:r>
        <w:fldChar w:fldCharType="separate"/>
      </w:r>
      <w:r>
        <w:t>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"_Toc162270511" </w:instrText>
      </w:r>
      <w:r>
        <w:fldChar w:fldCharType="separate"/>
      </w:r>
      <w:r>
        <w:rPr>
          <w:rStyle w:val="34"/>
        </w:rPr>
        <w:t xml:space="preserve">7.4 </w:t>
      </w:r>
      <w:r>
        <w:rPr>
          <w:rStyle w:val="34"/>
          <w:rFonts w:hint="eastAsia"/>
        </w:rPr>
        <w:t xml:space="preserve"> 休闲娱乐设施</w:t>
      </w:r>
      <w:r>
        <w:tab/>
      </w:r>
      <w:r>
        <w:fldChar w:fldCharType="begin"/>
      </w:r>
      <w:r>
        <w:instrText xml:space="preserve"> PAGEREF _Toc162270511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"_Toc162270512" </w:instrText>
      </w:r>
      <w:r>
        <w:fldChar w:fldCharType="separate"/>
      </w:r>
      <w:r>
        <w:rPr>
          <w:rStyle w:val="34"/>
        </w:rPr>
        <w:t xml:space="preserve">8 </w:t>
      </w:r>
      <w:r>
        <w:rPr>
          <w:rStyle w:val="34"/>
          <w:rFonts w:hint="eastAsia"/>
        </w:rPr>
        <w:t xml:space="preserve"> 运营管理要求</w:t>
      </w:r>
      <w:r>
        <w:tab/>
      </w:r>
      <w:r>
        <w:fldChar w:fldCharType="begin"/>
      </w:r>
      <w:r>
        <w:instrText xml:space="preserve"> PAGEREF _Toc162270512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"_Toc162270513" </w:instrText>
      </w:r>
      <w:r>
        <w:fldChar w:fldCharType="separate"/>
      </w:r>
      <w:r>
        <w:rPr>
          <w:rStyle w:val="34"/>
        </w:rPr>
        <w:t xml:space="preserve">8.1 </w:t>
      </w:r>
      <w:r>
        <w:rPr>
          <w:rStyle w:val="34"/>
          <w:rFonts w:hint="eastAsia"/>
        </w:rPr>
        <w:t xml:space="preserve"> 制度建设</w:t>
      </w:r>
      <w:r>
        <w:tab/>
      </w:r>
      <w:r>
        <w:fldChar w:fldCharType="begin"/>
      </w:r>
      <w:r>
        <w:instrText xml:space="preserve"> PAGEREF _Toc162270513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"_Toc162270514" </w:instrText>
      </w:r>
      <w:r>
        <w:fldChar w:fldCharType="separate"/>
      </w:r>
      <w:r>
        <w:rPr>
          <w:rStyle w:val="34"/>
        </w:rPr>
        <w:t xml:space="preserve">8.2 </w:t>
      </w:r>
      <w:r>
        <w:rPr>
          <w:rStyle w:val="34"/>
          <w:rFonts w:hint="eastAsia"/>
        </w:rPr>
        <w:t xml:space="preserve"> 组织保障</w:t>
      </w:r>
      <w:r>
        <w:tab/>
      </w:r>
      <w:r>
        <w:fldChar w:fldCharType="begin"/>
      </w:r>
      <w:r>
        <w:instrText xml:space="preserve"> PAGEREF _Toc162270514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"_Toc162270515" </w:instrText>
      </w:r>
      <w:r>
        <w:fldChar w:fldCharType="separate"/>
      </w:r>
      <w:r>
        <w:rPr>
          <w:rStyle w:val="34"/>
        </w:rPr>
        <w:t xml:space="preserve">8.3 </w:t>
      </w:r>
      <w:r>
        <w:rPr>
          <w:rStyle w:val="34"/>
          <w:rFonts w:hint="eastAsia"/>
        </w:rPr>
        <w:t xml:space="preserve"> 安全管理</w:t>
      </w:r>
      <w:r>
        <w:tab/>
      </w:r>
      <w:r>
        <w:fldChar w:fldCharType="begin"/>
      </w:r>
      <w:r>
        <w:instrText xml:space="preserve"> PAGEREF _Toc162270515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"_Toc162270516" </w:instrText>
      </w:r>
      <w:r>
        <w:fldChar w:fldCharType="separate"/>
      </w:r>
      <w:r>
        <w:rPr>
          <w:rStyle w:val="34"/>
        </w:rPr>
        <w:t xml:space="preserve">8.4 </w:t>
      </w:r>
      <w:r>
        <w:rPr>
          <w:rStyle w:val="34"/>
          <w:rFonts w:hint="eastAsia"/>
        </w:rPr>
        <w:t xml:space="preserve"> 卫生要求</w:t>
      </w:r>
      <w:r>
        <w:tab/>
      </w:r>
      <w:r>
        <w:fldChar w:fldCharType="begin"/>
      </w:r>
      <w:r>
        <w:instrText xml:space="preserve"> PAGEREF _Toc162270516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"_Toc162270517" </w:instrText>
      </w:r>
      <w:r>
        <w:fldChar w:fldCharType="separate"/>
      </w:r>
      <w:r>
        <w:rPr>
          <w:rStyle w:val="34"/>
        </w:rPr>
        <w:t xml:space="preserve">8.5 </w:t>
      </w:r>
      <w:r>
        <w:rPr>
          <w:rStyle w:val="34"/>
          <w:rFonts w:hint="eastAsia"/>
        </w:rPr>
        <w:t xml:space="preserve"> 绿色环保</w:t>
      </w:r>
      <w:r>
        <w:tab/>
      </w:r>
      <w:r>
        <w:fldChar w:fldCharType="begin"/>
      </w:r>
      <w:r>
        <w:instrText xml:space="preserve"> PAGEREF _Toc162270517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"_Toc162270518" </w:instrText>
      </w:r>
      <w:r>
        <w:fldChar w:fldCharType="separate"/>
      </w:r>
      <w:r>
        <w:rPr>
          <w:rStyle w:val="34"/>
        </w:rPr>
        <w:t xml:space="preserve">8.6 </w:t>
      </w:r>
      <w:r>
        <w:rPr>
          <w:rStyle w:val="34"/>
          <w:rFonts w:hint="eastAsia"/>
        </w:rPr>
        <w:t xml:space="preserve"> 营销活动</w:t>
      </w:r>
      <w:r>
        <w:tab/>
      </w:r>
      <w:r>
        <w:fldChar w:fldCharType="begin"/>
      </w:r>
      <w:r>
        <w:instrText xml:space="preserve"> PAGEREF _Toc162270518 \h </w:instrText>
      </w:r>
      <w:r>
        <w:fldChar w:fldCharType="separate"/>
      </w:r>
      <w:r>
        <w:t>4</w:t>
      </w:r>
      <w:r>
        <w:fldChar w:fldCharType="end"/>
      </w:r>
      <w:r>
        <w:fldChar w:fldCharType="end"/>
      </w:r>
    </w:p>
    <w:p>
      <w:pPr>
        <w:pStyle w:val="93"/>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before="900" w:after="468"/>
      </w:pPr>
      <w:bookmarkStart w:id="23" w:name="_Toc162270494"/>
      <w:bookmarkStart w:id="24" w:name="BookMark2"/>
      <w:r>
        <w:rPr>
          <w:spacing w:val="320"/>
        </w:rPr>
        <w:t>前</w:t>
      </w:r>
      <w:r>
        <w:t>言</w:t>
      </w:r>
      <w:bookmarkEnd w:id="22"/>
      <w:bookmarkEnd w:id="23"/>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本文件由江苏省文化和旅游厅提出。</w:t>
      </w:r>
    </w:p>
    <w:p>
      <w:pPr>
        <w:pStyle w:val="58"/>
        <w:ind w:firstLine="420"/>
      </w:pPr>
      <w:r>
        <w:rPr>
          <w:rFonts w:hint="eastAsia"/>
        </w:rPr>
        <w:t>本文件由江苏省文化和旅游标准化技术委员会归口。</w:t>
      </w:r>
    </w:p>
    <w:p>
      <w:pPr>
        <w:pStyle w:val="58"/>
        <w:ind w:firstLine="420"/>
      </w:pPr>
      <w:r>
        <w:rPr>
          <w:rFonts w:hint="eastAsia"/>
        </w:rPr>
        <w:t>本文件起草单位：南京旅游职业学院、江苏省文化和旅游厅。</w:t>
      </w:r>
    </w:p>
    <w:p>
      <w:pPr>
        <w:pStyle w:val="58"/>
        <w:ind w:firstLine="420"/>
      </w:pPr>
      <w:r>
        <w:rPr>
          <w:rFonts w:hint="eastAsia"/>
        </w:rPr>
        <w:t>本文件主要起草人：苏炜、马健、黄桦、夏雯婷、郭</w:t>
      </w:r>
      <w:bookmarkStart w:id="172" w:name="_GoBack"/>
      <w:bookmarkEnd w:id="172"/>
      <w:r>
        <w:rPr>
          <w:rFonts w:hint="eastAsia"/>
        </w:rPr>
        <w:t>伟建、姜华、李微微、杜艳葶、霍立。</w:t>
      </w:r>
    </w:p>
    <w:p>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pStyle w:val="91"/>
        <w:spacing w:after="468"/>
      </w:pPr>
      <w:bookmarkStart w:id="25" w:name="_Toc162270495"/>
      <w:bookmarkStart w:id="26" w:name="_Toc162270395"/>
      <w:bookmarkStart w:id="27" w:name="BookMark3"/>
      <w:r>
        <w:rPr>
          <w:spacing w:val="320"/>
        </w:rPr>
        <w:t>引</w:t>
      </w:r>
      <w:r>
        <w:t>言</w:t>
      </w:r>
      <w:bookmarkEnd w:id="25"/>
      <w:bookmarkEnd w:id="26"/>
    </w:p>
    <w:p>
      <w:pPr>
        <w:pStyle w:val="58"/>
        <w:ind w:firstLine="420"/>
      </w:pPr>
      <w:r>
        <w:rPr>
          <w:rFonts w:hint="eastAsia"/>
        </w:rPr>
        <w:t>休闲度假旅游是旅游业的重要组成部分。近年来，休闲度假旅游蓬勃发展，不同规模、不同档次、不同风格的休闲度假饭店给游客提供了更多的食宿选择和休闲体验。</w:t>
      </w:r>
    </w:p>
    <w:p>
      <w:pPr>
        <w:pStyle w:val="58"/>
        <w:ind w:firstLine="420"/>
      </w:pPr>
      <w:r>
        <w:rPr>
          <w:rFonts w:hint="eastAsia"/>
        </w:rPr>
        <w:t>为了推进江苏省文旅高质量发展和休闲度假旅游住宿业的转型升级，以更好地满足休闲度假游客多样化的住宿和体验需求，特制定本文件，旨在建立休闲度假饭店准则，规范休闲度假饭店运营，丰富休闲度假饭店功能，促进精品休闲度假饭店建设。</w:t>
      </w:r>
    </w:p>
    <w:p>
      <w:pPr>
        <w:pStyle w:val="58"/>
        <w:ind w:firstLine="420"/>
      </w:pPr>
    </w:p>
    <w:p>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AFE60788F3644071856166C4A7C10B91"/>
        </w:placeholder>
      </w:sdtPr>
      <w:sdtContent>
        <w:p>
          <w:pPr>
            <w:pStyle w:val="179"/>
            <w:spacing w:before="3" w:beforeLines="1" w:after="686" w:afterLines="220"/>
          </w:pPr>
          <w:bookmarkStart w:id="29" w:name="NEW_STAND_NAME"/>
          <w:r>
            <w:rPr>
              <w:rFonts w:hint="eastAsia"/>
            </w:rPr>
            <w:t>休闲度假饭店基本要求</w:t>
          </w:r>
        </w:p>
      </w:sdtContent>
    </w:sdt>
    <w:bookmarkEnd w:id="29"/>
    <w:p>
      <w:pPr>
        <w:pStyle w:val="106"/>
        <w:spacing w:before="312" w:after="312"/>
      </w:pPr>
      <w:bookmarkStart w:id="30" w:name="_Toc26986771"/>
      <w:bookmarkStart w:id="31" w:name="_Toc17233333"/>
      <w:bookmarkStart w:id="32" w:name="_Toc26718930"/>
      <w:bookmarkStart w:id="33" w:name="_Toc26986530"/>
      <w:bookmarkStart w:id="34" w:name="_Toc17233325"/>
      <w:bookmarkStart w:id="35" w:name="_Toc24884211"/>
      <w:bookmarkStart w:id="36" w:name="_Toc26648465"/>
      <w:bookmarkStart w:id="37" w:name="_Toc24884218"/>
      <w:bookmarkStart w:id="38" w:name="_Toc162270496"/>
      <w:bookmarkStart w:id="39" w:name="_Toc162270396"/>
      <w:bookmarkStart w:id="40" w:name="_Toc97191423"/>
      <w:r>
        <w:rPr>
          <w:rFonts w:hint="eastAsia"/>
        </w:rPr>
        <w:t>范围</w:t>
      </w:r>
      <w:bookmarkEnd w:id="30"/>
      <w:bookmarkEnd w:id="31"/>
      <w:bookmarkEnd w:id="32"/>
      <w:bookmarkEnd w:id="33"/>
      <w:bookmarkEnd w:id="34"/>
      <w:bookmarkEnd w:id="35"/>
      <w:bookmarkEnd w:id="36"/>
      <w:bookmarkEnd w:id="37"/>
      <w:bookmarkEnd w:id="38"/>
      <w:bookmarkEnd w:id="39"/>
      <w:bookmarkEnd w:id="40"/>
    </w:p>
    <w:p>
      <w:pPr>
        <w:pStyle w:val="58"/>
        <w:ind w:firstLine="420"/>
      </w:pPr>
      <w:bookmarkStart w:id="41" w:name="_Toc17233334"/>
      <w:bookmarkStart w:id="42" w:name="_Toc24884219"/>
      <w:bookmarkStart w:id="43" w:name="_Toc26648466"/>
      <w:bookmarkStart w:id="44" w:name="_Toc24884212"/>
      <w:bookmarkStart w:id="45" w:name="_Toc17233326"/>
      <w:r>
        <w:rPr>
          <w:rFonts w:hint="eastAsia"/>
        </w:rPr>
        <w:t>本文件规定了休闲度假饭店的总体要求、环境与建筑设计要求、服务与活动要求、设施设备要求及运营管理要求。</w:t>
      </w:r>
    </w:p>
    <w:p>
      <w:pPr>
        <w:pStyle w:val="58"/>
        <w:ind w:firstLine="420"/>
      </w:pPr>
      <w:r>
        <w:rPr>
          <w:rFonts w:hint="eastAsia"/>
        </w:rPr>
        <w:t>本文件适用于正式营业的休闲度假饭店。</w:t>
      </w:r>
    </w:p>
    <w:p>
      <w:pPr>
        <w:pStyle w:val="106"/>
        <w:spacing w:before="312" w:after="312"/>
      </w:pPr>
      <w:bookmarkStart w:id="46" w:name="_Toc26718931"/>
      <w:bookmarkStart w:id="47" w:name="_Toc97191424"/>
      <w:bookmarkStart w:id="48" w:name="_Toc26986772"/>
      <w:bookmarkStart w:id="49" w:name="_Toc26986531"/>
      <w:bookmarkStart w:id="50" w:name="_Toc162270397"/>
      <w:bookmarkStart w:id="51" w:name="_Toc162270497"/>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B386DDBEB81240CAB48218C109AA56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 5749-2022  生活饮用水卫生标准</w:t>
      </w:r>
    </w:p>
    <w:p>
      <w:pPr>
        <w:pStyle w:val="58"/>
        <w:ind w:firstLine="420"/>
      </w:pPr>
      <w:r>
        <w:rPr>
          <w:rFonts w:hint="eastAsia"/>
        </w:rPr>
        <w:t>GB/T 14308-2023  旅游饭店星级的划分与评定</w:t>
      </w:r>
    </w:p>
    <w:p>
      <w:pPr>
        <w:pStyle w:val="58"/>
        <w:ind w:firstLine="420"/>
      </w:pPr>
      <w:r>
        <w:rPr>
          <w:rFonts w:hint="eastAsia"/>
        </w:rPr>
        <w:t>GB/T 1</w:t>
      </w:r>
      <w:r>
        <w:t xml:space="preserve">6767  </w:t>
      </w:r>
      <w:r>
        <w:rPr>
          <w:rFonts w:hint="eastAsia"/>
        </w:rPr>
        <w:t>游乐园（场）服务质量</w:t>
      </w:r>
    </w:p>
    <w:p>
      <w:pPr>
        <w:pStyle w:val="58"/>
        <w:ind w:firstLine="420"/>
      </w:pPr>
      <w:r>
        <w:rPr>
          <w:rFonts w:hint="eastAsia"/>
        </w:rPr>
        <w:t>GB 18483  饮食业油烟排放标准</w:t>
      </w:r>
    </w:p>
    <w:p>
      <w:pPr>
        <w:pStyle w:val="58"/>
        <w:ind w:firstLine="420"/>
      </w:pPr>
      <w:r>
        <w:rPr>
          <w:rFonts w:hint="eastAsia"/>
        </w:rPr>
        <w:t>GB/T 18883-2022  室内空气质量标准</w:t>
      </w:r>
    </w:p>
    <w:p>
      <w:pPr>
        <w:pStyle w:val="58"/>
        <w:ind w:firstLine="420"/>
      </w:pPr>
      <w:r>
        <w:rPr>
          <w:rFonts w:hint="eastAsia"/>
        </w:rPr>
        <w:t>GB/T 27306  食品安全管理体系 餐饮业要求</w:t>
      </w:r>
    </w:p>
    <w:p>
      <w:pPr>
        <w:pStyle w:val="58"/>
        <w:ind w:firstLine="420"/>
      </w:pPr>
      <w:r>
        <w:rPr>
          <w:rFonts w:hint="eastAsia"/>
        </w:rPr>
        <w:t>GB 37487  公共场所卫生管理规范</w:t>
      </w:r>
    </w:p>
    <w:p>
      <w:pPr>
        <w:pStyle w:val="58"/>
        <w:ind w:firstLine="420"/>
      </w:pPr>
      <w:r>
        <w:rPr>
          <w:rFonts w:hint="eastAsia"/>
        </w:rPr>
        <w:t>GB 37488  公共场所卫生指标及限值要求</w:t>
      </w:r>
    </w:p>
    <w:p>
      <w:pPr>
        <w:pStyle w:val="58"/>
        <w:ind w:firstLine="420"/>
      </w:pPr>
      <w:r>
        <w:rPr>
          <w:rFonts w:hint="eastAsia"/>
        </w:rPr>
        <w:t>GB 37489.1  公共场所设计卫生规范 第1部分：总则</w:t>
      </w:r>
    </w:p>
    <w:p>
      <w:pPr>
        <w:pStyle w:val="58"/>
        <w:ind w:firstLine="420"/>
      </w:pPr>
      <w:r>
        <w:rPr>
          <w:rFonts w:hint="eastAsia"/>
        </w:rPr>
        <w:t>GB 37489.</w:t>
      </w:r>
      <w:r>
        <w:t>2</w:t>
      </w:r>
      <w:r>
        <w:rPr>
          <w:rFonts w:hint="eastAsia"/>
        </w:rPr>
        <w:t xml:space="preserve">  公共场所设计卫生规范 第</w:t>
      </w:r>
      <w:r>
        <w:t>2</w:t>
      </w:r>
      <w:r>
        <w:rPr>
          <w:rFonts w:hint="eastAsia"/>
        </w:rPr>
        <w:t>部分：住宿场所</w:t>
      </w:r>
    </w:p>
    <w:p>
      <w:pPr>
        <w:pStyle w:val="58"/>
        <w:ind w:firstLine="420"/>
      </w:pPr>
      <w:r>
        <w:rPr>
          <w:rFonts w:hint="eastAsia"/>
        </w:rPr>
        <w:t>GB 37489.4  公共场所设计卫生规范 第4部分：沐浴场所</w:t>
      </w:r>
    </w:p>
    <w:p>
      <w:pPr>
        <w:pStyle w:val="106"/>
        <w:spacing w:before="312" w:after="312"/>
      </w:pPr>
      <w:bookmarkStart w:id="52" w:name="_Toc97191425"/>
      <w:bookmarkStart w:id="53" w:name="_Toc162270398"/>
      <w:bookmarkStart w:id="54" w:name="_Toc162270498"/>
      <w:r>
        <w:rPr>
          <w:rFonts w:hint="eastAsia"/>
          <w:szCs w:val="21"/>
        </w:rPr>
        <w:t>术语和定义</w:t>
      </w:r>
      <w:bookmarkEnd w:id="52"/>
      <w:bookmarkEnd w:id="53"/>
      <w:bookmarkEnd w:id="54"/>
    </w:p>
    <w:sdt>
      <w:sdtPr>
        <w:id w:val="-1"/>
        <w:placeholder>
          <w:docPart w:val="A51E19C0423E460EA37DB886972CB3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55" w:name="_Toc26986532"/>
          <w:bookmarkEnd w:id="55"/>
          <w:r>
            <w:t>下列术语和定义适用于本文件。</w:t>
          </w:r>
        </w:p>
      </w:sdtContent>
    </w:sdt>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休闲度假饭店  leisure resort</w:t>
      </w:r>
    </w:p>
    <w:p>
      <w:pPr>
        <w:pStyle w:val="58"/>
        <w:ind w:firstLine="420"/>
      </w:pPr>
      <w:r>
        <w:rPr>
          <w:rFonts w:hint="eastAsia"/>
        </w:rPr>
        <w:t>以间（套）夜为单位出租客房，以提供住宿、休闲服务为主的住宿设施，要求在饭店设计和设施配置上有浓厚的度假氛围，同时提供娱乐、会议、商务等服务。</w:t>
      </w:r>
    </w:p>
    <w:p>
      <w:pPr>
        <w:pStyle w:val="106"/>
        <w:spacing w:before="312" w:after="312"/>
      </w:pPr>
      <w:bookmarkStart w:id="56" w:name="_Toc162270499"/>
      <w:bookmarkStart w:id="57" w:name="_Toc162270399"/>
      <w:r>
        <w:rPr>
          <w:rFonts w:hint="eastAsia"/>
        </w:rPr>
        <w:t>总体要求</w:t>
      </w:r>
      <w:bookmarkEnd w:id="56"/>
      <w:bookmarkEnd w:id="57"/>
    </w:p>
    <w:p>
      <w:pPr>
        <w:pStyle w:val="164"/>
      </w:pPr>
      <w:r>
        <w:rPr>
          <w:rFonts w:hint="eastAsia"/>
        </w:rPr>
        <w:t>应符合</w:t>
      </w:r>
      <w:r>
        <w:t>GB/T 14308</w:t>
      </w:r>
      <w:r>
        <w:rPr>
          <w:rFonts w:hint="eastAsia"/>
        </w:rPr>
        <w:t>-2023第五章5.1、5.2、5.3、5.4，第6章和第7章的要求。</w:t>
      </w:r>
    </w:p>
    <w:p>
      <w:pPr>
        <w:pStyle w:val="164"/>
      </w:pPr>
      <w:r>
        <w:rPr>
          <w:rFonts w:hint="eastAsia"/>
        </w:rPr>
        <w:t>可达性良好，与机场、火车站、汽车站或高速公路有便捷的连接。</w:t>
      </w:r>
    </w:p>
    <w:p>
      <w:pPr>
        <w:pStyle w:val="164"/>
      </w:pPr>
      <w:r>
        <w:rPr>
          <w:rFonts w:hint="eastAsia"/>
        </w:rPr>
        <w:t>设施应品质优良，规模应满足休闲度假接待需求。</w:t>
      </w:r>
    </w:p>
    <w:p>
      <w:pPr>
        <w:pStyle w:val="164"/>
      </w:pPr>
      <w:r>
        <w:rPr>
          <w:rFonts w:hint="eastAsia"/>
        </w:rPr>
        <w:t>应市场知名度、品牌美誉度和游客满意度高。</w:t>
      </w:r>
    </w:p>
    <w:p>
      <w:pPr>
        <w:pStyle w:val="106"/>
        <w:spacing w:before="312" w:after="312"/>
      </w:pPr>
      <w:bookmarkStart w:id="58" w:name="_Toc162270400"/>
      <w:bookmarkStart w:id="59" w:name="_Toc162270500"/>
      <w:r>
        <w:rPr>
          <w:rFonts w:hint="eastAsia"/>
        </w:rPr>
        <w:t>环境与建筑设计要求</w:t>
      </w:r>
      <w:bookmarkEnd w:id="58"/>
      <w:bookmarkEnd w:id="59"/>
    </w:p>
    <w:p>
      <w:pPr>
        <w:pStyle w:val="107"/>
        <w:spacing w:before="156" w:after="156"/>
      </w:pPr>
      <w:bookmarkStart w:id="60" w:name="_Toc162270501"/>
      <w:bookmarkStart w:id="61" w:name="_Toc162270401"/>
      <w:r>
        <w:rPr>
          <w:rFonts w:hint="eastAsia"/>
        </w:rPr>
        <w:t>地理位置与环境</w:t>
      </w:r>
      <w:bookmarkEnd w:id="60"/>
      <w:bookmarkEnd w:id="61"/>
    </w:p>
    <w:p>
      <w:pPr>
        <w:pStyle w:val="58"/>
        <w:ind w:firstLine="420"/>
      </w:pPr>
      <w:r>
        <w:rPr>
          <w:rFonts w:hint="eastAsia"/>
        </w:rPr>
        <w:t>饭店周边及自身具有良好的自然或人文景观环境，饭店位于或临近旅游景区或度假区。</w:t>
      </w:r>
    </w:p>
    <w:p>
      <w:pPr>
        <w:pStyle w:val="107"/>
        <w:spacing w:before="156" w:after="156"/>
      </w:pPr>
      <w:bookmarkStart w:id="62" w:name="_Toc162270402"/>
      <w:bookmarkStart w:id="63" w:name="_Toc162270502"/>
      <w:r>
        <w:rPr>
          <w:rFonts w:hint="eastAsia"/>
        </w:rPr>
        <w:t>休闲度假饭店设计</w:t>
      </w:r>
      <w:bookmarkEnd w:id="62"/>
      <w:bookmarkEnd w:id="63"/>
    </w:p>
    <w:p>
      <w:pPr>
        <w:pStyle w:val="67"/>
        <w:spacing w:before="0" w:beforeLines="0" w:after="0" w:afterLines="0"/>
        <w:outlineLvl w:val="9"/>
      </w:pPr>
      <w:bookmarkStart w:id="64" w:name="_Toc162270403"/>
      <w:r>
        <w:rPr>
          <w:rFonts w:hint="eastAsia" w:ascii="宋体" w:eastAsia="宋体"/>
        </w:rPr>
        <w:t>建筑物的外形、高度与当地自然环境、风俗文化融为一体。</w:t>
      </w:r>
      <w:bookmarkEnd w:id="64"/>
    </w:p>
    <w:p>
      <w:pPr>
        <w:pStyle w:val="67"/>
        <w:spacing w:before="0" w:beforeLines="0" w:after="0" w:afterLines="0"/>
        <w:outlineLvl w:val="9"/>
        <w:rPr>
          <w:rFonts w:ascii="宋体" w:eastAsia="宋体"/>
        </w:rPr>
      </w:pPr>
      <w:bookmarkStart w:id="65" w:name="_Toc162270404"/>
      <w:r>
        <w:rPr>
          <w:rFonts w:hint="eastAsia" w:ascii="宋体" w:eastAsia="宋体"/>
        </w:rPr>
        <w:t>设计应融入当地自然或人文景观特色，依据饭店所在区域的地形地貌、气候条件、资源禀赋、生态环境、风土人情及当地城市规划要求进行整体规划设计。</w:t>
      </w:r>
      <w:bookmarkEnd w:id="65"/>
    </w:p>
    <w:p>
      <w:pPr>
        <w:pStyle w:val="67"/>
        <w:spacing w:before="0" w:beforeLines="0" w:after="0" w:afterLines="0"/>
        <w:outlineLvl w:val="9"/>
      </w:pPr>
      <w:bookmarkStart w:id="66" w:name="_Toc162270405"/>
      <w:r>
        <w:rPr>
          <w:rFonts w:hint="eastAsia" w:ascii="宋体" w:eastAsia="宋体"/>
        </w:rPr>
        <w:t>建筑整体功能布局合理，应对色彩、灯光、音乐和气味的使用进行特殊设计。</w:t>
      </w:r>
      <w:bookmarkEnd w:id="66"/>
    </w:p>
    <w:p>
      <w:pPr>
        <w:pStyle w:val="67"/>
        <w:spacing w:before="0" w:beforeLines="0" w:after="0" w:afterLines="0"/>
        <w:outlineLvl w:val="9"/>
      </w:pPr>
      <w:bookmarkStart w:id="67" w:name="_Toc162270406"/>
      <w:r>
        <w:rPr>
          <w:rFonts w:hint="eastAsia" w:ascii="宋体" w:eastAsia="宋体"/>
        </w:rPr>
        <w:t>室内应有绿色景观设计，室外有一定的绿化和景观。</w:t>
      </w:r>
      <w:bookmarkEnd w:id="67"/>
    </w:p>
    <w:p>
      <w:pPr>
        <w:pStyle w:val="67"/>
        <w:spacing w:before="0" w:beforeLines="0" w:after="0" w:afterLines="0"/>
        <w:outlineLvl w:val="9"/>
      </w:pPr>
      <w:bookmarkStart w:id="68" w:name="_Toc162270407"/>
      <w:r>
        <w:rPr>
          <w:rFonts w:hint="eastAsia" w:ascii="宋体" w:eastAsia="宋体"/>
        </w:rPr>
        <w:t>功能区域设计合理，公共区域与住宿区域、餐饮区域以及其他区域之间能够良好地衔接。</w:t>
      </w:r>
      <w:bookmarkEnd w:id="68"/>
    </w:p>
    <w:p>
      <w:pPr>
        <w:pStyle w:val="67"/>
        <w:spacing w:before="0" w:beforeLines="0" w:after="0" w:afterLines="0"/>
        <w:outlineLvl w:val="9"/>
      </w:pPr>
      <w:bookmarkStart w:id="69" w:name="_Toc162270408"/>
      <w:r>
        <w:rPr>
          <w:rFonts w:hint="eastAsia" w:ascii="宋体" w:eastAsia="宋体"/>
        </w:rPr>
        <w:t>从室外环境到室内布局的材料设备选择，应遵循生态和可持续发展的原则。</w:t>
      </w:r>
      <w:bookmarkEnd w:id="69"/>
    </w:p>
    <w:p>
      <w:pPr>
        <w:pStyle w:val="67"/>
        <w:spacing w:before="0" w:beforeLines="0" w:after="0" w:afterLines="0"/>
        <w:outlineLvl w:val="9"/>
        <w:rPr>
          <w:rFonts w:ascii="宋体" w:eastAsia="宋体"/>
        </w:rPr>
      </w:pPr>
      <w:bookmarkStart w:id="70" w:name="_Toc162270409"/>
      <w:r>
        <w:rPr>
          <w:rFonts w:hint="eastAsia" w:ascii="宋体" w:eastAsia="宋体"/>
        </w:rPr>
        <w:t>空间设计应适应不同休闲活动的空间需求，具备灵活性和可变性。</w:t>
      </w:r>
      <w:bookmarkEnd w:id="70"/>
    </w:p>
    <w:p>
      <w:pPr>
        <w:pStyle w:val="107"/>
        <w:spacing w:before="156" w:after="156"/>
      </w:pPr>
      <w:bookmarkStart w:id="71" w:name="_Toc162270410"/>
      <w:bookmarkStart w:id="72" w:name="_Toc162270503"/>
      <w:r>
        <w:rPr>
          <w:rFonts w:hint="eastAsia"/>
        </w:rPr>
        <w:t>休闲度假氛围</w:t>
      </w:r>
      <w:bookmarkEnd w:id="71"/>
      <w:bookmarkEnd w:id="72"/>
    </w:p>
    <w:p>
      <w:pPr>
        <w:pStyle w:val="67"/>
        <w:spacing w:before="0" w:beforeLines="0" w:after="0" w:afterLines="0"/>
        <w:outlineLvl w:val="9"/>
        <w:rPr>
          <w:rFonts w:ascii="宋体" w:eastAsia="宋体"/>
        </w:rPr>
      </w:pPr>
      <w:bookmarkStart w:id="73" w:name="_Toc162270411"/>
      <w:r>
        <w:rPr>
          <w:rFonts w:hint="eastAsia" w:ascii="宋体" w:eastAsia="宋体"/>
        </w:rPr>
        <w:t>应依据当地自然环境和风俗文化对色彩、灯光、音乐和香氛进行选择和使用，并提供宜人的室内温度。</w:t>
      </w:r>
      <w:bookmarkEnd w:id="73"/>
    </w:p>
    <w:p>
      <w:pPr>
        <w:pStyle w:val="67"/>
        <w:spacing w:before="0" w:beforeLines="0" w:after="0" w:afterLines="0"/>
        <w:outlineLvl w:val="9"/>
        <w:rPr>
          <w:rFonts w:ascii="宋体" w:eastAsia="宋体"/>
        </w:rPr>
      </w:pPr>
      <w:bookmarkStart w:id="74" w:name="_Toc162270412"/>
      <w:r>
        <w:rPr>
          <w:rFonts w:hint="eastAsia" w:ascii="宋体" w:eastAsia="宋体"/>
        </w:rPr>
        <w:t>内外环境和硬件建设保持整体风格统一，装修装饰具有主题文化或地方特色。</w:t>
      </w:r>
      <w:bookmarkEnd w:id="74"/>
    </w:p>
    <w:p>
      <w:pPr>
        <w:pStyle w:val="67"/>
        <w:spacing w:before="0" w:beforeLines="0" w:after="0" w:afterLines="0"/>
        <w:outlineLvl w:val="9"/>
        <w:rPr>
          <w:rFonts w:ascii="宋体" w:eastAsia="宋体"/>
        </w:rPr>
      </w:pPr>
      <w:bookmarkStart w:id="75" w:name="_Toc162270413"/>
      <w:r>
        <w:rPr>
          <w:rFonts w:hint="eastAsia" w:ascii="宋体" w:eastAsia="宋体"/>
        </w:rPr>
        <w:t>应结合当地人文习俗，针对性训练员工的操作技能、业务知识和服务素养。</w:t>
      </w:r>
      <w:bookmarkEnd w:id="75"/>
    </w:p>
    <w:p>
      <w:pPr>
        <w:pStyle w:val="67"/>
        <w:spacing w:before="0" w:beforeLines="0" w:after="0" w:afterLines="0"/>
        <w:outlineLvl w:val="9"/>
        <w:rPr>
          <w:rFonts w:ascii="宋体" w:eastAsia="宋体"/>
        </w:rPr>
      </w:pPr>
      <w:bookmarkStart w:id="76" w:name="_Toc162270414"/>
      <w:r>
        <w:rPr>
          <w:rFonts w:hint="eastAsia" w:ascii="宋体" w:eastAsia="宋体"/>
        </w:rPr>
        <w:t>员工服饰设计宜依据饭店主题文化、饭店所依附的自然风光或文化景观的特点，符合工装基本要求，并衬托度假氛围，颜色应与室内设计的主色调契合。</w:t>
      </w:r>
      <w:bookmarkEnd w:id="76"/>
    </w:p>
    <w:p>
      <w:pPr>
        <w:pStyle w:val="106"/>
        <w:spacing w:before="312" w:after="312"/>
      </w:pPr>
      <w:bookmarkStart w:id="77" w:name="_Toc162270504"/>
      <w:bookmarkStart w:id="78" w:name="_Toc162270415"/>
      <w:r>
        <w:rPr>
          <w:rFonts w:hint="eastAsia"/>
        </w:rPr>
        <w:t>服务与活动要求</w:t>
      </w:r>
      <w:bookmarkEnd w:id="77"/>
      <w:bookmarkEnd w:id="78"/>
    </w:p>
    <w:p>
      <w:pPr>
        <w:pStyle w:val="107"/>
        <w:spacing w:before="156" w:after="156"/>
      </w:pPr>
      <w:bookmarkStart w:id="79" w:name="_Toc162270416"/>
      <w:bookmarkStart w:id="80" w:name="_Toc162270505"/>
      <w:r>
        <w:rPr>
          <w:rFonts w:hint="eastAsia"/>
        </w:rPr>
        <w:t>休闲度假服务</w:t>
      </w:r>
      <w:bookmarkEnd w:id="79"/>
      <w:bookmarkEnd w:id="80"/>
    </w:p>
    <w:p>
      <w:pPr>
        <w:pStyle w:val="67"/>
        <w:spacing w:before="0" w:beforeLines="0" w:after="0" w:afterLines="0"/>
        <w:outlineLvl w:val="9"/>
        <w:rPr>
          <w:rFonts w:ascii="宋体" w:eastAsia="宋体"/>
        </w:rPr>
      </w:pPr>
      <w:bookmarkStart w:id="81" w:name="_Toc162270417"/>
      <w:r>
        <w:rPr>
          <w:rFonts w:hint="eastAsia" w:ascii="宋体" w:eastAsia="宋体"/>
        </w:rPr>
        <w:t>以游客的休闲度假体验为导向，制定服务标准，完善服务设施，优化服务流程，提高产品品质。</w:t>
      </w:r>
      <w:bookmarkEnd w:id="81"/>
    </w:p>
    <w:p>
      <w:pPr>
        <w:pStyle w:val="67"/>
        <w:spacing w:before="0" w:beforeLines="0" w:after="0" w:afterLines="0"/>
        <w:outlineLvl w:val="9"/>
        <w:rPr>
          <w:rFonts w:ascii="宋体" w:eastAsia="宋体"/>
        </w:rPr>
      </w:pPr>
      <w:bookmarkStart w:id="82" w:name="_Toc162270418"/>
      <w:r>
        <w:rPr>
          <w:rFonts w:hint="eastAsia" w:ascii="宋体" w:eastAsia="宋体"/>
        </w:rPr>
        <w:t>服务设计中融入当地文化和品牌文化特色。</w:t>
      </w:r>
      <w:bookmarkEnd w:id="82"/>
    </w:p>
    <w:p>
      <w:pPr>
        <w:pStyle w:val="67"/>
        <w:spacing w:before="0" w:beforeLines="0" w:after="0" w:afterLines="0"/>
        <w:outlineLvl w:val="9"/>
        <w:rPr>
          <w:rFonts w:ascii="宋体" w:eastAsia="宋体"/>
        </w:rPr>
      </w:pPr>
      <w:bookmarkStart w:id="83" w:name="_Toc162270419"/>
      <w:r>
        <w:rPr>
          <w:rFonts w:hint="eastAsia" w:ascii="宋体" w:eastAsia="宋体"/>
        </w:rPr>
        <w:t>宜提供服务项目宣传品、客房价格信息和饭店附近旅游、文化娱乐信息。</w:t>
      </w:r>
      <w:bookmarkEnd w:id="83"/>
    </w:p>
    <w:p>
      <w:pPr>
        <w:pStyle w:val="67"/>
        <w:spacing w:before="0" w:beforeLines="0" w:after="0" w:afterLines="0"/>
        <w:outlineLvl w:val="9"/>
        <w:rPr>
          <w:rFonts w:ascii="宋体" w:eastAsia="宋体"/>
        </w:rPr>
      </w:pPr>
      <w:bookmarkStart w:id="84" w:name="_Toc162270420"/>
      <w:r>
        <w:rPr>
          <w:rFonts w:hint="eastAsia" w:ascii="宋体" w:eastAsia="宋体"/>
        </w:rPr>
        <w:t>宜提供体现地方文化的欢迎礼品、饮品或欢迎仪式。</w:t>
      </w:r>
      <w:bookmarkEnd w:id="84"/>
    </w:p>
    <w:p>
      <w:pPr>
        <w:pStyle w:val="67"/>
        <w:spacing w:before="0" w:beforeLines="0" w:after="0" w:afterLines="0"/>
        <w:outlineLvl w:val="9"/>
        <w:rPr>
          <w:rFonts w:ascii="宋体" w:eastAsia="宋体"/>
        </w:rPr>
      </w:pPr>
      <w:bookmarkStart w:id="85" w:name="_Toc162270421"/>
      <w:r>
        <w:rPr>
          <w:rFonts w:hint="eastAsia" w:ascii="宋体" w:eastAsia="宋体"/>
        </w:rPr>
        <w:t>宜提供周边旅游度假资源的问询及简单的导览服务。</w:t>
      </w:r>
      <w:bookmarkEnd w:id="85"/>
    </w:p>
    <w:p>
      <w:pPr>
        <w:pStyle w:val="67"/>
        <w:spacing w:before="0" w:beforeLines="0" w:after="0" w:afterLines="0"/>
        <w:outlineLvl w:val="9"/>
        <w:rPr>
          <w:rFonts w:ascii="宋体" w:eastAsia="宋体"/>
        </w:rPr>
      </w:pPr>
      <w:bookmarkStart w:id="86" w:name="_Toc162270422"/>
      <w:r>
        <w:rPr>
          <w:rFonts w:hint="eastAsia" w:ascii="宋体" w:eastAsia="宋体"/>
        </w:rPr>
        <w:t>应提供餐饮服务，餐点及菜肴中应体现本地特色，且应适当延长早餐用餐时段，提供18小时及以上客房送餐服务。</w:t>
      </w:r>
      <w:bookmarkEnd w:id="86"/>
    </w:p>
    <w:p>
      <w:pPr>
        <w:pStyle w:val="67"/>
        <w:spacing w:before="0" w:beforeLines="0" w:after="0" w:afterLines="0"/>
        <w:outlineLvl w:val="9"/>
        <w:rPr>
          <w:rFonts w:ascii="宋体" w:eastAsia="宋体"/>
        </w:rPr>
      </w:pPr>
      <w:bookmarkStart w:id="87" w:name="_Toc162270423"/>
      <w:r>
        <w:rPr>
          <w:rFonts w:hint="eastAsia" w:ascii="宋体" w:eastAsia="宋体"/>
        </w:rPr>
        <w:t>餐厅可为用餐游客介绍本店精品菜肴及当地名点名菜。</w:t>
      </w:r>
      <w:bookmarkEnd w:id="87"/>
    </w:p>
    <w:p>
      <w:pPr>
        <w:pStyle w:val="67"/>
        <w:spacing w:before="0" w:beforeLines="0" w:after="0" w:afterLines="0"/>
        <w:outlineLvl w:val="9"/>
        <w:rPr>
          <w:rFonts w:ascii="宋体" w:eastAsia="宋体"/>
        </w:rPr>
      </w:pPr>
      <w:bookmarkStart w:id="88" w:name="_Toc162270424"/>
      <w:r>
        <w:rPr>
          <w:rFonts w:hint="eastAsia" w:ascii="宋体" w:eastAsia="宋体"/>
        </w:rPr>
        <w:t>可根据游客的实际需求适时提供特色化的夜床服务，并提供富有本地文化特色的夜床礼品。</w:t>
      </w:r>
      <w:bookmarkEnd w:id="88"/>
    </w:p>
    <w:p>
      <w:pPr>
        <w:pStyle w:val="67"/>
        <w:spacing w:before="0" w:beforeLines="0" w:after="0" w:afterLines="0"/>
        <w:outlineLvl w:val="9"/>
        <w:rPr>
          <w:rFonts w:ascii="宋体" w:eastAsia="宋体"/>
        </w:rPr>
      </w:pPr>
      <w:bookmarkStart w:id="89" w:name="_Toc162270425"/>
      <w:r>
        <w:rPr>
          <w:rFonts w:hint="eastAsia" w:ascii="宋体" w:eastAsia="宋体"/>
        </w:rPr>
        <w:t>宜提供自助洗衣及专业第三方便捷洗衣服务。</w:t>
      </w:r>
      <w:bookmarkEnd w:id="89"/>
    </w:p>
    <w:p>
      <w:pPr>
        <w:pStyle w:val="107"/>
        <w:spacing w:before="156" w:after="156"/>
      </w:pPr>
      <w:bookmarkStart w:id="90" w:name="_Toc162270506"/>
      <w:bookmarkStart w:id="91" w:name="_Toc162270426"/>
      <w:r>
        <w:rPr>
          <w:rFonts w:hint="eastAsia"/>
        </w:rPr>
        <w:t>休闲度假特色活动</w:t>
      </w:r>
      <w:bookmarkEnd w:id="90"/>
      <w:bookmarkEnd w:id="91"/>
    </w:p>
    <w:p>
      <w:pPr>
        <w:pStyle w:val="67"/>
        <w:spacing w:before="0" w:beforeLines="0" w:after="0" w:afterLines="0"/>
        <w:outlineLvl w:val="9"/>
        <w:rPr>
          <w:rFonts w:ascii="宋体" w:eastAsia="宋体"/>
        </w:rPr>
      </w:pPr>
      <w:bookmarkStart w:id="92" w:name="_Toc162270427"/>
      <w:r>
        <w:rPr>
          <w:rFonts w:hint="eastAsia" w:ascii="宋体" w:eastAsia="宋体"/>
        </w:rPr>
        <w:t>应类型丰富，宜在休闲度假活动中融入当地文化传统或风土人情特色。</w:t>
      </w:r>
      <w:bookmarkEnd w:id="92"/>
    </w:p>
    <w:p>
      <w:pPr>
        <w:pStyle w:val="67"/>
        <w:spacing w:before="0" w:beforeLines="0" w:after="0" w:afterLines="0"/>
        <w:outlineLvl w:val="9"/>
        <w:rPr>
          <w:rFonts w:ascii="宋体" w:eastAsia="宋体"/>
        </w:rPr>
      </w:pPr>
      <w:bookmarkStart w:id="93" w:name="_Toc162270428"/>
      <w:r>
        <w:rPr>
          <w:rFonts w:hint="eastAsia" w:ascii="宋体" w:eastAsia="宋体"/>
        </w:rPr>
        <w:t>宜提供具有地方文化特色的室内或室外表演项目。</w:t>
      </w:r>
      <w:bookmarkEnd w:id="93"/>
    </w:p>
    <w:p>
      <w:pPr>
        <w:pStyle w:val="67"/>
        <w:spacing w:before="0" w:beforeLines="0" w:after="0" w:afterLines="0"/>
        <w:outlineLvl w:val="9"/>
        <w:rPr>
          <w:rFonts w:ascii="宋体" w:eastAsia="宋体"/>
        </w:rPr>
      </w:pPr>
      <w:bookmarkStart w:id="94" w:name="_Toc162270429"/>
      <w:r>
        <w:rPr>
          <w:rFonts w:hint="eastAsia" w:ascii="宋体" w:eastAsia="宋体"/>
        </w:rPr>
        <w:t>宜提供休闲度假活动中提供所需工具和器材的租赁服务。</w:t>
      </w:r>
      <w:bookmarkEnd w:id="94"/>
    </w:p>
    <w:p>
      <w:pPr>
        <w:pStyle w:val="67"/>
        <w:spacing w:before="0" w:beforeLines="0" w:after="0" w:afterLines="0"/>
        <w:outlineLvl w:val="9"/>
      </w:pPr>
      <w:bookmarkStart w:id="95" w:name="_Toc162270430"/>
      <w:r>
        <w:rPr>
          <w:rFonts w:hint="eastAsia" w:ascii="宋体" w:eastAsia="宋体"/>
        </w:rPr>
        <w:t>休闲度假活动宜根据时令和季节特色有所变化与更新。收费的活动应明码标价，活动规则、设施状况、注意事项、活动风险等应明确告知。</w:t>
      </w:r>
      <w:bookmarkEnd w:id="95"/>
    </w:p>
    <w:p>
      <w:pPr>
        <w:pStyle w:val="67"/>
        <w:spacing w:before="0" w:beforeLines="0" w:after="0" w:afterLines="0"/>
        <w:outlineLvl w:val="9"/>
        <w:rPr>
          <w:rFonts w:ascii="宋体" w:eastAsia="宋体"/>
        </w:rPr>
      </w:pPr>
      <w:bookmarkStart w:id="96" w:name="_Toc162270431"/>
      <w:r>
        <w:rPr>
          <w:rFonts w:hint="eastAsia" w:ascii="宋体" w:eastAsia="宋体"/>
        </w:rPr>
        <w:t>应为运动、康养、文化体验等专业性强的活动配备具有专业技能的救援、教练、辅导、解说人员。</w:t>
      </w:r>
      <w:bookmarkEnd w:id="96"/>
    </w:p>
    <w:p>
      <w:pPr>
        <w:pStyle w:val="67"/>
        <w:spacing w:before="0" w:beforeLines="0" w:after="0" w:afterLines="0"/>
        <w:outlineLvl w:val="9"/>
      </w:pPr>
      <w:bookmarkStart w:id="97" w:name="_Toc162270432"/>
      <w:r>
        <w:rPr>
          <w:rFonts w:hint="eastAsia" w:ascii="宋体" w:eastAsia="宋体"/>
        </w:rPr>
        <w:t>宜提供当地特产、文创手工、特色菜品、家居用品等购物体验，且质量良好，价格合理，明码标价。</w:t>
      </w:r>
      <w:bookmarkEnd w:id="97"/>
    </w:p>
    <w:p>
      <w:pPr>
        <w:pStyle w:val="106"/>
        <w:spacing w:before="312" w:after="312"/>
      </w:pPr>
      <w:bookmarkStart w:id="98" w:name="_Toc162270433"/>
      <w:bookmarkStart w:id="99" w:name="_Toc162270507"/>
      <w:r>
        <w:rPr>
          <w:rFonts w:hint="eastAsia"/>
        </w:rPr>
        <w:t>设施设备要求</w:t>
      </w:r>
      <w:bookmarkEnd w:id="98"/>
      <w:bookmarkEnd w:id="99"/>
    </w:p>
    <w:p>
      <w:pPr>
        <w:pStyle w:val="107"/>
        <w:spacing w:before="156" w:after="156"/>
      </w:pPr>
      <w:bookmarkStart w:id="100" w:name="_Toc162270508"/>
      <w:bookmarkStart w:id="101" w:name="_Toc162270434"/>
      <w:r>
        <w:rPr>
          <w:rFonts w:hint="eastAsia"/>
        </w:rPr>
        <w:t>公共区域及前厅设施</w:t>
      </w:r>
      <w:bookmarkEnd w:id="100"/>
      <w:bookmarkEnd w:id="101"/>
    </w:p>
    <w:p>
      <w:pPr>
        <w:pStyle w:val="67"/>
        <w:spacing w:before="0" w:beforeLines="0" w:after="0" w:afterLines="0"/>
        <w:outlineLvl w:val="9"/>
        <w:rPr>
          <w:rFonts w:ascii="宋体" w:eastAsia="宋体"/>
        </w:rPr>
      </w:pPr>
      <w:bookmarkStart w:id="102" w:name="_Toc162270435"/>
      <w:r>
        <w:rPr>
          <w:rFonts w:hint="eastAsia" w:ascii="宋体" w:eastAsia="宋体"/>
        </w:rPr>
        <w:t>应符合</w:t>
      </w:r>
      <w:r>
        <w:rPr>
          <w:rFonts w:ascii="宋体" w:eastAsia="宋体"/>
        </w:rPr>
        <w:t>GB/T 14308</w:t>
      </w:r>
      <w:r>
        <w:rPr>
          <w:rFonts w:hint="eastAsia" w:ascii="宋体" w:eastAsia="宋体"/>
        </w:rPr>
        <w:t>-2023附录A中三星级旅游饭店公共区域及前厅设施要求。</w:t>
      </w:r>
      <w:bookmarkEnd w:id="102"/>
    </w:p>
    <w:p>
      <w:pPr>
        <w:pStyle w:val="67"/>
        <w:spacing w:before="0" w:beforeLines="0" w:after="0" w:afterLines="0"/>
        <w:outlineLvl w:val="9"/>
        <w:rPr>
          <w:rFonts w:ascii="宋体" w:eastAsia="宋体"/>
        </w:rPr>
      </w:pPr>
      <w:bookmarkStart w:id="103" w:name="_Toc162270436"/>
      <w:r>
        <w:rPr>
          <w:rFonts w:hint="eastAsia" w:ascii="宋体" w:eastAsia="宋体"/>
        </w:rPr>
        <w:t>内部道路具有明确的标识，线路流向科学安全，迂回转弯避让合理。</w:t>
      </w:r>
      <w:bookmarkEnd w:id="103"/>
    </w:p>
    <w:p>
      <w:pPr>
        <w:pStyle w:val="67"/>
        <w:spacing w:before="0" w:beforeLines="0" w:after="0" w:afterLines="0"/>
        <w:outlineLvl w:val="9"/>
        <w:rPr>
          <w:rFonts w:ascii="宋体" w:eastAsia="宋体"/>
        </w:rPr>
      </w:pPr>
      <w:bookmarkStart w:id="104" w:name="_Toc162270437"/>
      <w:r>
        <w:rPr>
          <w:rFonts w:hint="eastAsia" w:ascii="宋体" w:eastAsia="宋体"/>
        </w:rPr>
        <w:t>停车场应配备一定数量的充电桩，为客人提供24h充电服务。</w:t>
      </w:r>
      <w:bookmarkEnd w:id="104"/>
    </w:p>
    <w:p>
      <w:pPr>
        <w:pStyle w:val="67"/>
        <w:spacing w:before="0" w:beforeLines="0" w:after="0" w:afterLines="0"/>
        <w:outlineLvl w:val="9"/>
        <w:rPr>
          <w:rFonts w:ascii="宋体" w:eastAsia="宋体"/>
        </w:rPr>
      </w:pPr>
      <w:bookmarkStart w:id="105" w:name="_Toc162270438"/>
      <w:r>
        <w:rPr>
          <w:rFonts w:hint="eastAsia" w:ascii="宋体" w:eastAsia="宋体"/>
        </w:rPr>
        <w:t>场地条件许可的饭店宜预留一定数量的房车营地，并提供相关服务。</w:t>
      </w:r>
      <w:bookmarkEnd w:id="105"/>
    </w:p>
    <w:p>
      <w:pPr>
        <w:pStyle w:val="67"/>
        <w:spacing w:before="0" w:beforeLines="0" w:after="0" w:afterLines="0"/>
        <w:outlineLvl w:val="9"/>
        <w:rPr>
          <w:rFonts w:ascii="宋体" w:eastAsia="宋体"/>
        </w:rPr>
      </w:pPr>
      <w:bookmarkStart w:id="106" w:name="_Toc162270439"/>
      <w:r>
        <w:rPr>
          <w:rFonts w:hint="eastAsia" w:ascii="宋体" w:eastAsia="宋体"/>
        </w:rPr>
        <w:t>若采用分布式建筑，建筑物之间步行距离过远时应配备一定数量的观光接驳车辆。</w:t>
      </w:r>
      <w:bookmarkEnd w:id="106"/>
    </w:p>
    <w:p>
      <w:pPr>
        <w:pStyle w:val="67"/>
        <w:spacing w:before="0" w:beforeLines="0" w:after="0" w:afterLines="0"/>
        <w:outlineLvl w:val="9"/>
        <w:rPr>
          <w:rFonts w:ascii="宋体" w:eastAsia="宋体"/>
        </w:rPr>
      </w:pPr>
      <w:bookmarkStart w:id="107" w:name="_Toc162270440"/>
      <w:r>
        <w:rPr>
          <w:rFonts w:hint="eastAsia" w:ascii="宋体" w:eastAsia="宋体"/>
        </w:rPr>
        <w:t>可为游客提供接送或接驳服务。</w:t>
      </w:r>
      <w:bookmarkEnd w:id="107"/>
    </w:p>
    <w:p>
      <w:pPr>
        <w:pStyle w:val="67"/>
        <w:spacing w:before="0" w:beforeLines="0" w:after="0" w:afterLines="0"/>
        <w:outlineLvl w:val="9"/>
        <w:rPr>
          <w:rFonts w:ascii="宋体" w:eastAsia="宋体"/>
        </w:rPr>
      </w:pPr>
      <w:bookmarkStart w:id="108" w:name="_Toc162270441"/>
      <w:r>
        <w:rPr>
          <w:rFonts w:hint="eastAsia" w:ascii="宋体" w:eastAsia="宋体"/>
        </w:rPr>
        <w:t>应合理设置游客休息区域。</w:t>
      </w:r>
      <w:bookmarkEnd w:id="108"/>
    </w:p>
    <w:p>
      <w:pPr>
        <w:pStyle w:val="67"/>
        <w:spacing w:before="0" w:beforeLines="0" w:after="0" w:afterLines="0"/>
        <w:outlineLvl w:val="9"/>
        <w:rPr>
          <w:rFonts w:ascii="宋体" w:eastAsia="宋体"/>
        </w:rPr>
      </w:pPr>
      <w:bookmarkStart w:id="109" w:name="_Toc162270442"/>
      <w:r>
        <w:rPr>
          <w:rFonts w:hint="eastAsia" w:ascii="宋体" w:eastAsia="宋体"/>
        </w:rPr>
        <w:t>应设有行李寄存区域，配有专用行李车。</w:t>
      </w:r>
      <w:bookmarkEnd w:id="109"/>
    </w:p>
    <w:p>
      <w:pPr>
        <w:pStyle w:val="107"/>
        <w:spacing w:before="156" w:after="156"/>
      </w:pPr>
      <w:bookmarkStart w:id="110" w:name="_Toc162270509"/>
      <w:bookmarkStart w:id="111" w:name="_Toc162270443"/>
      <w:r>
        <w:rPr>
          <w:rFonts w:hint="eastAsia"/>
        </w:rPr>
        <w:t>住宿设施</w:t>
      </w:r>
      <w:bookmarkEnd w:id="110"/>
      <w:bookmarkEnd w:id="111"/>
    </w:p>
    <w:p>
      <w:pPr>
        <w:pStyle w:val="67"/>
        <w:spacing w:before="0" w:beforeLines="0" w:after="0" w:afterLines="0"/>
        <w:outlineLvl w:val="9"/>
        <w:rPr>
          <w:rFonts w:ascii="宋体" w:eastAsia="宋体"/>
        </w:rPr>
      </w:pPr>
      <w:bookmarkStart w:id="112" w:name="_Toc162270444"/>
      <w:r>
        <w:rPr>
          <w:rFonts w:hint="eastAsia" w:ascii="宋体" w:eastAsia="宋体"/>
        </w:rPr>
        <w:t>住宿设施舒适度较高，应符合</w:t>
      </w:r>
      <w:r>
        <w:rPr>
          <w:rFonts w:ascii="宋体" w:eastAsia="宋体"/>
        </w:rPr>
        <w:t>GB/T 14308</w:t>
      </w:r>
      <w:r>
        <w:rPr>
          <w:rFonts w:hint="eastAsia" w:ascii="宋体" w:eastAsia="宋体"/>
        </w:rPr>
        <w:t>-2023附录A中三星级旅游饭店住宿设施要求。</w:t>
      </w:r>
      <w:bookmarkEnd w:id="112"/>
    </w:p>
    <w:p>
      <w:pPr>
        <w:pStyle w:val="67"/>
        <w:spacing w:before="0" w:beforeLines="0" w:after="0" w:afterLines="0"/>
        <w:outlineLvl w:val="9"/>
        <w:rPr>
          <w:rFonts w:ascii="宋体" w:eastAsia="宋体"/>
        </w:rPr>
      </w:pPr>
      <w:bookmarkStart w:id="113" w:name="_Toc162270445"/>
      <w:r>
        <w:rPr>
          <w:rFonts w:hint="eastAsia" w:ascii="宋体" w:eastAsia="宋体"/>
        </w:rPr>
        <w:t>住宿设施应满足休闲度假需求，宜设有家庭房、亲子房、景观房、主题房等度假型房型，并提供相应的服务用品。</w:t>
      </w:r>
      <w:bookmarkEnd w:id="113"/>
    </w:p>
    <w:p>
      <w:pPr>
        <w:pStyle w:val="67"/>
        <w:spacing w:before="0" w:beforeLines="0" w:after="0" w:afterLines="0"/>
        <w:outlineLvl w:val="9"/>
        <w:rPr>
          <w:rFonts w:ascii="宋体" w:eastAsia="宋体"/>
        </w:rPr>
      </w:pPr>
      <w:bookmarkStart w:id="114" w:name="_Toc162270446"/>
      <w:r>
        <w:rPr>
          <w:rFonts w:hint="eastAsia" w:ascii="宋体" w:eastAsia="宋体"/>
        </w:rPr>
        <w:t>客房设计宜与自然环境相协调，并能与文化深度融合，能够通过户外环境、室内装饰、家具用品等能营造地方文化氛围。</w:t>
      </w:r>
      <w:bookmarkEnd w:id="114"/>
    </w:p>
    <w:p>
      <w:pPr>
        <w:pStyle w:val="67"/>
        <w:spacing w:before="0" w:beforeLines="0" w:after="0" w:afterLines="0"/>
        <w:outlineLvl w:val="9"/>
        <w:rPr>
          <w:rFonts w:ascii="宋体" w:eastAsia="宋体"/>
        </w:rPr>
      </w:pPr>
      <w:bookmarkStart w:id="115" w:name="_Toc162270447"/>
      <w:r>
        <w:rPr>
          <w:rFonts w:hint="eastAsia" w:ascii="宋体" w:eastAsia="宋体"/>
        </w:rPr>
        <w:t>客房内灯具开关位置合理，设有灯光总控开关，各开关标志清晰，方便使用。</w:t>
      </w:r>
      <w:bookmarkEnd w:id="115"/>
    </w:p>
    <w:p>
      <w:pPr>
        <w:pStyle w:val="67"/>
        <w:spacing w:before="0" w:beforeLines="0" w:after="0" w:afterLines="0"/>
        <w:outlineLvl w:val="9"/>
        <w:rPr>
          <w:rFonts w:ascii="宋体" w:eastAsia="宋体"/>
        </w:rPr>
      </w:pPr>
      <w:bookmarkStart w:id="116" w:name="_Toc162270448"/>
      <w:r>
        <w:rPr>
          <w:rFonts w:hint="eastAsia" w:ascii="宋体" w:eastAsia="宋体"/>
        </w:rPr>
        <w:t>客房内有烟感报警器、防烟面具及应急电筒。</w:t>
      </w:r>
      <w:bookmarkEnd w:id="116"/>
    </w:p>
    <w:p>
      <w:pPr>
        <w:pStyle w:val="67"/>
        <w:spacing w:before="0" w:beforeLines="0" w:after="0" w:afterLines="0"/>
        <w:outlineLvl w:val="9"/>
        <w:rPr>
          <w:rFonts w:ascii="宋体" w:eastAsia="宋体"/>
        </w:rPr>
      </w:pPr>
      <w:bookmarkStart w:id="117" w:name="_Toc162270449"/>
      <w:r>
        <w:rPr>
          <w:rFonts w:hint="eastAsia" w:ascii="宋体" w:eastAsia="宋体"/>
        </w:rPr>
        <w:t>客房内宜配备富有当地休闲度假元素的文印品。</w:t>
      </w:r>
      <w:bookmarkEnd w:id="117"/>
    </w:p>
    <w:p>
      <w:pPr>
        <w:pStyle w:val="107"/>
        <w:spacing w:before="156" w:after="156"/>
      </w:pPr>
      <w:bookmarkStart w:id="118" w:name="_Toc162270450"/>
      <w:bookmarkStart w:id="119" w:name="_Toc162270510"/>
      <w:r>
        <w:rPr>
          <w:rFonts w:hint="eastAsia"/>
        </w:rPr>
        <w:t>餐饮设施</w:t>
      </w:r>
      <w:bookmarkEnd w:id="118"/>
      <w:bookmarkEnd w:id="119"/>
    </w:p>
    <w:p>
      <w:pPr>
        <w:pStyle w:val="67"/>
        <w:spacing w:before="0" w:beforeLines="0" w:after="0" w:afterLines="0"/>
        <w:outlineLvl w:val="9"/>
        <w:rPr>
          <w:rFonts w:ascii="宋体" w:eastAsia="宋体"/>
        </w:rPr>
      </w:pPr>
      <w:bookmarkStart w:id="120" w:name="_Toc162270451"/>
      <w:r>
        <w:rPr>
          <w:rFonts w:hint="eastAsia" w:ascii="宋体" w:eastAsia="宋体"/>
        </w:rPr>
        <w:t>应符合</w:t>
      </w:r>
      <w:r>
        <w:rPr>
          <w:rFonts w:ascii="宋体" w:eastAsia="宋体"/>
        </w:rPr>
        <w:t>GB/T 14308</w:t>
      </w:r>
      <w:r>
        <w:rPr>
          <w:rFonts w:hint="eastAsia" w:ascii="宋体" w:eastAsia="宋体"/>
        </w:rPr>
        <w:t>-2023附录A中三星级旅游饭店餐饮设施要求。</w:t>
      </w:r>
      <w:bookmarkEnd w:id="120"/>
    </w:p>
    <w:p>
      <w:pPr>
        <w:pStyle w:val="67"/>
        <w:spacing w:before="0" w:beforeLines="0" w:after="0" w:afterLines="0"/>
        <w:outlineLvl w:val="9"/>
        <w:rPr>
          <w:rFonts w:ascii="宋体" w:eastAsia="宋体"/>
        </w:rPr>
      </w:pPr>
      <w:bookmarkStart w:id="121" w:name="_Toc162270452"/>
      <w:r>
        <w:rPr>
          <w:rFonts w:hint="eastAsia" w:ascii="宋体" w:eastAsia="宋体"/>
        </w:rPr>
        <w:t>应配有一个以上正餐厅，能提供中式正餐、本地特色早餐、其他风味餐服务，能满足具有特殊饮食习惯人群的用餐需求。</w:t>
      </w:r>
      <w:bookmarkEnd w:id="121"/>
    </w:p>
    <w:p>
      <w:pPr>
        <w:pStyle w:val="67"/>
        <w:spacing w:before="0" w:beforeLines="0" w:after="0" w:afterLines="0"/>
        <w:outlineLvl w:val="9"/>
        <w:rPr>
          <w:rFonts w:ascii="宋体" w:eastAsia="宋体"/>
        </w:rPr>
      </w:pPr>
      <w:bookmarkStart w:id="122" w:name="_Toc162270453"/>
      <w:r>
        <w:rPr>
          <w:rFonts w:hint="eastAsia" w:ascii="宋体" w:eastAsia="宋体"/>
        </w:rPr>
        <w:t>宜配有酒吧或茶吧等休闲餐饮设施，可提供酒水及软饮服务。</w:t>
      </w:r>
      <w:bookmarkEnd w:id="122"/>
    </w:p>
    <w:p>
      <w:pPr>
        <w:pStyle w:val="67"/>
        <w:spacing w:before="0" w:beforeLines="0" w:after="0" w:afterLines="0"/>
        <w:outlineLvl w:val="9"/>
        <w:rPr>
          <w:rFonts w:ascii="宋体" w:eastAsia="宋体"/>
        </w:rPr>
      </w:pPr>
      <w:bookmarkStart w:id="123" w:name="_Toc162270454"/>
      <w:r>
        <w:rPr>
          <w:rFonts w:hint="eastAsia" w:ascii="宋体" w:eastAsia="宋体"/>
        </w:rPr>
        <w:t>餐厅应提供具有地方特色的菜品菜系和食材。</w:t>
      </w:r>
      <w:bookmarkEnd w:id="123"/>
    </w:p>
    <w:p>
      <w:pPr>
        <w:pStyle w:val="67"/>
        <w:spacing w:before="0" w:beforeLines="0" w:after="0" w:afterLines="0"/>
        <w:outlineLvl w:val="9"/>
        <w:rPr>
          <w:rFonts w:ascii="宋体" w:eastAsia="宋体"/>
        </w:rPr>
      </w:pPr>
      <w:bookmarkStart w:id="124" w:name="_Toc162270455"/>
      <w:r>
        <w:rPr>
          <w:rFonts w:hint="eastAsia" w:ascii="宋体" w:eastAsia="宋体"/>
        </w:rPr>
        <w:t>餐厅可提供用于表演活动的场地。</w:t>
      </w:r>
      <w:bookmarkEnd w:id="124"/>
    </w:p>
    <w:p>
      <w:pPr>
        <w:pStyle w:val="67"/>
        <w:spacing w:before="0" w:beforeLines="0" w:after="0" w:afterLines="0"/>
        <w:outlineLvl w:val="9"/>
        <w:rPr>
          <w:rFonts w:ascii="宋体" w:eastAsia="宋体"/>
        </w:rPr>
      </w:pPr>
      <w:bookmarkStart w:id="125" w:name="_Toc162270456"/>
      <w:r>
        <w:rPr>
          <w:rFonts w:hint="eastAsia" w:ascii="宋体" w:eastAsia="宋体"/>
        </w:rPr>
        <w:t>餐厅菜单设计宜有创意，可体现当地美食文化特色。</w:t>
      </w:r>
      <w:bookmarkEnd w:id="125"/>
    </w:p>
    <w:p>
      <w:pPr>
        <w:pStyle w:val="107"/>
        <w:spacing w:before="156" w:after="156"/>
      </w:pPr>
      <w:bookmarkStart w:id="126" w:name="_Toc162270457"/>
      <w:bookmarkStart w:id="127" w:name="_Toc162270511"/>
      <w:r>
        <w:rPr>
          <w:rFonts w:hint="eastAsia"/>
        </w:rPr>
        <w:t>休闲娱乐设施</w:t>
      </w:r>
      <w:bookmarkEnd w:id="126"/>
      <w:bookmarkEnd w:id="127"/>
    </w:p>
    <w:p>
      <w:pPr>
        <w:pStyle w:val="67"/>
        <w:spacing w:before="0" w:beforeLines="0" w:after="0" w:afterLines="0"/>
        <w:outlineLvl w:val="9"/>
      </w:pPr>
      <w:bookmarkStart w:id="128" w:name="_Toc162270458"/>
      <w:r>
        <w:rPr>
          <w:rFonts w:hint="eastAsia" w:ascii="宋体" w:eastAsia="宋体"/>
        </w:rPr>
        <w:t>宜提供类型丰富、质量优良的户外及室内休闲活动设施，户外与室内设施应互为补充，满足不同时间、不同人群的多方面休闲需求。</w:t>
      </w:r>
      <w:bookmarkEnd w:id="128"/>
    </w:p>
    <w:p>
      <w:pPr>
        <w:pStyle w:val="67"/>
        <w:spacing w:before="0" w:beforeLines="0" w:after="0" w:afterLines="0"/>
        <w:outlineLvl w:val="9"/>
        <w:rPr>
          <w:rFonts w:ascii="宋体" w:eastAsia="宋体"/>
        </w:rPr>
      </w:pPr>
      <w:bookmarkStart w:id="129" w:name="_Toc162270459"/>
      <w:r>
        <w:rPr>
          <w:rFonts w:hint="eastAsia" w:ascii="宋体" w:eastAsia="宋体"/>
        </w:rPr>
        <w:t>休闲娱乐设施总体规模应与需求相匹配。</w:t>
      </w:r>
      <w:bookmarkEnd w:id="129"/>
    </w:p>
    <w:p>
      <w:pPr>
        <w:pStyle w:val="67"/>
        <w:spacing w:before="0" w:beforeLines="0" w:after="0" w:afterLines="0"/>
        <w:outlineLvl w:val="9"/>
        <w:rPr>
          <w:rFonts w:ascii="宋体" w:eastAsia="宋体"/>
        </w:rPr>
      </w:pPr>
      <w:bookmarkStart w:id="130" w:name="_Toc162270460"/>
      <w:r>
        <w:rPr>
          <w:rFonts w:hint="eastAsia" w:ascii="宋体" w:eastAsia="宋体"/>
        </w:rPr>
        <w:t>休息娱乐设施的设置应与周边区域的旅游资源相衔接。</w:t>
      </w:r>
      <w:bookmarkEnd w:id="130"/>
    </w:p>
    <w:p>
      <w:pPr>
        <w:pStyle w:val="67"/>
        <w:spacing w:before="0" w:beforeLines="0" w:after="0" w:afterLines="0"/>
        <w:outlineLvl w:val="9"/>
        <w:rPr>
          <w:rFonts w:ascii="宋体" w:eastAsia="宋体"/>
        </w:rPr>
      </w:pPr>
      <w:bookmarkStart w:id="131" w:name="_Toc162270461"/>
      <w:r>
        <w:rPr>
          <w:rFonts w:hint="eastAsia" w:ascii="宋体" w:eastAsia="宋体"/>
        </w:rPr>
        <w:t>可为老年人、儿童、残障人等特殊人群提供相应的休闲娱乐设施。</w:t>
      </w:r>
      <w:bookmarkEnd w:id="131"/>
    </w:p>
    <w:p>
      <w:pPr>
        <w:pStyle w:val="67"/>
        <w:spacing w:before="0" w:beforeLines="0" w:after="0" w:afterLines="0"/>
        <w:outlineLvl w:val="9"/>
        <w:rPr>
          <w:rFonts w:ascii="宋体" w:eastAsia="宋体"/>
        </w:rPr>
      </w:pPr>
      <w:bookmarkStart w:id="132" w:name="_Toc162270462"/>
      <w:r>
        <w:rPr>
          <w:rFonts w:hint="eastAsia" w:ascii="宋体" w:eastAsia="宋体"/>
        </w:rPr>
        <w:t>休闲娱乐设施应符合</w:t>
      </w:r>
      <w:r>
        <w:rPr>
          <w:rFonts w:ascii="宋体" w:eastAsia="宋体"/>
        </w:rPr>
        <w:t>GB/T 16767</w:t>
      </w:r>
      <w:r>
        <w:rPr>
          <w:rFonts w:hint="eastAsia" w:ascii="宋体" w:eastAsia="宋体"/>
        </w:rPr>
        <w:t>的相关安全要求，有安全使用说明及注意事项。</w:t>
      </w:r>
      <w:bookmarkEnd w:id="132"/>
    </w:p>
    <w:p>
      <w:pPr>
        <w:pStyle w:val="106"/>
        <w:spacing w:before="312" w:after="312"/>
      </w:pPr>
      <w:bookmarkStart w:id="133" w:name="_Toc162270463"/>
      <w:bookmarkStart w:id="134" w:name="_Toc162270512"/>
      <w:r>
        <w:rPr>
          <w:rFonts w:hint="eastAsia"/>
        </w:rPr>
        <w:t>运营管理要求</w:t>
      </w:r>
      <w:bookmarkEnd w:id="133"/>
      <w:bookmarkEnd w:id="134"/>
    </w:p>
    <w:p>
      <w:pPr>
        <w:pStyle w:val="107"/>
        <w:spacing w:before="156" w:after="156"/>
      </w:pPr>
      <w:bookmarkStart w:id="135" w:name="_Toc162270464"/>
      <w:bookmarkStart w:id="136" w:name="_Toc162270513"/>
      <w:r>
        <w:rPr>
          <w:rFonts w:hint="eastAsia"/>
        </w:rPr>
        <w:t>制度建设</w:t>
      </w:r>
      <w:bookmarkEnd w:id="135"/>
      <w:bookmarkEnd w:id="136"/>
    </w:p>
    <w:p>
      <w:pPr>
        <w:pStyle w:val="67"/>
        <w:spacing w:before="0" w:beforeLines="0" w:after="0" w:afterLines="0"/>
        <w:outlineLvl w:val="9"/>
        <w:rPr>
          <w:rFonts w:ascii="宋体" w:eastAsia="宋体"/>
        </w:rPr>
      </w:pPr>
      <w:bookmarkStart w:id="137" w:name="_Toc162270465"/>
      <w:r>
        <w:rPr>
          <w:rFonts w:hint="eastAsia" w:ascii="宋体" w:eastAsia="宋体"/>
        </w:rPr>
        <w:t>应具有完整的管理体系，各部门有明确的规章制度。</w:t>
      </w:r>
      <w:bookmarkEnd w:id="137"/>
    </w:p>
    <w:p>
      <w:pPr>
        <w:pStyle w:val="67"/>
        <w:spacing w:before="0" w:beforeLines="0" w:after="0" w:afterLines="0"/>
        <w:outlineLvl w:val="9"/>
        <w:rPr>
          <w:rFonts w:ascii="宋体" w:eastAsia="宋体"/>
        </w:rPr>
      </w:pPr>
      <w:bookmarkStart w:id="138" w:name="_Toc162270466"/>
      <w:r>
        <w:rPr>
          <w:rFonts w:hint="eastAsia" w:ascii="宋体" w:eastAsia="宋体"/>
        </w:rPr>
        <w:t>管理制度规程应与休闲度假功能定位和市场定位相一致。</w:t>
      </w:r>
      <w:bookmarkEnd w:id="138"/>
    </w:p>
    <w:p>
      <w:pPr>
        <w:pStyle w:val="67"/>
        <w:spacing w:before="0" w:beforeLines="0" w:after="0" w:afterLines="0"/>
        <w:outlineLvl w:val="9"/>
        <w:rPr>
          <w:rFonts w:ascii="宋体" w:eastAsia="宋体"/>
        </w:rPr>
      </w:pPr>
      <w:bookmarkStart w:id="139" w:name="_Toc162270467"/>
      <w:r>
        <w:rPr>
          <w:rFonts w:hint="eastAsia" w:ascii="宋体" w:eastAsia="宋体"/>
        </w:rPr>
        <w:t>各岗位应具有明确的、包含休闲度假饭店特色的服务标准并适时更新。</w:t>
      </w:r>
      <w:bookmarkEnd w:id="139"/>
    </w:p>
    <w:p>
      <w:pPr>
        <w:pStyle w:val="67"/>
        <w:spacing w:before="0" w:beforeLines="0" w:after="0" w:afterLines="0"/>
        <w:outlineLvl w:val="9"/>
        <w:rPr>
          <w:rFonts w:ascii="宋体" w:eastAsia="宋体"/>
        </w:rPr>
      </w:pPr>
      <w:bookmarkStart w:id="140" w:name="_Toc162270468"/>
      <w:r>
        <w:rPr>
          <w:rFonts w:hint="eastAsia" w:ascii="宋体" w:eastAsia="宋体"/>
        </w:rPr>
        <w:t>应具备服务质量控制体系，通过内外部质检结合的方式提升服务质量。</w:t>
      </w:r>
      <w:bookmarkEnd w:id="140"/>
    </w:p>
    <w:p>
      <w:pPr>
        <w:pStyle w:val="107"/>
        <w:spacing w:before="156" w:after="156"/>
      </w:pPr>
      <w:bookmarkStart w:id="141" w:name="_Toc162270514"/>
      <w:bookmarkStart w:id="142" w:name="_Toc162270469"/>
      <w:r>
        <w:rPr>
          <w:rFonts w:hint="eastAsia"/>
        </w:rPr>
        <w:t>组织保障</w:t>
      </w:r>
      <w:bookmarkEnd w:id="141"/>
      <w:bookmarkEnd w:id="142"/>
    </w:p>
    <w:p>
      <w:pPr>
        <w:pStyle w:val="67"/>
        <w:spacing w:before="0" w:beforeLines="0" w:after="0" w:afterLines="0"/>
        <w:outlineLvl w:val="9"/>
        <w:rPr>
          <w:rFonts w:ascii="宋体" w:eastAsia="宋体"/>
        </w:rPr>
      </w:pPr>
      <w:bookmarkStart w:id="143" w:name="_Toc162270470"/>
      <w:r>
        <w:rPr>
          <w:rFonts w:hint="eastAsia" w:ascii="宋体" w:eastAsia="宋体"/>
        </w:rPr>
        <w:t>应具有合理的组织架构和专业管理团队。</w:t>
      </w:r>
      <w:bookmarkEnd w:id="143"/>
    </w:p>
    <w:p>
      <w:pPr>
        <w:pStyle w:val="67"/>
        <w:spacing w:before="0" w:beforeLines="0" w:after="0" w:afterLines="0"/>
        <w:outlineLvl w:val="9"/>
        <w:rPr>
          <w:rFonts w:ascii="宋体" w:eastAsia="宋体"/>
        </w:rPr>
      </w:pPr>
      <w:bookmarkStart w:id="144" w:name="_Toc162270471"/>
      <w:r>
        <w:rPr>
          <w:rFonts w:hint="eastAsia" w:ascii="宋体" w:eastAsia="宋体"/>
        </w:rPr>
        <w:t>应具有人员编制和岗位要求说明。</w:t>
      </w:r>
      <w:bookmarkEnd w:id="144"/>
    </w:p>
    <w:p>
      <w:pPr>
        <w:pStyle w:val="67"/>
        <w:spacing w:before="0" w:beforeLines="0" w:after="0" w:afterLines="0"/>
        <w:outlineLvl w:val="9"/>
        <w:rPr>
          <w:rFonts w:ascii="宋体" w:eastAsia="宋体"/>
        </w:rPr>
      </w:pPr>
      <w:bookmarkStart w:id="145" w:name="_Toc162270472"/>
      <w:r>
        <w:rPr>
          <w:rFonts w:hint="eastAsia" w:ascii="宋体" w:eastAsia="宋体"/>
        </w:rPr>
        <w:t>宜定期开展针对性员工培训，使员工知晓本岗位工作要求，并根据休闲度假活动制定专项培训计划。</w:t>
      </w:r>
      <w:bookmarkEnd w:id="145"/>
    </w:p>
    <w:p>
      <w:pPr>
        <w:pStyle w:val="107"/>
        <w:spacing w:before="156" w:after="156"/>
      </w:pPr>
      <w:bookmarkStart w:id="146" w:name="_Toc162270473"/>
      <w:bookmarkStart w:id="147" w:name="_Toc162270515"/>
      <w:r>
        <w:rPr>
          <w:rFonts w:hint="eastAsia"/>
        </w:rPr>
        <w:t>安全管理</w:t>
      </w:r>
      <w:bookmarkEnd w:id="146"/>
      <w:bookmarkEnd w:id="147"/>
    </w:p>
    <w:p>
      <w:pPr>
        <w:pStyle w:val="67"/>
        <w:spacing w:before="0" w:beforeLines="0" w:after="0" w:afterLines="0"/>
        <w:outlineLvl w:val="9"/>
        <w:rPr>
          <w:rFonts w:ascii="宋体" w:eastAsia="宋体"/>
        </w:rPr>
      </w:pPr>
      <w:bookmarkStart w:id="148" w:name="_Toc162270474"/>
      <w:r>
        <w:rPr>
          <w:rFonts w:hint="eastAsia" w:ascii="宋体" w:eastAsia="宋体"/>
        </w:rPr>
        <w:t>食品加工过程应符合当地食品安全法规的要求。</w:t>
      </w:r>
      <w:bookmarkEnd w:id="148"/>
    </w:p>
    <w:p>
      <w:pPr>
        <w:pStyle w:val="67"/>
        <w:spacing w:before="0" w:beforeLines="0" w:after="0" w:afterLines="0"/>
        <w:outlineLvl w:val="9"/>
        <w:rPr>
          <w:rFonts w:ascii="宋体" w:eastAsia="宋体"/>
        </w:rPr>
      </w:pPr>
      <w:bookmarkStart w:id="149" w:name="_Toc162270475"/>
      <w:r>
        <w:rPr>
          <w:rFonts w:hint="eastAsia" w:ascii="宋体" w:eastAsia="宋体"/>
        </w:rPr>
        <w:t>所有涉险区域如高温区、深水区、娱乐活动区等应配备相关警示标志和安全防护设施。</w:t>
      </w:r>
      <w:bookmarkEnd w:id="149"/>
    </w:p>
    <w:p>
      <w:pPr>
        <w:pStyle w:val="67"/>
        <w:spacing w:before="0" w:beforeLines="0" w:after="0" w:afterLines="0"/>
        <w:outlineLvl w:val="9"/>
        <w:rPr>
          <w:rFonts w:ascii="宋体" w:eastAsia="宋体"/>
        </w:rPr>
      </w:pPr>
      <w:bookmarkStart w:id="150" w:name="_Toc162270476"/>
      <w:r>
        <w:rPr>
          <w:rFonts w:hint="eastAsia" w:ascii="宋体" w:eastAsia="宋体"/>
        </w:rPr>
        <w:t>应具有健全的安全管理制度和明确的安全责任人。</w:t>
      </w:r>
      <w:bookmarkEnd w:id="150"/>
    </w:p>
    <w:p>
      <w:pPr>
        <w:pStyle w:val="67"/>
        <w:spacing w:before="0" w:beforeLines="0" w:after="0" w:afterLines="0"/>
        <w:outlineLvl w:val="9"/>
        <w:rPr>
          <w:rFonts w:ascii="宋体" w:eastAsia="宋体"/>
        </w:rPr>
      </w:pPr>
      <w:bookmarkStart w:id="151" w:name="_Toc162270477"/>
      <w:r>
        <w:rPr>
          <w:rFonts w:hint="eastAsia" w:ascii="宋体" w:eastAsia="宋体"/>
        </w:rPr>
        <w:t>应有突发事件（包括火灾、自然灾害、饭店建筑物和设备设施事故、食品及公共卫生事件、社会治安事件、公关和舆情危机等）处置的应急预案，并定期演练。</w:t>
      </w:r>
      <w:bookmarkEnd w:id="151"/>
    </w:p>
    <w:p>
      <w:pPr>
        <w:pStyle w:val="107"/>
        <w:spacing w:before="156" w:after="156"/>
      </w:pPr>
      <w:bookmarkStart w:id="152" w:name="_Toc162270516"/>
      <w:bookmarkStart w:id="153" w:name="_Toc162270478"/>
      <w:r>
        <w:rPr>
          <w:rFonts w:hint="eastAsia"/>
        </w:rPr>
        <w:t>卫生要求</w:t>
      </w:r>
      <w:bookmarkEnd w:id="152"/>
      <w:bookmarkEnd w:id="153"/>
    </w:p>
    <w:p>
      <w:pPr>
        <w:pStyle w:val="67"/>
        <w:spacing w:before="0" w:beforeLines="0" w:after="0" w:afterLines="0"/>
        <w:outlineLvl w:val="9"/>
        <w:rPr>
          <w:rFonts w:ascii="宋体" w:eastAsia="宋体"/>
        </w:rPr>
      </w:pPr>
      <w:bookmarkStart w:id="154" w:name="_Toc162270479"/>
      <w:r>
        <w:rPr>
          <w:rFonts w:hint="eastAsia" w:ascii="宋体" w:eastAsia="宋体"/>
        </w:rPr>
        <w:t>整体环境整洁卫生，应符合GB 37487、GB 37488、GB 37489.1、GB 37489.</w:t>
      </w:r>
      <w:r>
        <w:rPr>
          <w:rFonts w:ascii="宋体" w:eastAsia="宋体"/>
        </w:rPr>
        <w:t>2</w:t>
      </w:r>
      <w:r>
        <w:rPr>
          <w:rFonts w:hint="eastAsia" w:ascii="宋体" w:eastAsia="宋体"/>
        </w:rPr>
        <w:t>和GB 37489.4的相关卫生要求。</w:t>
      </w:r>
      <w:bookmarkEnd w:id="154"/>
    </w:p>
    <w:p>
      <w:pPr>
        <w:pStyle w:val="67"/>
        <w:spacing w:before="0" w:beforeLines="0" w:after="0" w:afterLines="0"/>
        <w:outlineLvl w:val="9"/>
        <w:rPr>
          <w:rFonts w:ascii="宋体" w:eastAsia="宋体"/>
        </w:rPr>
      </w:pPr>
      <w:bookmarkStart w:id="155" w:name="_Toc162270480"/>
      <w:r>
        <w:rPr>
          <w:rFonts w:hint="eastAsia" w:ascii="宋体" w:eastAsia="宋体"/>
        </w:rPr>
        <w:t>厨房油烟排放应符合GB 18483的要求。</w:t>
      </w:r>
      <w:bookmarkEnd w:id="155"/>
    </w:p>
    <w:p>
      <w:pPr>
        <w:pStyle w:val="67"/>
        <w:spacing w:before="0" w:beforeLines="0" w:after="0" w:afterLines="0"/>
        <w:outlineLvl w:val="9"/>
        <w:rPr>
          <w:rFonts w:ascii="宋体" w:eastAsia="宋体"/>
        </w:rPr>
      </w:pPr>
      <w:bookmarkStart w:id="156" w:name="_Toc162270481"/>
      <w:r>
        <w:rPr>
          <w:rFonts w:hint="eastAsia" w:ascii="宋体" w:eastAsia="宋体"/>
        </w:rPr>
        <w:t>空气质量应符合GB/T 18883-2022的要求。</w:t>
      </w:r>
      <w:bookmarkEnd w:id="156"/>
    </w:p>
    <w:p>
      <w:pPr>
        <w:pStyle w:val="67"/>
        <w:spacing w:before="0" w:beforeLines="0" w:after="0" w:afterLines="0"/>
        <w:outlineLvl w:val="9"/>
        <w:rPr>
          <w:rFonts w:ascii="宋体" w:eastAsia="宋体"/>
        </w:rPr>
      </w:pPr>
      <w:bookmarkStart w:id="157" w:name="_Toc162270482"/>
      <w:r>
        <w:rPr>
          <w:rFonts w:hint="eastAsia" w:ascii="宋体" w:eastAsia="宋体"/>
        </w:rPr>
        <w:t>饮用水应符合GB 5749-2022的要求。</w:t>
      </w:r>
      <w:bookmarkEnd w:id="157"/>
    </w:p>
    <w:p>
      <w:pPr>
        <w:pStyle w:val="67"/>
        <w:spacing w:before="0" w:beforeLines="0" w:after="0" w:afterLines="0"/>
        <w:outlineLvl w:val="9"/>
        <w:rPr>
          <w:rFonts w:ascii="宋体" w:eastAsia="宋体"/>
        </w:rPr>
      </w:pPr>
      <w:bookmarkStart w:id="158" w:name="_Toc162270483"/>
      <w:r>
        <w:rPr>
          <w:rFonts w:hint="eastAsia" w:ascii="宋体" w:eastAsia="宋体"/>
        </w:rPr>
        <w:t>食品采购、运输、存储、加工应符合GB/T 27306的要求。</w:t>
      </w:r>
      <w:bookmarkEnd w:id="158"/>
    </w:p>
    <w:p>
      <w:pPr>
        <w:pStyle w:val="67"/>
        <w:spacing w:before="0" w:beforeLines="0" w:after="0" w:afterLines="0"/>
        <w:outlineLvl w:val="9"/>
        <w:rPr>
          <w:rFonts w:ascii="宋体" w:eastAsia="宋体"/>
        </w:rPr>
      </w:pPr>
      <w:bookmarkStart w:id="159" w:name="_Toc162270484"/>
      <w:r>
        <w:rPr>
          <w:rFonts w:hint="eastAsia" w:ascii="宋体" w:eastAsia="宋体"/>
        </w:rPr>
        <w:t>宜具有室内外环境卫生制度和明确的卫生负责人。</w:t>
      </w:r>
      <w:bookmarkEnd w:id="159"/>
    </w:p>
    <w:p>
      <w:pPr>
        <w:pStyle w:val="107"/>
        <w:spacing w:before="156" w:after="156"/>
      </w:pPr>
      <w:bookmarkStart w:id="160" w:name="_Toc162270517"/>
      <w:bookmarkStart w:id="161" w:name="_Toc162270485"/>
      <w:r>
        <w:rPr>
          <w:rFonts w:hint="eastAsia"/>
        </w:rPr>
        <w:t>绿色环保</w:t>
      </w:r>
      <w:bookmarkEnd w:id="160"/>
      <w:bookmarkEnd w:id="161"/>
    </w:p>
    <w:p>
      <w:pPr>
        <w:pStyle w:val="67"/>
        <w:spacing w:before="0" w:beforeLines="0" w:after="0" w:afterLines="0"/>
        <w:outlineLvl w:val="9"/>
        <w:rPr>
          <w:rFonts w:ascii="宋体" w:eastAsia="宋体"/>
        </w:rPr>
      </w:pPr>
      <w:bookmarkStart w:id="162" w:name="_Toc162270486"/>
      <w:r>
        <w:rPr>
          <w:rFonts w:hint="eastAsia" w:ascii="宋体" w:eastAsia="宋体"/>
        </w:rPr>
        <w:t>宜倡导低碳节能的理念，具有节能减排措施。</w:t>
      </w:r>
      <w:bookmarkEnd w:id="162"/>
    </w:p>
    <w:p>
      <w:pPr>
        <w:pStyle w:val="67"/>
        <w:spacing w:before="0" w:beforeLines="0" w:after="0" w:afterLines="0"/>
        <w:outlineLvl w:val="9"/>
        <w:rPr>
          <w:rFonts w:ascii="宋体" w:eastAsia="宋体"/>
        </w:rPr>
      </w:pPr>
      <w:bookmarkStart w:id="163" w:name="_Toc162270487"/>
      <w:r>
        <w:rPr>
          <w:rFonts w:hint="eastAsia" w:ascii="宋体" w:eastAsia="宋体"/>
        </w:rPr>
        <w:t>宜倡导顾客绿色消费，具有文明旅游、避免浪费的相关提示。</w:t>
      </w:r>
      <w:bookmarkEnd w:id="163"/>
    </w:p>
    <w:p>
      <w:pPr>
        <w:pStyle w:val="67"/>
        <w:spacing w:before="0" w:beforeLines="0" w:after="0" w:afterLines="0"/>
        <w:outlineLvl w:val="9"/>
        <w:rPr>
          <w:rFonts w:ascii="宋体" w:eastAsia="宋体"/>
        </w:rPr>
      </w:pPr>
      <w:bookmarkStart w:id="164" w:name="_Toc162270488"/>
      <w:r>
        <w:rPr>
          <w:rFonts w:hint="eastAsia" w:ascii="宋体" w:eastAsia="宋体"/>
        </w:rPr>
        <w:t>宜配置有效的污水处理和排放系统。</w:t>
      </w:r>
      <w:bookmarkEnd w:id="164"/>
    </w:p>
    <w:p>
      <w:pPr>
        <w:pStyle w:val="67"/>
        <w:spacing w:before="0" w:beforeLines="0" w:after="0" w:afterLines="0"/>
        <w:outlineLvl w:val="9"/>
        <w:rPr>
          <w:rFonts w:ascii="宋体" w:eastAsia="宋体"/>
        </w:rPr>
      </w:pPr>
      <w:bookmarkStart w:id="165" w:name="_Toc162270489"/>
      <w:r>
        <w:rPr>
          <w:rFonts w:hint="eastAsia" w:ascii="宋体" w:eastAsia="宋体"/>
        </w:rPr>
        <w:t>应具备独立的垃圾房以及垃圾分类配套设施。</w:t>
      </w:r>
      <w:bookmarkEnd w:id="165"/>
    </w:p>
    <w:p>
      <w:pPr>
        <w:pStyle w:val="107"/>
        <w:spacing w:before="156" w:after="156"/>
      </w:pPr>
      <w:bookmarkStart w:id="166" w:name="_Toc162270490"/>
      <w:bookmarkStart w:id="167" w:name="_Toc162270518"/>
      <w:r>
        <w:rPr>
          <w:rFonts w:hint="eastAsia"/>
        </w:rPr>
        <w:t>营销活动</w:t>
      </w:r>
      <w:bookmarkEnd w:id="166"/>
      <w:bookmarkEnd w:id="167"/>
    </w:p>
    <w:p>
      <w:pPr>
        <w:pStyle w:val="67"/>
        <w:spacing w:before="0" w:beforeLines="0" w:after="0" w:afterLines="0"/>
        <w:outlineLvl w:val="9"/>
        <w:rPr>
          <w:rFonts w:ascii="宋体" w:eastAsia="宋体"/>
        </w:rPr>
      </w:pPr>
      <w:bookmarkStart w:id="168" w:name="_Toc162270491"/>
      <w:r>
        <w:rPr>
          <w:rFonts w:hint="eastAsia" w:ascii="宋体" w:eastAsia="宋体"/>
        </w:rPr>
        <w:t>应以休闲度假体验为经营特色，具有一定的特色细分市场影响力。</w:t>
      </w:r>
      <w:bookmarkEnd w:id="168"/>
    </w:p>
    <w:p>
      <w:pPr>
        <w:pStyle w:val="67"/>
        <w:spacing w:before="0" w:beforeLines="0" w:after="0" w:afterLines="0"/>
        <w:outlineLvl w:val="9"/>
        <w:rPr>
          <w:rFonts w:ascii="宋体" w:eastAsia="宋体"/>
        </w:rPr>
      </w:pPr>
      <w:bookmarkStart w:id="169" w:name="_Toc162270492"/>
      <w:r>
        <w:rPr>
          <w:rFonts w:hint="eastAsia" w:ascii="宋体" w:eastAsia="宋体"/>
        </w:rPr>
        <w:t>休闲度假产品可与饭店内部资源及周边休闲度假资源进行产品组合。</w:t>
      </w:r>
      <w:bookmarkEnd w:id="169"/>
    </w:p>
    <w:p>
      <w:pPr>
        <w:pStyle w:val="67"/>
        <w:spacing w:before="0" w:beforeLines="0" w:after="0" w:afterLines="0"/>
        <w:outlineLvl w:val="9"/>
        <w:rPr>
          <w:rFonts w:ascii="宋体" w:eastAsia="宋体"/>
        </w:rPr>
      </w:pPr>
      <w:bookmarkStart w:id="170" w:name="_Toc162270493"/>
      <w:r>
        <w:rPr>
          <w:rFonts w:hint="eastAsia" w:ascii="宋体" w:eastAsia="宋体"/>
        </w:rPr>
        <w:t>可借助新媒体等渠道开展市场营销工作，根据休闲度假饭店的客群市场进行精准营销。</w:t>
      </w:r>
      <w:bookmarkEnd w:id="170"/>
    </w:p>
    <w:bookmarkEnd w:id="28"/>
    <w:p>
      <w:pPr>
        <w:pStyle w:val="58"/>
        <w:ind w:firstLine="0" w:firstLineChars="0"/>
        <w:jc w:val="center"/>
      </w:pPr>
      <w:bookmarkStart w:id="171"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171"/>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dit="forms" w:enforcement="1" w:cryptProviderType="rsaFull" w:cryptAlgorithmClass="hash" w:cryptAlgorithmType="typeAny" w:cryptAlgorithmSid="4" w:cryptSpinCount="100000" w:hash="6eun2LSwXGwY+Yul1UKoCb2Z0VE=" w:salt="b0hh+IJ15wAk32IRxffk3w=="/>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yMjJhMThmNTcxY2EwMjI5OTg3OGYzMzQ2ZWZjNGIifQ=="/>
  </w:docVars>
  <w:rsids>
    <w:rsidRoot w:val="006630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7DC"/>
    <w:rsid w:val="000359C3"/>
    <w:rsid w:val="00035A7D"/>
    <w:rsid w:val="00036361"/>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50"/>
    <w:rsid w:val="0006357D"/>
    <w:rsid w:val="00064D4B"/>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76F"/>
    <w:rsid w:val="000B6A0B"/>
    <w:rsid w:val="000C0F6C"/>
    <w:rsid w:val="000C11DB"/>
    <w:rsid w:val="000C1492"/>
    <w:rsid w:val="000C2FBD"/>
    <w:rsid w:val="000C3507"/>
    <w:rsid w:val="000C4B41"/>
    <w:rsid w:val="000C57D6"/>
    <w:rsid w:val="000C6362"/>
    <w:rsid w:val="000C7666"/>
    <w:rsid w:val="000D0A9C"/>
    <w:rsid w:val="000D1795"/>
    <w:rsid w:val="000D329A"/>
    <w:rsid w:val="000D4B9C"/>
    <w:rsid w:val="000D4EB6"/>
    <w:rsid w:val="000D753B"/>
    <w:rsid w:val="000E1079"/>
    <w:rsid w:val="000E4C9E"/>
    <w:rsid w:val="000E6360"/>
    <w:rsid w:val="000E6FD7"/>
    <w:rsid w:val="000F06E1"/>
    <w:rsid w:val="000F0E3C"/>
    <w:rsid w:val="000F19D5"/>
    <w:rsid w:val="000F4AEA"/>
    <w:rsid w:val="000F633F"/>
    <w:rsid w:val="000F67E9"/>
    <w:rsid w:val="00104926"/>
    <w:rsid w:val="00113B1E"/>
    <w:rsid w:val="0011711C"/>
    <w:rsid w:val="00117C48"/>
    <w:rsid w:val="0012059C"/>
    <w:rsid w:val="001231D5"/>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DF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C7B"/>
    <w:rsid w:val="001D2DE7"/>
    <w:rsid w:val="001D3854"/>
    <w:rsid w:val="001D411C"/>
    <w:rsid w:val="001E1B6A"/>
    <w:rsid w:val="001E2484"/>
    <w:rsid w:val="001E33DA"/>
    <w:rsid w:val="001E3CC4"/>
    <w:rsid w:val="001E4882"/>
    <w:rsid w:val="001E649C"/>
    <w:rsid w:val="001E73AB"/>
    <w:rsid w:val="001F02D4"/>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39CF"/>
    <w:rsid w:val="0024497B"/>
    <w:rsid w:val="0024515B"/>
    <w:rsid w:val="00246021"/>
    <w:rsid w:val="0024666E"/>
    <w:rsid w:val="00247C23"/>
    <w:rsid w:val="00247F52"/>
    <w:rsid w:val="00250B25"/>
    <w:rsid w:val="00250BBE"/>
    <w:rsid w:val="002515C2"/>
    <w:rsid w:val="0025194F"/>
    <w:rsid w:val="002522BA"/>
    <w:rsid w:val="002535D7"/>
    <w:rsid w:val="0026148A"/>
    <w:rsid w:val="00262696"/>
    <w:rsid w:val="00263D25"/>
    <w:rsid w:val="002643C3"/>
    <w:rsid w:val="00264A0C"/>
    <w:rsid w:val="00266EEB"/>
    <w:rsid w:val="00267ECD"/>
    <w:rsid w:val="00267EF4"/>
    <w:rsid w:val="002706B3"/>
    <w:rsid w:val="00270CB8"/>
    <w:rsid w:val="00272B08"/>
    <w:rsid w:val="002771AC"/>
    <w:rsid w:val="00281BB8"/>
    <w:rsid w:val="00281E9E"/>
    <w:rsid w:val="00282405"/>
    <w:rsid w:val="00285170"/>
    <w:rsid w:val="00285361"/>
    <w:rsid w:val="0028609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501"/>
    <w:rsid w:val="002F7AF6"/>
    <w:rsid w:val="00300E63"/>
    <w:rsid w:val="00302F5F"/>
    <w:rsid w:val="0030441D"/>
    <w:rsid w:val="00306063"/>
    <w:rsid w:val="00312C79"/>
    <w:rsid w:val="00313B85"/>
    <w:rsid w:val="00317988"/>
    <w:rsid w:val="003221B4"/>
    <w:rsid w:val="0032258D"/>
    <w:rsid w:val="00322E62"/>
    <w:rsid w:val="00324D13"/>
    <w:rsid w:val="00324D2A"/>
    <w:rsid w:val="00324EDD"/>
    <w:rsid w:val="003331E4"/>
    <w:rsid w:val="00336C64"/>
    <w:rsid w:val="00337162"/>
    <w:rsid w:val="0034194F"/>
    <w:rsid w:val="00344605"/>
    <w:rsid w:val="00344B37"/>
    <w:rsid w:val="003474AA"/>
    <w:rsid w:val="00350D1D"/>
    <w:rsid w:val="00352C83"/>
    <w:rsid w:val="003615D2"/>
    <w:rsid w:val="00363C1E"/>
    <w:rsid w:val="0036429C"/>
    <w:rsid w:val="00364A53"/>
    <w:rsid w:val="003654CB"/>
    <w:rsid w:val="00365AA9"/>
    <w:rsid w:val="00365F86"/>
    <w:rsid w:val="00365F87"/>
    <w:rsid w:val="00366E89"/>
    <w:rsid w:val="003705F4"/>
    <w:rsid w:val="00370D58"/>
    <w:rsid w:val="00371316"/>
    <w:rsid w:val="0037522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D7CB9"/>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15E"/>
    <w:rsid w:val="00432DAA"/>
    <w:rsid w:val="00434305"/>
    <w:rsid w:val="00435DF7"/>
    <w:rsid w:val="00437AD8"/>
    <w:rsid w:val="0044083F"/>
    <w:rsid w:val="00441AE7"/>
    <w:rsid w:val="00443299"/>
    <w:rsid w:val="00445574"/>
    <w:rsid w:val="004467FB"/>
    <w:rsid w:val="00452D6B"/>
    <w:rsid w:val="00454484"/>
    <w:rsid w:val="0045517B"/>
    <w:rsid w:val="00463B77"/>
    <w:rsid w:val="00463C7B"/>
    <w:rsid w:val="0046448D"/>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95A"/>
    <w:rsid w:val="004A1BA8"/>
    <w:rsid w:val="004A4B57"/>
    <w:rsid w:val="004A63FA"/>
    <w:rsid w:val="004B0272"/>
    <w:rsid w:val="004B2701"/>
    <w:rsid w:val="004B2E1B"/>
    <w:rsid w:val="004B3AA8"/>
    <w:rsid w:val="004B3E93"/>
    <w:rsid w:val="004C1FBC"/>
    <w:rsid w:val="004C3868"/>
    <w:rsid w:val="004C3F1D"/>
    <w:rsid w:val="004C458D"/>
    <w:rsid w:val="004C7556"/>
    <w:rsid w:val="004C7E8B"/>
    <w:rsid w:val="004C7E9D"/>
    <w:rsid w:val="004C7F67"/>
    <w:rsid w:val="004D076D"/>
    <w:rsid w:val="004D0EF1"/>
    <w:rsid w:val="004D2253"/>
    <w:rsid w:val="004D3307"/>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8A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53C"/>
    <w:rsid w:val="00573D9E"/>
    <w:rsid w:val="00574154"/>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639"/>
    <w:rsid w:val="005C29B8"/>
    <w:rsid w:val="005C5F21"/>
    <w:rsid w:val="005C7156"/>
    <w:rsid w:val="005D0C75"/>
    <w:rsid w:val="005D4171"/>
    <w:rsid w:val="005D6A95"/>
    <w:rsid w:val="005D6B2C"/>
    <w:rsid w:val="005D6D9C"/>
    <w:rsid w:val="005E2335"/>
    <w:rsid w:val="005E34CA"/>
    <w:rsid w:val="005E3C18"/>
    <w:rsid w:val="005E6812"/>
    <w:rsid w:val="005E6DC3"/>
    <w:rsid w:val="005E7264"/>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418"/>
    <w:rsid w:val="00645904"/>
    <w:rsid w:val="00651ACB"/>
    <w:rsid w:val="00651C47"/>
    <w:rsid w:val="00652AB2"/>
    <w:rsid w:val="00653FED"/>
    <w:rsid w:val="00654EC0"/>
    <w:rsid w:val="0065525B"/>
    <w:rsid w:val="00655D4F"/>
    <w:rsid w:val="00656D29"/>
    <w:rsid w:val="0066300F"/>
    <w:rsid w:val="006640E5"/>
    <w:rsid w:val="006646F1"/>
    <w:rsid w:val="00664929"/>
    <w:rsid w:val="00664F62"/>
    <w:rsid w:val="006655E1"/>
    <w:rsid w:val="00672060"/>
    <w:rsid w:val="00672BFD"/>
    <w:rsid w:val="006770F4"/>
    <w:rsid w:val="00677A84"/>
    <w:rsid w:val="0068026D"/>
    <w:rsid w:val="00680A27"/>
    <w:rsid w:val="006816A4"/>
    <w:rsid w:val="006819B8"/>
    <w:rsid w:val="00683A90"/>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276A"/>
    <w:rsid w:val="007029A6"/>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3797E"/>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2D"/>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D0C"/>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0E3B"/>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445"/>
    <w:rsid w:val="00840617"/>
    <w:rsid w:val="00840F84"/>
    <w:rsid w:val="00842A47"/>
    <w:rsid w:val="00843C13"/>
    <w:rsid w:val="008454F8"/>
    <w:rsid w:val="0085173A"/>
    <w:rsid w:val="00856316"/>
    <w:rsid w:val="008603CE"/>
    <w:rsid w:val="00861F2D"/>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EEF"/>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3E3"/>
    <w:rsid w:val="008C1797"/>
    <w:rsid w:val="008C219C"/>
    <w:rsid w:val="008C4359"/>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F43"/>
    <w:rsid w:val="008F70BD"/>
    <w:rsid w:val="008F788F"/>
    <w:rsid w:val="008F7EA2"/>
    <w:rsid w:val="00902722"/>
    <w:rsid w:val="009027BC"/>
    <w:rsid w:val="009062E6"/>
    <w:rsid w:val="00911BE5"/>
    <w:rsid w:val="00913CA9"/>
    <w:rsid w:val="009145AE"/>
    <w:rsid w:val="009146CE"/>
    <w:rsid w:val="00914CA7"/>
    <w:rsid w:val="00915C3E"/>
    <w:rsid w:val="009161A8"/>
    <w:rsid w:val="00920A99"/>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9A5"/>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25A"/>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D4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D3D"/>
    <w:rsid w:val="00B4346D"/>
    <w:rsid w:val="00B440F4"/>
    <w:rsid w:val="00B447A5"/>
    <w:rsid w:val="00B4654C"/>
    <w:rsid w:val="00B46AF0"/>
    <w:rsid w:val="00B47293"/>
    <w:rsid w:val="00B50E50"/>
    <w:rsid w:val="00B52120"/>
    <w:rsid w:val="00B54ABC"/>
    <w:rsid w:val="00B54DDE"/>
    <w:rsid w:val="00B55E8E"/>
    <w:rsid w:val="00B56FBE"/>
    <w:rsid w:val="00B60ACF"/>
    <w:rsid w:val="00B62B58"/>
    <w:rsid w:val="00B65149"/>
    <w:rsid w:val="00B65F06"/>
    <w:rsid w:val="00B66567"/>
    <w:rsid w:val="00B66F52"/>
    <w:rsid w:val="00B66FE5"/>
    <w:rsid w:val="00B72880"/>
    <w:rsid w:val="00B72BEE"/>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4E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72D"/>
    <w:rsid w:val="00C013AD"/>
    <w:rsid w:val="00C04904"/>
    <w:rsid w:val="00C056B3"/>
    <w:rsid w:val="00C103E5"/>
    <w:rsid w:val="00C13319"/>
    <w:rsid w:val="00C13EE9"/>
    <w:rsid w:val="00C20DF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E36"/>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2D40"/>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C62"/>
    <w:rsid w:val="00CD50A1"/>
    <w:rsid w:val="00CD519E"/>
    <w:rsid w:val="00CD561D"/>
    <w:rsid w:val="00CD6DD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63F"/>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5E1E"/>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25F"/>
    <w:rsid w:val="00DF5C91"/>
    <w:rsid w:val="00DF5F11"/>
    <w:rsid w:val="00E01138"/>
    <w:rsid w:val="00E02DFB"/>
    <w:rsid w:val="00E030F9"/>
    <w:rsid w:val="00E0311A"/>
    <w:rsid w:val="00E03138"/>
    <w:rsid w:val="00E06404"/>
    <w:rsid w:val="00E065D2"/>
    <w:rsid w:val="00E11A85"/>
    <w:rsid w:val="00E12495"/>
    <w:rsid w:val="00E15CCD"/>
    <w:rsid w:val="00E202EF"/>
    <w:rsid w:val="00E210B5"/>
    <w:rsid w:val="00E22032"/>
    <w:rsid w:val="00E23D99"/>
    <w:rsid w:val="00E2552F"/>
    <w:rsid w:val="00E27D8C"/>
    <w:rsid w:val="00E3137A"/>
    <w:rsid w:val="00E32A81"/>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152"/>
    <w:rsid w:val="00EA58D1"/>
    <w:rsid w:val="00EA61BC"/>
    <w:rsid w:val="00EA681A"/>
    <w:rsid w:val="00EA735B"/>
    <w:rsid w:val="00EB17DE"/>
    <w:rsid w:val="00EB1E69"/>
    <w:rsid w:val="00EB2086"/>
    <w:rsid w:val="00EB5EDF"/>
    <w:rsid w:val="00EB60FE"/>
    <w:rsid w:val="00EB74DB"/>
    <w:rsid w:val="00EC2024"/>
    <w:rsid w:val="00EC5359"/>
    <w:rsid w:val="00EC562A"/>
    <w:rsid w:val="00ED067A"/>
    <w:rsid w:val="00ED2B50"/>
    <w:rsid w:val="00ED3481"/>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BEC"/>
    <w:rsid w:val="00F24287"/>
    <w:rsid w:val="00F25BB6"/>
    <w:rsid w:val="00F26B7E"/>
    <w:rsid w:val="00F27A3B"/>
    <w:rsid w:val="00F33817"/>
    <w:rsid w:val="00F420D5"/>
    <w:rsid w:val="00F451EA"/>
    <w:rsid w:val="00F45447"/>
    <w:rsid w:val="00F456C6"/>
    <w:rsid w:val="00F4577B"/>
    <w:rsid w:val="00F46496"/>
    <w:rsid w:val="00F474D0"/>
    <w:rsid w:val="00F50179"/>
    <w:rsid w:val="00F515EE"/>
    <w:rsid w:val="00F536AE"/>
    <w:rsid w:val="00F56511"/>
    <w:rsid w:val="00F6194E"/>
    <w:rsid w:val="00F623AC"/>
    <w:rsid w:val="00F6412A"/>
    <w:rsid w:val="00F65893"/>
    <w:rsid w:val="00F66A4A"/>
    <w:rsid w:val="00F71E22"/>
    <w:rsid w:val="00F72142"/>
    <w:rsid w:val="00F72AE7"/>
    <w:rsid w:val="00F76DC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499"/>
    <w:rsid w:val="00FB0CB9"/>
    <w:rsid w:val="00FB1B90"/>
    <w:rsid w:val="00FB231D"/>
    <w:rsid w:val="00FB251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532A88"/>
    <w:rsid w:val="0BF1114F"/>
    <w:rsid w:val="0EFF321D"/>
    <w:rsid w:val="1D6255EF"/>
    <w:rsid w:val="26D92385"/>
    <w:rsid w:val="29E90B31"/>
    <w:rsid w:val="389074DA"/>
    <w:rsid w:val="3D7C6D06"/>
    <w:rsid w:val="3FF7B8A4"/>
    <w:rsid w:val="42507548"/>
    <w:rsid w:val="438F40A0"/>
    <w:rsid w:val="49243873"/>
    <w:rsid w:val="4E4D39D3"/>
    <w:rsid w:val="4F6B59C1"/>
    <w:rsid w:val="50867902"/>
    <w:rsid w:val="5B13515F"/>
    <w:rsid w:val="5D77338E"/>
    <w:rsid w:val="6AF428B7"/>
    <w:rsid w:val="6E312A85"/>
    <w:rsid w:val="725956F5"/>
    <w:rsid w:val="77669CCF"/>
    <w:rsid w:val="7DCD1085"/>
    <w:rsid w:val="FEF77ADB"/>
    <w:rsid w:val="FF9CF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9"/>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8"/>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toc 8"/>
    <w:basedOn w:val="1"/>
    <w:next w:val="1"/>
    <w:autoRedefine/>
    <w:unhideWhenUsed/>
    <w:uiPriority w:val="39"/>
    <w:pPr>
      <w:adjustRightInd/>
      <w:spacing w:line="240" w:lineRule="auto"/>
      <w:ind w:left="2940" w:leftChars="1400"/>
    </w:pPr>
    <w:rPr>
      <w:rFonts w:asciiTheme="minorHAnsi" w:hAnsiTheme="minorHAnsi" w:eastAsiaTheme="minorEastAsia" w:cstheme="minorBidi"/>
      <w:szCs w:val="22"/>
    </w:rPr>
  </w:style>
  <w:style w:type="paragraph" w:styleId="17">
    <w:name w:val="Balloon Text"/>
    <w:basedOn w:val="1"/>
    <w:link w:val="47"/>
    <w:autoRedefine/>
    <w:semiHidden/>
    <w:unhideWhenUsed/>
    <w:qFormat/>
    <w:uiPriority w:val="99"/>
    <w:rPr>
      <w:sz w:val="18"/>
      <w:szCs w:val="18"/>
    </w:rPr>
  </w:style>
  <w:style w:type="paragraph" w:styleId="18">
    <w:name w:val="footer"/>
    <w:basedOn w:val="1"/>
    <w:link w:val="46"/>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oc 9"/>
    <w:basedOn w:val="1"/>
    <w:next w:val="1"/>
    <w:autoRedefine/>
    <w:unhideWhenUsed/>
    <w:uiPriority w:val="39"/>
    <w:pPr>
      <w:adjustRightInd/>
      <w:spacing w:line="240" w:lineRule="auto"/>
      <w:ind w:left="3360" w:leftChars="1600"/>
    </w:pPr>
    <w:rPr>
      <w:rFonts w:asciiTheme="minorHAnsi" w:hAnsiTheme="minorHAnsi" w:eastAsiaTheme="minorEastAsia" w:cstheme="minorBidi"/>
      <w:szCs w:val="22"/>
    </w:rPr>
  </w:style>
  <w:style w:type="paragraph" w:styleId="27">
    <w:name w:val="Title"/>
    <w:basedOn w:val="1"/>
    <w:link w:val="50"/>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footnote reference"/>
    <w:autoRedefine/>
    <w:semiHidden/>
    <w:qFormat/>
    <w:uiPriority w:val="0"/>
    <w:rPr>
      <w:rFonts w:ascii="宋体" w:hAnsi="宋体" w:eastAsia="宋体" w:cs="Times New Roman"/>
      <w:spacing w:val="0"/>
      <w:sz w:val="18"/>
      <w:vertAlign w:val="superscript"/>
    </w:rPr>
  </w:style>
  <w:style w:type="character" w:customStyle="1" w:styleId="36">
    <w:name w:val="标题 1 Char"/>
    <w:link w:val="2"/>
    <w:autoRedefine/>
    <w:qFormat/>
    <w:uiPriority w:val="0"/>
    <w:rPr>
      <w:b/>
      <w:bCs/>
      <w:kern w:val="44"/>
      <w:sz w:val="44"/>
      <w:szCs w:val="44"/>
    </w:rPr>
  </w:style>
  <w:style w:type="character" w:customStyle="1" w:styleId="37">
    <w:name w:val="标题 2 Char"/>
    <w:link w:val="3"/>
    <w:autoRedefine/>
    <w:qFormat/>
    <w:uiPriority w:val="0"/>
    <w:rPr>
      <w:rFonts w:ascii="Arial" w:hAnsi="Arial" w:eastAsia="黑体"/>
      <w:b/>
      <w:bCs/>
      <w:kern w:val="2"/>
      <w:sz w:val="32"/>
      <w:szCs w:val="32"/>
    </w:rPr>
  </w:style>
  <w:style w:type="character" w:customStyle="1" w:styleId="38">
    <w:name w:val="标题 3 Char"/>
    <w:link w:val="4"/>
    <w:autoRedefine/>
    <w:qFormat/>
    <w:uiPriority w:val="0"/>
    <w:rPr>
      <w:b/>
      <w:bCs/>
      <w:kern w:val="2"/>
      <w:sz w:val="32"/>
      <w:szCs w:val="32"/>
    </w:rPr>
  </w:style>
  <w:style w:type="character" w:customStyle="1" w:styleId="39">
    <w:name w:val="标题 4 Char"/>
    <w:link w:val="5"/>
    <w:autoRedefine/>
    <w:qFormat/>
    <w:uiPriority w:val="0"/>
    <w:rPr>
      <w:rFonts w:ascii="Arial" w:hAnsi="Arial" w:eastAsia="黑体"/>
      <w:b/>
      <w:bCs/>
      <w:kern w:val="2"/>
      <w:sz w:val="28"/>
      <w:szCs w:val="28"/>
    </w:rPr>
  </w:style>
  <w:style w:type="character" w:customStyle="1" w:styleId="40">
    <w:name w:val="标题 5 Char"/>
    <w:link w:val="6"/>
    <w:autoRedefine/>
    <w:qFormat/>
    <w:uiPriority w:val="0"/>
    <w:rPr>
      <w:b/>
      <w:bCs/>
      <w:kern w:val="2"/>
      <w:sz w:val="28"/>
      <w:szCs w:val="28"/>
    </w:rPr>
  </w:style>
  <w:style w:type="character" w:customStyle="1" w:styleId="41">
    <w:name w:val="标题 6 Char"/>
    <w:link w:val="7"/>
    <w:autoRedefine/>
    <w:qFormat/>
    <w:uiPriority w:val="0"/>
    <w:rPr>
      <w:rFonts w:ascii="Arial" w:hAnsi="Arial" w:eastAsia="黑体"/>
      <w:b/>
      <w:bCs/>
      <w:kern w:val="2"/>
      <w:sz w:val="24"/>
      <w:szCs w:val="24"/>
    </w:rPr>
  </w:style>
  <w:style w:type="character" w:customStyle="1" w:styleId="42">
    <w:name w:val="标题 7 Char"/>
    <w:link w:val="8"/>
    <w:autoRedefine/>
    <w:qFormat/>
    <w:uiPriority w:val="0"/>
    <w:rPr>
      <w:b/>
      <w:bCs/>
      <w:kern w:val="2"/>
      <w:sz w:val="24"/>
      <w:szCs w:val="24"/>
    </w:rPr>
  </w:style>
  <w:style w:type="character" w:customStyle="1" w:styleId="43">
    <w:name w:val="标题 8 Char"/>
    <w:link w:val="9"/>
    <w:autoRedefine/>
    <w:qFormat/>
    <w:uiPriority w:val="0"/>
    <w:rPr>
      <w:rFonts w:ascii="Arial" w:hAnsi="Arial" w:eastAsia="黑体"/>
      <w:kern w:val="2"/>
      <w:sz w:val="24"/>
      <w:szCs w:val="24"/>
    </w:rPr>
  </w:style>
  <w:style w:type="character" w:customStyle="1" w:styleId="44">
    <w:name w:val="标题 9 Char"/>
    <w:link w:val="10"/>
    <w:autoRedefine/>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autoRedefine/>
    <w:qFormat/>
    <w:uiPriority w:val="99"/>
    <w:rPr>
      <w:rFonts w:ascii="宋体"/>
      <w:kern w:val="2"/>
      <w:sz w:val="18"/>
      <w:szCs w:val="18"/>
    </w:rPr>
  </w:style>
  <w:style w:type="character" w:customStyle="1" w:styleId="47">
    <w:name w:val="批注框文本 Char"/>
    <w:link w:val="17"/>
    <w:autoRedefine/>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autoRedefine/>
    <w:qFormat/>
    <w:uiPriority w:val="29"/>
    <w:rPr>
      <w:i/>
      <w:iCs/>
      <w:color w:val="000000"/>
      <w:kern w:val="2"/>
      <w:sz w:val="21"/>
      <w:szCs w:val="21"/>
    </w:rPr>
  </w:style>
  <w:style w:type="character" w:customStyle="1" w:styleId="50">
    <w:name w:val="标题 Char"/>
    <w:link w:val="27"/>
    <w:autoRedefine/>
    <w:qFormat/>
    <w:uiPriority w:val="0"/>
    <w:rPr>
      <w:rFonts w:ascii="Arial" w:hAnsi="Arial" w:cs="Arial"/>
      <w:b/>
      <w:bCs/>
      <w:kern w:val="2"/>
      <w:sz w:val="32"/>
      <w:szCs w:val="32"/>
    </w:rPr>
  </w:style>
  <w:style w:type="paragraph" w:customStyle="1" w:styleId="51">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autoRedefine/>
    <w:qFormat/>
    <w:uiPriority w:val="0"/>
    <w:pPr>
      <w:spacing w:line="0" w:lineRule="atLeast"/>
    </w:pPr>
    <w:rPr>
      <w:rFonts w:ascii="黑体" w:hAnsi="宋体" w:eastAsia="黑体"/>
    </w:rPr>
  </w:style>
  <w:style w:type="paragraph" w:customStyle="1" w:styleId="57">
    <w:name w:val="标准文件_标准正文"/>
    <w:basedOn w:val="1"/>
    <w:next w:val="58"/>
    <w:autoRedefine/>
    <w:qFormat/>
    <w:uiPriority w:val="0"/>
    <w:pPr>
      <w:snapToGrid w:val="0"/>
      <w:ind w:firstLine="200" w:firstLineChars="200"/>
    </w:pPr>
    <w:rPr>
      <w:kern w:val="0"/>
    </w:rPr>
  </w:style>
  <w:style w:type="paragraph" w:customStyle="1" w:styleId="58">
    <w:name w:val="标准文件_段"/>
    <w:link w:val="18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autoRedefine/>
    <w:qFormat/>
    <w:uiPriority w:val="0"/>
    <w:pPr>
      <w:adjustRightInd/>
      <w:snapToGrid/>
      <w:ind w:firstLine="0" w:firstLineChars="0"/>
    </w:pPr>
    <w:rPr>
      <w:rFonts w:ascii="宋体" w:hAnsi="宋体"/>
      <w:kern w:val="2"/>
    </w:rPr>
  </w:style>
  <w:style w:type="paragraph" w:customStyle="1" w:styleId="60">
    <w:name w:val="标准文件_标准部门"/>
    <w:basedOn w:val="1"/>
    <w:autoRedefine/>
    <w:qFormat/>
    <w:uiPriority w:val="0"/>
    <w:pPr>
      <w:jc w:val="center"/>
    </w:pPr>
    <w:rPr>
      <w:rFonts w:ascii="黑体" w:eastAsia="黑体"/>
      <w:kern w:val="0"/>
      <w:sz w:val="44"/>
    </w:rPr>
  </w:style>
  <w:style w:type="paragraph" w:customStyle="1" w:styleId="61">
    <w:name w:val="标准文件_标准代替"/>
    <w:basedOn w:val="1"/>
    <w:next w:val="1"/>
    <w:autoRedefine/>
    <w:qFormat/>
    <w:uiPriority w:val="0"/>
    <w:pPr>
      <w:spacing w:line="310" w:lineRule="exact"/>
      <w:jc w:val="right"/>
    </w:pPr>
    <w:rPr>
      <w:rFonts w:ascii="宋体" w:hAnsi="宋体"/>
      <w:kern w:val="0"/>
    </w:rPr>
  </w:style>
  <w:style w:type="paragraph" w:customStyle="1" w:styleId="6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autoRedefine/>
    <w:qFormat/>
    <w:uiPriority w:val="0"/>
    <w:pPr>
      <w:jc w:val="left"/>
    </w:pPr>
  </w:style>
  <w:style w:type="paragraph" w:customStyle="1" w:styleId="65">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autoRedefine/>
    <w:qFormat/>
    <w:uiPriority w:val="0"/>
    <w:rPr>
      <w:rFonts w:ascii="黑体" w:eastAsia="黑体"/>
      <w:spacing w:val="0"/>
      <w:w w:val="100"/>
      <w:position w:val="3"/>
      <w:sz w:val="28"/>
    </w:rPr>
  </w:style>
  <w:style w:type="paragraph" w:customStyle="1" w:styleId="69">
    <w:name w:val="标准文件_方框数字列项"/>
    <w:basedOn w:val="58"/>
    <w:autoRedefine/>
    <w:qFormat/>
    <w:uiPriority w:val="0"/>
    <w:pPr>
      <w:numPr>
        <w:ilvl w:val="0"/>
        <w:numId w:val="3"/>
      </w:numPr>
      <w:ind w:firstLine="0" w:firstLineChars="0"/>
    </w:pPr>
  </w:style>
  <w:style w:type="paragraph" w:customStyle="1" w:styleId="70">
    <w:name w:val="标准文件_封面标准编号"/>
    <w:basedOn w:val="1"/>
    <w:next w:val="61"/>
    <w:autoRedefine/>
    <w:qFormat/>
    <w:uiPriority w:val="0"/>
    <w:pPr>
      <w:spacing w:line="310" w:lineRule="exact"/>
      <w:jc w:val="right"/>
    </w:pPr>
    <w:rPr>
      <w:rFonts w:ascii="黑体" w:eastAsia="黑体"/>
      <w:kern w:val="0"/>
      <w:sz w:val="28"/>
    </w:rPr>
  </w:style>
  <w:style w:type="paragraph" w:customStyle="1" w:styleId="71">
    <w:name w:val="标准文件_封面标准分类号"/>
    <w:basedOn w:val="1"/>
    <w:autoRedefine/>
    <w:qFormat/>
    <w:uiPriority w:val="0"/>
    <w:rPr>
      <w:rFonts w:ascii="黑体" w:eastAsia="黑体"/>
      <w:b/>
      <w:kern w:val="0"/>
      <w:sz w:val="28"/>
    </w:rPr>
  </w:style>
  <w:style w:type="paragraph" w:customStyle="1" w:styleId="72">
    <w:name w:val="标准文件_封面标准名称"/>
    <w:basedOn w:val="1"/>
    <w:autoRedefine/>
    <w:qFormat/>
    <w:uiPriority w:val="0"/>
    <w:pPr>
      <w:spacing w:line="240" w:lineRule="auto"/>
      <w:jc w:val="center"/>
    </w:pPr>
    <w:rPr>
      <w:rFonts w:ascii="黑体" w:eastAsia="黑体"/>
      <w:kern w:val="0"/>
      <w:sz w:val="52"/>
    </w:rPr>
  </w:style>
  <w:style w:type="paragraph" w:customStyle="1" w:styleId="73">
    <w:name w:val="标准文件_封面标准英文名称"/>
    <w:basedOn w:val="1"/>
    <w:autoRedefine/>
    <w:qFormat/>
    <w:uiPriority w:val="0"/>
    <w:pPr>
      <w:spacing w:line="240" w:lineRule="auto"/>
      <w:jc w:val="center"/>
    </w:pPr>
    <w:rPr>
      <w:rFonts w:ascii="黑体" w:eastAsia="黑体"/>
      <w:b/>
      <w:sz w:val="28"/>
    </w:rPr>
  </w:style>
  <w:style w:type="paragraph" w:customStyle="1" w:styleId="74">
    <w:name w:val="标准文件_封面发布日期"/>
    <w:basedOn w:val="1"/>
    <w:autoRedefine/>
    <w:qFormat/>
    <w:uiPriority w:val="0"/>
    <w:pPr>
      <w:spacing w:line="310" w:lineRule="exact"/>
    </w:pPr>
    <w:rPr>
      <w:rFonts w:ascii="黑体" w:eastAsia="黑体"/>
      <w:kern w:val="0"/>
      <w:sz w:val="28"/>
    </w:rPr>
  </w:style>
  <w:style w:type="paragraph" w:customStyle="1" w:styleId="75">
    <w:name w:val="标准文件_封面密级"/>
    <w:basedOn w:val="1"/>
    <w:autoRedefine/>
    <w:qFormat/>
    <w:uiPriority w:val="0"/>
    <w:rPr>
      <w:rFonts w:eastAsia="黑体"/>
      <w:sz w:val="32"/>
    </w:rPr>
  </w:style>
  <w:style w:type="paragraph" w:customStyle="1" w:styleId="76">
    <w:name w:val="标准文件_封面实施日期"/>
    <w:basedOn w:val="1"/>
    <w:autoRedefine/>
    <w:qFormat/>
    <w:uiPriority w:val="0"/>
    <w:pPr>
      <w:spacing w:line="310" w:lineRule="exact"/>
      <w:jc w:val="right"/>
    </w:pPr>
    <w:rPr>
      <w:rFonts w:ascii="黑体" w:eastAsia="黑体"/>
      <w:sz w:val="28"/>
    </w:rPr>
  </w:style>
  <w:style w:type="paragraph" w:customStyle="1" w:styleId="77">
    <w:name w:val="标准文件_封面抬头"/>
    <w:basedOn w:val="58"/>
    <w:autoRedefine/>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autoRedefine/>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3"/>
    <w:autoRedefine/>
    <w:qFormat/>
    <w:uiPriority w:val="0"/>
    <w:rPr>
      <w:kern w:val="2"/>
      <w:sz w:val="21"/>
      <w:szCs w:val="21"/>
    </w:rPr>
  </w:style>
  <w:style w:type="paragraph" w:customStyle="1" w:styleId="89">
    <w:name w:val="标准文件_附录章标题"/>
    <w:next w:val="58"/>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autoRedefine/>
    <w:qFormat/>
    <w:uiPriority w:val="0"/>
    <w:pPr>
      <w:ind w:left="488" w:leftChars="200" w:hanging="289" w:hangingChars="290"/>
    </w:pPr>
  </w:style>
  <w:style w:type="paragraph" w:customStyle="1" w:styleId="91">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autoRedefine/>
    <w:qFormat/>
    <w:uiPriority w:val="0"/>
    <w:pPr>
      <w:spacing w:line="460" w:lineRule="exact"/>
      <w:ind w:left="0" w:firstLine="0"/>
    </w:pPr>
  </w:style>
  <w:style w:type="paragraph" w:customStyle="1" w:styleId="9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4">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autoRedefine/>
    <w:qFormat/>
    <w:uiPriority w:val="0"/>
    <w:pPr>
      <w:numPr>
        <w:numId w:val="10"/>
      </w:numPr>
    </w:pPr>
  </w:style>
  <w:style w:type="paragraph" w:customStyle="1" w:styleId="96">
    <w:name w:val="标准文件_三级条标题"/>
    <w:basedOn w:val="67"/>
    <w:next w:val="58"/>
    <w:autoRedefine/>
    <w:qFormat/>
    <w:uiPriority w:val="0"/>
    <w:pPr>
      <w:widowControl/>
      <w:numPr>
        <w:ilvl w:val="4"/>
      </w:numPr>
      <w:outlineLvl w:val="3"/>
    </w:pPr>
  </w:style>
  <w:style w:type="character" w:customStyle="1" w:styleId="97">
    <w:name w:val="不明显参考1"/>
    <w:autoRedefine/>
    <w:qFormat/>
    <w:uiPriority w:val="31"/>
    <w:rPr>
      <w:smallCaps/>
      <w:color w:val="C0504D"/>
      <w:u w:val="single"/>
    </w:rPr>
  </w:style>
  <w:style w:type="paragraph" w:customStyle="1" w:styleId="98">
    <w:name w:val="标准文件_示例后续"/>
    <w:basedOn w:val="1"/>
    <w:autoRedefine/>
    <w:qFormat/>
    <w:uiPriority w:val="0"/>
    <w:pPr>
      <w:adjustRightInd/>
      <w:spacing w:line="240" w:lineRule="auto"/>
      <w:ind w:firstLine="200" w:firstLineChars="200"/>
    </w:pPr>
    <w:rPr>
      <w:sz w:val="18"/>
      <w:szCs w:val="24"/>
    </w:rPr>
  </w:style>
  <w:style w:type="paragraph" w:customStyle="1" w:styleId="99">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autoRedefine/>
    <w:semiHidden/>
    <w:qFormat/>
    <w:uiPriority w:val="0"/>
    <w:rPr>
      <w:rFonts w:ascii="宋体"/>
      <w:kern w:val="2"/>
      <w:sz w:val="18"/>
      <w:szCs w:val="18"/>
    </w:rPr>
  </w:style>
  <w:style w:type="paragraph" w:customStyle="1" w:styleId="102">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autoRedefine/>
    <w:qFormat/>
    <w:uiPriority w:val="0"/>
    <w:pPr>
      <w:numPr>
        <w:ilvl w:val="0"/>
        <w:numId w:val="12"/>
      </w:numPr>
      <w:spacing w:line="240" w:lineRule="auto"/>
      <w:jc w:val="left"/>
    </w:pPr>
    <w:rPr>
      <w:rFonts w:ascii="宋体" w:hAnsi="宋体"/>
      <w:sz w:val="18"/>
    </w:rPr>
  </w:style>
  <w:style w:type="character" w:customStyle="1" w:styleId="104">
    <w:name w:val="标准文件_图表脚注内容"/>
    <w:autoRedefine/>
    <w:qFormat/>
    <w:uiPriority w:val="0"/>
    <w:rPr>
      <w:rFonts w:ascii="宋体" w:hAnsi="宋体" w:eastAsia="宋体" w:cs="Times New Roman"/>
      <w:spacing w:val="0"/>
      <w:sz w:val="18"/>
      <w:vertAlign w:val="superscript"/>
    </w:rPr>
  </w:style>
  <w:style w:type="paragraph" w:customStyle="1" w:styleId="105">
    <w:name w:val="标准文件_五级条标题"/>
    <w:next w:val="58"/>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autoRedefine/>
    <w:qFormat/>
    <w:uiPriority w:val="0"/>
    <w:pPr>
      <w:numPr>
        <w:ilvl w:val="2"/>
      </w:numPr>
      <w:spacing w:before="50" w:beforeLines="50" w:after="50" w:afterLines="50"/>
      <w:outlineLvl w:val="1"/>
    </w:pPr>
  </w:style>
  <w:style w:type="paragraph" w:customStyle="1" w:styleId="108">
    <w:name w:val="标准文件_一致程度"/>
    <w:basedOn w:val="1"/>
    <w:autoRedefine/>
    <w:qFormat/>
    <w:uiPriority w:val="0"/>
    <w:pPr>
      <w:spacing w:line="440" w:lineRule="exact"/>
      <w:jc w:val="center"/>
    </w:pPr>
    <w:rPr>
      <w:sz w:val="28"/>
    </w:rPr>
  </w:style>
  <w:style w:type="paragraph" w:customStyle="1" w:styleId="109">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autoRedefine/>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autoRedefine/>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1">
    <w:name w:val="发布部门"/>
    <w:next w:val="5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autoRedefine/>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autoRedefine/>
    <w:qFormat/>
    <w:uiPriority w:val="0"/>
    <w:pPr>
      <w:outlineLvl w:val="4"/>
    </w:pPr>
  </w:style>
  <w:style w:type="paragraph" w:customStyle="1" w:styleId="132">
    <w:name w:val="附录四级无标题条"/>
    <w:basedOn w:val="131"/>
    <w:next w:val="58"/>
    <w:autoRedefine/>
    <w:qFormat/>
    <w:uiPriority w:val="0"/>
    <w:pPr>
      <w:outlineLvl w:val="5"/>
    </w:pPr>
  </w:style>
  <w:style w:type="paragraph" w:customStyle="1" w:styleId="133">
    <w:name w:val="附录图"/>
    <w:next w:val="58"/>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autoRedefine/>
    <w:qFormat/>
    <w:uiPriority w:val="0"/>
    <w:pPr>
      <w:outlineLvl w:val="6"/>
    </w:pPr>
  </w:style>
  <w:style w:type="paragraph" w:customStyle="1" w:styleId="136">
    <w:name w:val="附录性质"/>
    <w:basedOn w:val="1"/>
    <w:autoRedefine/>
    <w:qFormat/>
    <w:uiPriority w:val="0"/>
    <w:pPr>
      <w:widowControl/>
      <w:adjustRightInd/>
      <w:jc w:val="center"/>
    </w:pPr>
    <w:rPr>
      <w:rFonts w:ascii="黑体" w:eastAsia="黑体"/>
    </w:rPr>
  </w:style>
  <w:style w:type="paragraph" w:customStyle="1" w:styleId="137">
    <w:name w:val="附录一级无标题条"/>
    <w:basedOn w:val="89"/>
    <w:next w:val="58"/>
    <w:autoRedefine/>
    <w:qFormat/>
    <w:uiPriority w:val="0"/>
    <w:pPr>
      <w:autoSpaceDN w:val="0"/>
      <w:outlineLvl w:val="2"/>
    </w:pPr>
    <w:rPr>
      <w:rFonts w:ascii="宋体" w:hAnsi="宋体" w:eastAsia="宋体"/>
    </w:rPr>
  </w:style>
  <w:style w:type="character" w:customStyle="1" w:styleId="138">
    <w:name w:val="个人答复风格"/>
    <w:autoRedefine/>
    <w:qFormat/>
    <w:uiPriority w:val="0"/>
    <w:rPr>
      <w:rFonts w:ascii="Arial" w:hAnsi="Arial" w:eastAsia="宋体" w:cs="Arial"/>
      <w:color w:val="auto"/>
      <w:spacing w:val="0"/>
      <w:sz w:val="20"/>
    </w:rPr>
  </w:style>
  <w:style w:type="character" w:customStyle="1" w:styleId="139">
    <w:name w:val="个人撰写风格"/>
    <w:autoRedefine/>
    <w:qFormat/>
    <w:uiPriority w:val="0"/>
    <w:rPr>
      <w:rFonts w:ascii="Arial" w:hAnsi="Arial" w:eastAsia="宋体" w:cs="Arial"/>
      <w:color w:val="auto"/>
      <w:spacing w:val="0"/>
      <w:sz w:val="20"/>
    </w:rPr>
  </w:style>
  <w:style w:type="paragraph" w:customStyle="1" w:styleId="140">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autoRedefine/>
    <w:qFormat/>
    <w:uiPriority w:val="0"/>
    <w:pPr>
      <w:tabs>
        <w:tab w:val="left" w:pos="840"/>
      </w:tabs>
    </w:pPr>
  </w:style>
  <w:style w:type="paragraph" w:customStyle="1" w:styleId="14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autoRedefine/>
    <w:qFormat/>
    <w:uiPriority w:val="0"/>
    <w:pPr>
      <w:framePr w:wrap="around"/>
      <w:spacing w:line="0" w:lineRule="atLeast"/>
    </w:pPr>
    <w:rPr>
      <w:rFonts w:ascii="黑体" w:eastAsia="黑体"/>
      <w:b w:val="0"/>
    </w:rPr>
  </w:style>
  <w:style w:type="paragraph" w:customStyle="1" w:styleId="154">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6">
    <w:name w:val="实施日期"/>
    <w:basedOn w:val="122"/>
    <w:autoRedefine/>
    <w:qFormat/>
    <w:uiPriority w:val="0"/>
    <w:pPr>
      <w:framePr w:hSpace="0" w:wrap="around" w:xAlign="right"/>
      <w:jc w:val="right"/>
    </w:pPr>
  </w:style>
  <w:style w:type="paragraph" w:customStyle="1" w:styleId="157">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autoRedefine/>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autoRedefine/>
    <w:qFormat/>
    <w:uiPriority w:val="0"/>
    <w:pPr>
      <w:numPr>
        <w:ilvl w:val="6"/>
        <w:numId w:val="20"/>
      </w:numPr>
      <w:adjustRightInd/>
    </w:pPr>
    <w:rPr>
      <w:szCs w:val="24"/>
    </w:rPr>
  </w:style>
  <w:style w:type="paragraph" w:customStyle="1" w:styleId="161">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2">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autoRedefine/>
    <w:qFormat/>
    <w:uiPriority w:val="0"/>
    <w:pPr>
      <w:ind w:left="1406" w:leftChars="0" w:hanging="499" w:firstLineChars="0"/>
    </w:pPr>
  </w:style>
  <w:style w:type="paragraph" w:customStyle="1" w:styleId="164">
    <w:name w:val="标准文件_一级无标题"/>
    <w:basedOn w:val="107"/>
    <w:autoRedefine/>
    <w:qFormat/>
    <w:uiPriority w:val="0"/>
    <w:pPr>
      <w:spacing w:before="0" w:beforeLines="0" w:after="0" w:afterLines="0"/>
      <w:outlineLvl w:val="9"/>
    </w:pPr>
    <w:rPr>
      <w:rFonts w:ascii="宋体" w:eastAsia="宋体"/>
    </w:rPr>
  </w:style>
  <w:style w:type="paragraph" w:customStyle="1" w:styleId="165">
    <w:name w:val="标准文件_五级无标题"/>
    <w:basedOn w:val="105"/>
    <w:autoRedefine/>
    <w:qFormat/>
    <w:uiPriority w:val="0"/>
    <w:pPr>
      <w:spacing w:before="0" w:beforeLines="0" w:after="0" w:afterLines="0"/>
      <w:outlineLvl w:val="9"/>
    </w:pPr>
    <w:rPr>
      <w:rFonts w:ascii="宋体" w:eastAsia="宋体"/>
    </w:rPr>
  </w:style>
  <w:style w:type="paragraph" w:customStyle="1" w:styleId="166">
    <w:name w:val="标准文件_三级无标题"/>
    <w:basedOn w:val="96"/>
    <w:autoRedefine/>
    <w:qFormat/>
    <w:uiPriority w:val="0"/>
    <w:pPr>
      <w:spacing w:before="0" w:beforeLines="0" w:after="0" w:afterLines="0"/>
      <w:outlineLvl w:val="9"/>
    </w:pPr>
    <w:rPr>
      <w:rFonts w:ascii="宋体" w:eastAsia="宋体"/>
    </w:rPr>
  </w:style>
  <w:style w:type="paragraph" w:customStyle="1" w:styleId="167">
    <w:name w:val="标准文件_二级无标题"/>
    <w:basedOn w:val="67"/>
    <w:autoRedefine/>
    <w:qFormat/>
    <w:uiPriority w:val="0"/>
    <w:pPr>
      <w:spacing w:before="0" w:beforeLines="0" w:after="0" w:afterLines="0"/>
      <w:outlineLvl w:val="9"/>
    </w:pPr>
    <w:rPr>
      <w:rFonts w:ascii="宋体" w:eastAsia="宋体"/>
    </w:rPr>
  </w:style>
  <w:style w:type="paragraph" w:customStyle="1" w:styleId="168">
    <w:name w:val="标准_四级无标题"/>
    <w:basedOn w:val="100"/>
    <w:next w:val="58"/>
    <w:autoRedefine/>
    <w:qFormat/>
    <w:uiPriority w:val="0"/>
    <w:rPr>
      <w:rFonts w:eastAsia="宋体"/>
    </w:rPr>
  </w:style>
  <w:style w:type="paragraph" w:customStyle="1" w:styleId="169">
    <w:name w:val="标准文件_四级无标题"/>
    <w:basedOn w:val="100"/>
    <w:autoRedefine/>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autoRedefine/>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autoRedefine/>
    <w:qFormat/>
    <w:uiPriority w:val="0"/>
    <w:pPr>
      <w:numPr>
        <w:ilvl w:val="0"/>
        <w:numId w:val="24"/>
      </w:numPr>
      <w:ind w:firstLine="0" w:firstLineChars="0"/>
    </w:pPr>
    <w:rPr>
      <w:rFonts w:cs="Arial"/>
      <w:szCs w:val="28"/>
    </w:rPr>
  </w:style>
  <w:style w:type="paragraph" w:customStyle="1" w:styleId="172">
    <w:name w:val="标准文件_附录标题"/>
    <w:basedOn w:val="78"/>
    <w:autoRedefine/>
    <w:qFormat/>
    <w:uiPriority w:val="0"/>
    <w:pPr>
      <w:numPr>
        <w:numId w:val="0"/>
      </w:numPr>
      <w:spacing w:after="280"/>
      <w:outlineLvl w:val="9"/>
    </w:pPr>
  </w:style>
  <w:style w:type="paragraph" w:customStyle="1" w:styleId="173">
    <w:name w:val="标准文件_二级项"/>
    <w:autoRedefine/>
    <w:qFormat/>
    <w:uiPriority w:val="0"/>
    <w:rPr>
      <w:rFonts w:ascii="宋体" w:hAnsi="Times New Roman" w:eastAsia="宋体" w:cs="Times New Roman"/>
      <w:sz w:val="21"/>
      <w:lang w:val="en-US" w:eastAsia="zh-CN" w:bidi="ar-SA"/>
    </w:rPr>
  </w:style>
  <w:style w:type="paragraph" w:customStyle="1" w:styleId="174">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autoRedefine/>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autoRedefine/>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autoRedefine/>
    <w:qFormat/>
    <w:uiPriority w:val="0"/>
    <w:pPr>
      <w:ind w:firstLine="0" w:firstLineChars="0"/>
      <w:jc w:val="center"/>
    </w:pPr>
    <w:rPr>
      <w:sz w:val="18"/>
    </w:rPr>
  </w:style>
  <w:style w:type="paragraph" w:customStyle="1" w:styleId="181">
    <w:name w:val="标准文件_注："/>
    <w:next w:val="58"/>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autoRedefine/>
    <w:qFormat/>
    <w:uiPriority w:val="0"/>
    <w:pPr>
      <w:ind w:firstLine="420"/>
    </w:pPr>
    <w:rPr>
      <w:sz w:val="18"/>
    </w:rPr>
  </w:style>
  <w:style w:type="paragraph" w:customStyle="1" w:styleId="185">
    <w:name w:val="标准文件_示例×："/>
    <w:basedOn w:val="1"/>
    <w:next w:val="184"/>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autoRedefine/>
    <w:qFormat/>
    <w:uiPriority w:val="0"/>
    <w:rPr>
      <w:rFonts w:ascii="宋体" w:hAnsi="Times New Roman"/>
      <w:sz w:val="21"/>
    </w:rPr>
  </w:style>
  <w:style w:type="paragraph" w:customStyle="1" w:styleId="187">
    <w:name w:val="标准文件_表格续"/>
    <w:basedOn w:val="58"/>
    <w:next w:val="58"/>
    <w:autoRedefine/>
    <w:qFormat/>
    <w:uiPriority w:val="0"/>
    <w:pPr>
      <w:jc w:val="center"/>
    </w:pPr>
    <w:rPr>
      <w:rFonts w:ascii="黑体" w:hAnsi="黑体" w:eastAsia="黑体"/>
    </w:rPr>
  </w:style>
  <w:style w:type="character" w:styleId="188">
    <w:name w:val="Placeholder Text"/>
    <w:basedOn w:val="30"/>
    <w:autoRedefine/>
    <w:semiHidden/>
    <w:qFormat/>
    <w:uiPriority w:val="99"/>
    <w:rPr>
      <w:color w:val="808080"/>
    </w:rPr>
  </w:style>
  <w:style w:type="paragraph" w:customStyle="1" w:styleId="189">
    <w:name w:val="标准文件_二级项2"/>
    <w:basedOn w:val="58"/>
    <w:autoRedefine/>
    <w:qFormat/>
    <w:uiPriority w:val="0"/>
    <w:pPr>
      <w:numPr>
        <w:ilvl w:val="1"/>
        <w:numId w:val="21"/>
      </w:numPr>
      <w:ind w:firstLine="0" w:firstLineChars="0"/>
    </w:pPr>
  </w:style>
  <w:style w:type="paragraph" w:customStyle="1" w:styleId="190">
    <w:name w:val="标准文件_三级项2"/>
    <w:basedOn w:val="58"/>
    <w:autoRedefine/>
    <w:qFormat/>
    <w:uiPriority w:val="0"/>
    <w:pPr>
      <w:numPr>
        <w:ilvl w:val="0"/>
        <w:numId w:val="30"/>
      </w:numPr>
      <w:spacing w:line="300" w:lineRule="exact"/>
      <w:ind w:firstLineChars="0"/>
    </w:pPr>
    <w:rPr>
      <w:rFonts w:ascii="Times New Roman"/>
    </w:rPr>
  </w:style>
  <w:style w:type="paragraph" w:customStyle="1" w:styleId="191">
    <w:name w:val="标准文件_一级项2"/>
    <w:basedOn w:val="58"/>
    <w:autoRedefine/>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autoRedefine/>
    <w:qFormat/>
    <w:uiPriority w:val="0"/>
    <w:pPr>
      <w:ind w:firstLine="420"/>
    </w:pPr>
    <w:rPr>
      <w:rFonts w:ascii="黑体" w:eastAsia="黑体"/>
    </w:rPr>
  </w:style>
  <w:style w:type="character" w:customStyle="1" w:styleId="193">
    <w:name w:val="标准文件_来源"/>
    <w:basedOn w:val="30"/>
    <w:autoRedefine/>
    <w:qFormat/>
    <w:uiPriority w:val="1"/>
    <w:rPr>
      <w:rFonts w:eastAsia="宋体"/>
      <w:sz w:val="21"/>
    </w:rPr>
  </w:style>
  <w:style w:type="paragraph" w:customStyle="1" w:styleId="194">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autoRedefine/>
    <w:qFormat/>
    <w:uiPriority w:val="0"/>
    <w:pPr>
      <w:framePr w:w="3997" w:h="471" w:hRule="exact" w:hSpace="0" w:vSpace="181" w:wrap="around" w:vAnchor="page" w:hAnchor="page" w:x="1419" w:y="14097"/>
    </w:pPr>
  </w:style>
  <w:style w:type="paragraph" w:customStyle="1" w:styleId="196">
    <w:name w:val="其他实施日期"/>
    <w:basedOn w:val="156"/>
    <w:autoRedefine/>
    <w:qFormat/>
    <w:uiPriority w:val="0"/>
    <w:pPr>
      <w:framePr w:w="3997" w:h="471" w:hRule="exact" w:vSpace="181" w:wrap="around" w:vAnchor="page" w:hAnchor="page" w:x="7089" w:y="14097"/>
    </w:pPr>
  </w:style>
  <w:style w:type="paragraph" w:customStyle="1" w:styleId="197">
    <w:name w:val="标准文件_文件编号"/>
    <w:basedOn w:val="58"/>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autoRedefine/>
    <w:qFormat/>
    <w:uiPriority w:val="0"/>
    <w:pPr>
      <w:framePr/>
      <w:spacing w:before="57"/>
    </w:pPr>
    <w:rPr>
      <w:sz w:val="21"/>
    </w:rPr>
  </w:style>
  <w:style w:type="paragraph" w:customStyle="1" w:styleId="199">
    <w:name w:val="标准文件_文件名称"/>
    <w:basedOn w:val="58"/>
    <w:next w:val="58"/>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autoRedefine/>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autoRedefine/>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autoRedefine/>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autoRedefine/>
    <w:qFormat/>
    <w:uiPriority w:val="0"/>
    <w:pPr>
      <w:ind w:left="811" w:firstLine="0" w:firstLineChars="0"/>
    </w:pPr>
    <w:rPr>
      <w:sz w:val="18"/>
    </w:rPr>
  </w:style>
  <w:style w:type="paragraph" w:customStyle="1" w:styleId="208">
    <w:name w:val="标准文件_注X后"/>
    <w:basedOn w:val="58"/>
    <w:autoRedefine/>
    <w:qFormat/>
    <w:uiPriority w:val="0"/>
    <w:pPr>
      <w:ind w:left="811" w:firstLine="0" w:firstLineChars="0"/>
    </w:pPr>
    <w:rPr>
      <w:sz w:val="18"/>
    </w:rPr>
  </w:style>
  <w:style w:type="paragraph" w:customStyle="1" w:styleId="209">
    <w:name w:val="标准文件_示例后"/>
    <w:basedOn w:val="58"/>
    <w:autoRedefine/>
    <w:qFormat/>
    <w:uiPriority w:val="0"/>
    <w:pPr>
      <w:ind w:left="964" w:firstLine="0" w:firstLineChars="0"/>
    </w:pPr>
    <w:rPr>
      <w:sz w:val="18"/>
    </w:rPr>
  </w:style>
  <w:style w:type="paragraph" w:customStyle="1" w:styleId="210">
    <w:name w:val="标准文件_示例X后"/>
    <w:basedOn w:val="58"/>
    <w:link w:val="211"/>
    <w:autoRedefine/>
    <w:qFormat/>
    <w:uiPriority w:val="0"/>
    <w:pPr>
      <w:ind w:left="1049" w:firstLine="0" w:firstLineChars="0"/>
    </w:pPr>
    <w:rPr>
      <w:sz w:val="18"/>
    </w:rPr>
  </w:style>
  <w:style w:type="character" w:customStyle="1" w:styleId="211">
    <w:name w:val="标准文件_示例X后 字符"/>
    <w:basedOn w:val="186"/>
    <w:link w:val="210"/>
    <w:autoRedefine/>
    <w:qFormat/>
    <w:uiPriority w:val="0"/>
    <w:rPr>
      <w:rFonts w:ascii="宋体" w:hAnsi="Times New Roman"/>
      <w:sz w:val="18"/>
    </w:rPr>
  </w:style>
  <w:style w:type="paragraph" w:customStyle="1" w:styleId="212">
    <w:name w:val="标准文件_索引项"/>
    <w:basedOn w:val="58"/>
    <w:next w:val="58"/>
    <w:autoRedefine/>
    <w:qFormat/>
    <w:uiPriority w:val="0"/>
    <w:pPr>
      <w:tabs>
        <w:tab w:val="right" w:leader="dot" w:pos="9356"/>
      </w:tabs>
      <w:ind w:left="210" w:hanging="210" w:firstLineChars="0"/>
      <w:jc w:val="left"/>
    </w:pPr>
  </w:style>
  <w:style w:type="paragraph" w:customStyle="1" w:styleId="213">
    <w:name w:val="标准文件_附录一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autoRedefine/>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autoRedefine/>
    <w:qFormat/>
    <w:uiPriority w:val="0"/>
    <w:rPr>
      <w:rFonts w:hAnsi="黑体"/>
    </w:rPr>
  </w:style>
  <w:style w:type="paragraph" w:customStyle="1" w:styleId="224">
    <w:name w:val="标准文件_脚注内容"/>
    <w:basedOn w:val="58"/>
    <w:autoRedefine/>
    <w:qFormat/>
    <w:uiPriority w:val="0"/>
    <w:pPr>
      <w:ind w:left="400" w:leftChars="200" w:hanging="200" w:hangingChars="200"/>
    </w:pPr>
    <w:rPr>
      <w:sz w:val="15"/>
    </w:rPr>
  </w:style>
  <w:style w:type="paragraph" w:customStyle="1" w:styleId="225">
    <w:name w:val="标准文件_术语条一"/>
    <w:basedOn w:val="164"/>
    <w:next w:val="58"/>
    <w:autoRedefine/>
    <w:qFormat/>
    <w:uiPriority w:val="0"/>
  </w:style>
  <w:style w:type="paragraph" w:customStyle="1" w:styleId="226">
    <w:name w:val="标准文件_术语条二"/>
    <w:basedOn w:val="167"/>
    <w:next w:val="58"/>
    <w:autoRedefine/>
    <w:qFormat/>
    <w:uiPriority w:val="0"/>
  </w:style>
  <w:style w:type="paragraph" w:customStyle="1" w:styleId="227">
    <w:name w:val="标准文件_术语条三"/>
    <w:basedOn w:val="166"/>
    <w:next w:val="58"/>
    <w:autoRedefine/>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FE60788F3644071856166C4A7C10B91"/>
        <w:style w:val=""/>
        <w:category>
          <w:name w:val="常规"/>
          <w:gallery w:val="placeholder"/>
        </w:category>
        <w:types>
          <w:type w:val="bbPlcHdr"/>
        </w:types>
        <w:behaviors>
          <w:behavior w:val="content"/>
        </w:behaviors>
        <w:description w:val=""/>
        <w:guid w:val="{20D30884-3CC8-4173-BCBB-39455B3F75BE}"/>
      </w:docPartPr>
      <w:docPartBody>
        <w:p>
          <w:pPr>
            <w:pStyle w:val="5"/>
          </w:pPr>
          <w:r>
            <w:rPr>
              <w:rStyle w:val="4"/>
              <w:rFonts w:hint="eastAsia"/>
            </w:rPr>
            <w:t>单击或点击此处输入文字。</w:t>
          </w:r>
        </w:p>
      </w:docPartBody>
    </w:docPart>
    <w:docPart>
      <w:docPartPr>
        <w:name w:val="B386DDBEB81240CAB48218C109AA562E"/>
        <w:style w:val=""/>
        <w:category>
          <w:name w:val="常规"/>
          <w:gallery w:val="placeholder"/>
        </w:category>
        <w:types>
          <w:type w:val="bbPlcHdr"/>
        </w:types>
        <w:behaviors>
          <w:behavior w:val="content"/>
        </w:behaviors>
        <w:description w:val=""/>
        <w:guid w:val="{0A146E71-79BA-4982-BC92-F08F7CF44E20}"/>
      </w:docPartPr>
      <w:docPartBody>
        <w:p>
          <w:pPr>
            <w:pStyle w:val="6"/>
          </w:pPr>
          <w:r>
            <w:rPr>
              <w:rStyle w:val="4"/>
              <w:rFonts w:hint="eastAsia"/>
            </w:rPr>
            <w:t>选择一项。</w:t>
          </w:r>
        </w:p>
      </w:docPartBody>
    </w:docPart>
    <w:docPart>
      <w:docPartPr>
        <w:name w:val="A51E19C0423E460EA37DB886972CB3B1"/>
        <w:style w:val=""/>
        <w:category>
          <w:name w:val="常规"/>
          <w:gallery w:val="placeholder"/>
        </w:category>
        <w:types>
          <w:type w:val="bbPlcHdr"/>
        </w:types>
        <w:behaviors>
          <w:behavior w:val="content"/>
        </w:behaviors>
        <w:description w:val=""/>
        <w:guid w:val="{CABB2774-A402-44B6-9A56-1A0448BAADE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988"/>
    <w:rsid w:val="000A68F4"/>
    <w:rsid w:val="000E6137"/>
    <w:rsid w:val="00146988"/>
    <w:rsid w:val="00210F28"/>
    <w:rsid w:val="003834E5"/>
    <w:rsid w:val="004C0413"/>
    <w:rsid w:val="004E02BC"/>
    <w:rsid w:val="004E7662"/>
    <w:rsid w:val="00556D6E"/>
    <w:rsid w:val="006A0307"/>
    <w:rsid w:val="006E00F0"/>
    <w:rsid w:val="006E257C"/>
    <w:rsid w:val="00740E06"/>
    <w:rsid w:val="009B49DA"/>
    <w:rsid w:val="00A77185"/>
    <w:rsid w:val="00DE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AFE60788F3644071856166C4A7C10B9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386DDBEB81240CAB48218C109AA562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51E19C0423E460EA37DB886972CB3B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Pages>
  <Words>928</Words>
  <Characters>5294</Characters>
  <Lines>44</Lines>
  <Paragraphs>12</Paragraphs>
  <TotalTime>0</TotalTime>
  <ScaleCrop>false</ScaleCrop>
  <LinksUpToDate>false</LinksUpToDate>
  <CharactersWithSpaces>6210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2024-03-04T15:14:00Z</dcterms:created>
  <dc:creator>20583882@qq.com</dc:creator>
  <cp:lastModifiedBy>苏打饼干</cp:lastModifiedBy>
  <cp:lastPrinted>2024-01-31T17:08:00Z</cp:lastPrinted>
  <dcterms:modified xsi:type="dcterms:W3CDTF">2024-03-28T10:23:07Z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FD1A9D373B9F4B3DA7DEE6EE5BCAAA48_12</vt:lpwstr>
  </property>
</Properties>
</file>