
<file path=[Content_Types].xml><?xml version="1.0" encoding="utf-8"?>
<Types xmlns="http://schemas.openxmlformats.org/package/2006/content-types">
  <Default Extension="xml" ContentType="application/xml"/>
  <Default Extension="tiff" ContentType="image/tiff"/>
  <Default Extension="png" ContentType="image/png"/>
  <Default Extension="emf" ContentType="image/x-emf"/>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8"/>
        <w:tblW w:w="936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0" w:type="dxa"/>
          <w:bottom w:w="0" w:type="dxa"/>
          <w:right w:w="0" w:type="dxa"/>
        </w:tblCellMar>
      </w:tblPr>
      <w:tblGrid>
        <w:gridCol w:w="509"/>
        <w:gridCol w:w="885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pPr>
              <w:pStyle w:val="19"/>
              <w:framePr w:wrap="notBeside" w:vAnchor="page" w:hAnchor="page" w:x="1372" w:y="568"/>
              <w:tabs>
                <w:tab w:val="clear" w:pos="4153"/>
                <w:tab w:val="clear" w:pos="8306"/>
              </w:tabs>
              <w:spacing w:line="240" w:lineRule="auto"/>
              <w:jc w:val="left"/>
              <w:rPr>
                <w:rFonts w:ascii="黑体" w:hAnsi="黑体" w:eastAsia="黑体"/>
                <w:sz w:val="21"/>
                <w:szCs w:val="21"/>
              </w:rPr>
            </w:pPr>
            <w:r>
              <w:rPr>
                <w:rFonts w:ascii="Times New Roman" w:hAnsi="Times New Roman" w:eastAsia="黑体"/>
                <w:sz w:val="21"/>
                <w:szCs w:val="21"/>
              </w:rPr>
              <w:t>ICS</w:t>
            </w:r>
          </w:p>
        </w:tc>
        <w:tc>
          <w:tcPr>
            <w:tcW w:w="8855" w:type="dxa"/>
          </w:tcPr>
          <w:p>
            <w:pPr>
              <w:pStyle w:val="19"/>
              <w:framePr w:wrap="notBeside" w:vAnchor="page" w:hAnchor="page" w:x="1372" w:y="568"/>
              <w:tabs>
                <w:tab w:val="clear" w:pos="4153"/>
                <w:tab w:val="clear" w:pos="8306"/>
              </w:tabs>
              <w:spacing w:line="240" w:lineRule="auto"/>
              <w:jc w:val="both"/>
              <w:rPr>
                <w:rFonts w:ascii="黑体" w:hAnsi="黑体" w:eastAsia="黑体"/>
                <w:sz w:val="21"/>
                <w:szCs w:val="21"/>
              </w:rPr>
            </w:pPr>
            <w:r>
              <w:rPr>
                <w:rFonts w:ascii="黑体" w:hAnsi="黑体" w:eastAsia="黑体"/>
                <w:sz w:val="21"/>
                <w:szCs w:val="21"/>
              </w:rPr>
              <w:fldChar w:fldCharType="begin">
                <w:ffData>
                  <w:name w:val="ICS"/>
                  <w:enabled/>
                  <w:calcOnExit w:val="0"/>
                  <w:textInput>
                    <w:default w:val="点击此处添加ICS号"/>
                  </w:textInput>
                </w:ffData>
              </w:fldChar>
            </w:r>
            <w:bookmarkStart w:id="0" w:name="ICS"/>
            <w:r>
              <w:rPr>
                <w:rFonts w:ascii="黑体" w:hAnsi="黑体" w:eastAsia="黑体"/>
                <w:sz w:val="21"/>
                <w:szCs w:val="21"/>
              </w:rPr>
              <w:instrText xml:space="preserve"> FORMTEXT </w:instrText>
            </w:r>
            <w:r>
              <w:rPr>
                <w:rFonts w:ascii="黑体" w:hAnsi="黑体" w:eastAsia="黑体"/>
                <w:sz w:val="21"/>
                <w:szCs w:val="21"/>
              </w:rPr>
              <w:fldChar w:fldCharType="separate"/>
            </w:r>
            <w:r>
              <w:rPr>
                <w:rFonts w:hint="eastAsia" w:ascii="黑体" w:hAnsi="黑体" w:eastAsia="黑体"/>
                <w:sz w:val="21"/>
                <w:szCs w:val="21"/>
              </w:rPr>
              <w:t>91.080.40</w:t>
            </w:r>
            <w:r>
              <w:rPr>
                <w:rFonts w:ascii="黑体" w:hAnsi="黑体" w:eastAsia="黑体"/>
                <w:sz w:val="21"/>
                <w:szCs w:val="21"/>
              </w:rPr>
              <w:fldChar w:fldCharType="end"/>
            </w:r>
            <w:bookmarkEnd w:id="0"/>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pPr>
              <w:pStyle w:val="19"/>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ascii="Times New Roman" w:hAnsi="Times New Roman" w:eastAsia="黑体"/>
                <w:sz w:val="21"/>
                <w:szCs w:val="21"/>
              </w:rPr>
              <w:t>CCS</w:t>
            </w:r>
          </w:p>
        </w:tc>
        <w:tc>
          <w:tcPr>
            <w:tcW w:w="8855" w:type="dxa"/>
          </w:tcPr>
          <w:p>
            <w:pPr>
              <w:pStyle w:val="19"/>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ascii="黑体" w:hAnsi="黑体" w:eastAsia="黑体"/>
                <w:sz w:val="21"/>
                <w:szCs w:val="21"/>
              </w:rPr>
              <w:fldChar w:fldCharType="begin">
                <w:ffData>
                  <w:name w:val="CSDN"/>
                  <w:enabled/>
                  <w:calcOnExit w:val="0"/>
                  <w:textInput>
                    <w:default w:val="点击此处添加CCS号"/>
                  </w:textInput>
                </w:ffData>
              </w:fldChar>
            </w:r>
            <w:bookmarkStart w:id="1" w:name="CSDN"/>
            <w:r>
              <w:rPr>
                <w:rFonts w:ascii="黑体" w:hAnsi="黑体" w:eastAsia="黑体"/>
                <w:sz w:val="21"/>
                <w:szCs w:val="21"/>
              </w:rPr>
              <w:instrText xml:space="preserve"> FORMTEXT </w:instrText>
            </w:r>
            <w:r>
              <w:rPr>
                <w:rFonts w:ascii="黑体" w:hAnsi="黑体" w:eastAsia="黑体"/>
                <w:sz w:val="21"/>
                <w:szCs w:val="21"/>
              </w:rPr>
              <w:fldChar w:fldCharType="separate"/>
            </w:r>
            <w:r>
              <w:rPr>
                <w:rFonts w:hint="eastAsia" w:ascii="黑体" w:hAnsi="黑体" w:eastAsia="黑体"/>
                <w:sz w:val="21"/>
                <w:szCs w:val="21"/>
              </w:rPr>
              <w:t>P25</w:t>
            </w:r>
            <w:r>
              <w:rPr>
                <w:rFonts w:ascii="黑体" w:hAnsi="黑体" w:eastAsia="黑体"/>
                <w:sz w:val="21"/>
                <w:szCs w:val="21"/>
              </w:rPr>
              <w:fldChar w:fldCharType="end"/>
            </w:r>
            <w:bookmarkEnd w:id="1"/>
          </w:p>
        </w:tc>
      </w:tr>
    </w:tbl>
    <w:tbl>
      <w:tblPr>
        <w:tblStyle w:val="28"/>
        <w:tblpPr w:leftFromText="180" w:rightFromText="180" w:vertAnchor="text" w:horzAnchor="margin" w:tblpX="2683" w:tblpY="578"/>
        <w:tblW w:w="0" w:type="auto"/>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autofit"/>
        <w:tblCellMar>
          <w:top w:w="0" w:type="dxa"/>
          <w:left w:w="108" w:type="dxa"/>
          <w:bottom w:w="0" w:type="dxa"/>
          <w:right w:w="221" w:type="dxa"/>
        </w:tblCellMar>
      </w:tblPr>
      <w:tblGrid>
        <w:gridCol w:w="6407"/>
      </w:tblGrid>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221" w:type="dxa"/>
          </w:tblCellMar>
        </w:tblPrEx>
        <w:tc>
          <w:tcPr>
            <w:tcW w:w="6407" w:type="dxa"/>
          </w:tcPr>
          <w:p>
            <w:pPr>
              <w:pStyle w:val="51"/>
              <w:framePr w:w="0" w:hRule="auto" w:wrap="auto" w:vAnchor="margin" w:hAnchor="text" w:xAlign="left" w:yAlign="inline"/>
              <w:rPr>
                <w:rFonts w:ascii="宋体" w:hAnsi="宋体"/>
                <w:sz w:val="28"/>
                <w:szCs w:val="28"/>
              </w:rPr>
            </w:pPr>
            <w:bookmarkStart w:id="2" w:name="_Hlk26473981"/>
            <w:r>
              <w:drawing>
                <wp:inline distT="0" distB="0" distL="0" distR="0">
                  <wp:extent cx="796290" cy="3975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fldChar w:fldCharType="begin">
                <w:ffData>
                  <w:name w:val="c1"/>
                  <w:enabled/>
                  <w:calcOnExit w:val="0"/>
                  <w:textInput>
                    <w:maxLength w:val="8"/>
                  </w:textInput>
                </w:ffData>
              </w:fldChar>
            </w:r>
            <w:bookmarkStart w:id="3" w:name="c1"/>
            <w:r>
              <w:instrText xml:space="preserve"> FORMTEXT </w:instrText>
            </w:r>
            <w:r>
              <w:fldChar w:fldCharType="separate"/>
            </w:r>
            <w:r>
              <w:rPr>
                <w:rFonts w:hint="eastAsia"/>
              </w:rPr>
              <w:t>32</w:t>
            </w:r>
            <w:r>
              <w:fldChar w:fldCharType="end"/>
            </w:r>
            <w:bookmarkEnd w:id="3"/>
          </w:p>
        </w:tc>
      </w:tr>
    </w:tbl>
    <w:p>
      <w:pPr>
        <w:pStyle w:val="52"/>
        <w:framePr w:w="9639" w:h="624" w:hRule="exact" w:hSpace="181" w:vSpace="181" w:wrap="around" w:hAnchor="page" w:x="1305" w:y="2269"/>
        <w:rPr>
          <w:rFonts w:ascii="黑体" w:hAnsi="黑体" w:eastAsia="黑体"/>
          <w:b w:val="0"/>
          <w:bCs w:val="0"/>
          <w:w w:val="100"/>
          <w:sz w:val="48"/>
          <w:szCs w:val="48"/>
        </w:rPr>
      </w:pPr>
      <w:r>
        <w:rPr>
          <w:rFonts w:ascii="黑体" w:eastAsia="黑体"/>
          <w:b w:val="0"/>
          <w:w w:val="100"/>
          <w:sz w:val="48"/>
        </w:rPr>
        <w:fldChar w:fldCharType="begin">
          <w:ffData>
            <w:name w:val="c2"/>
            <w:enabled/>
            <w:calcOnExit w:val="0"/>
            <w:textInput/>
          </w:ffData>
        </w:fldChar>
      </w:r>
      <w:bookmarkStart w:id="4" w:name="c2"/>
      <w:r>
        <w:rPr>
          <w:rFonts w:ascii="黑体" w:eastAsia="黑体"/>
          <w:b w:val="0"/>
          <w:w w:val="100"/>
          <w:sz w:val="48"/>
        </w:rPr>
        <w:instrText xml:space="preserve"> FORMTEXT </w:instrText>
      </w:r>
      <w:r>
        <w:rPr>
          <w:rFonts w:ascii="黑体" w:eastAsia="黑体"/>
          <w:b w:val="0"/>
          <w:w w:val="100"/>
          <w:sz w:val="48"/>
        </w:rPr>
        <w:fldChar w:fldCharType="separate"/>
      </w:r>
      <w:r>
        <w:rPr>
          <w:rFonts w:hint="eastAsia" w:ascii="黑体" w:eastAsia="黑体"/>
          <w:b w:val="0"/>
          <w:w w:val="100"/>
          <w:sz w:val="48"/>
        </w:rPr>
        <w:t>江苏省</w:t>
      </w:r>
      <w:r>
        <w:rPr>
          <w:rFonts w:ascii="黑体" w:eastAsia="黑体"/>
          <w:b w:val="0"/>
          <w:w w:val="100"/>
          <w:sz w:val="48"/>
        </w:rPr>
        <w:fldChar w:fldCharType="end"/>
      </w:r>
      <w:bookmarkEnd w:id="4"/>
      <w:r>
        <w:rPr>
          <w:rFonts w:hint="eastAsia" w:ascii="黑体" w:hAnsi="黑体" w:eastAsia="黑体"/>
          <w:b w:val="0"/>
          <w:bCs w:val="0"/>
          <w:w w:val="100"/>
          <w:sz w:val="48"/>
          <w:szCs w:val="48"/>
        </w:rPr>
        <w:t>地方标准</w:t>
      </w:r>
    </w:p>
    <w:bookmarkEnd w:id="2"/>
    <w:p>
      <w:pPr>
        <w:pStyle w:val="197"/>
        <w:framePr/>
        <w:rPr>
          <w:lang w:val="fr-FR"/>
        </w:rPr>
      </w:pPr>
      <w:r>
        <w:rPr>
          <w:lang w:val="fr-FR"/>
        </w:rPr>
        <w:t>DB</w:t>
      </w:r>
      <w:r>
        <w:fldChar w:fldCharType="begin">
          <w:ffData>
            <w:name w:val="文字1"/>
            <w:enabled/>
            <w:calcOnExit w:val="0"/>
            <w:textInput>
              <w:default w:val="XX/T"/>
            </w:textInput>
          </w:ffData>
        </w:fldChar>
      </w:r>
      <w:bookmarkStart w:id="5" w:name="文字1"/>
      <w:r>
        <w:rPr>
          <w:lang w:val="fr-FR"/>
        </w:rPr>
        <w:instrText xml:space="preserve"> FORMTEXT </w:instrText>
      </w:r>
      <w:r>
        <w:fldChar w:fldCharType="separate"/>
      </w:r>
      <w:r>
        <w:rPr>
          <w:rFonts w:hint="eastAsia"/>
          <w:lang w:val="fr-FR"/>
        </w:rPr>
        <w:t>32</w:t>
      </w:r>
      <w:r>
        <w:rPr>
          <w:lang w:val="fr-FR"/>
        </w:rPr>
        <w:t>/T</w:t>
      </w:r>
      <w:r>
        <w:fldChar w:fldCharType="end"/>
      </w:r>
      <w:bookmarkEnd w:id="5"/>
      <w:r>
        <w:fldChar w:fldCharType="begin">
          <w:ffData>
            <w:name w:val="NSTD_CODE_F"/>
            <w:enabled/>
            <w:calcOnExit w:val="0"/>
            <w:textInput>
              <w:default w:val="XXXX"/>
            </w:textInput>
          </w:ffData>
        </w:fldChar>
      </w:r>
      <w:bookmarkStart w:id="6" w:name="NSTD_CODE_F"/>
      <w:r>
        <w:rPr>
          <w:lang w:val="fr-FR"/>
        </w:rPr>
        <w:instrText xml:space="preserve"> FORMTEXT </w:instrText>
      </w:r>
      <w:r>
        <w:fldChar w:fldCharType="separate"/>
      </w:r>
      <w:r>
        <w:rPr>
          <w:lang w:val="fr-FR"/>
        </w:rPr>
        <w:t>XXXX</w:t>
      </w:r>
      <w:r>
        <w:fldChar w:fldCharType="end"/>
      </w:r>
      <w:bookmarkEnd w:id="6"/>
      <w:r>
        <w:rPr>
          <w:rFonts w:hAnsi="黑体"/>
          <w:lang w:val="fr-FR"/>
        </w:rPr>
        <w:t>—</w:t>
      </w:r>
      <w:r>
        <w:fldChar w:fldCharType="begin">
          <w:ffData>
            <w:name w:val="NSTD_CODE_B"/>
            <w:enabled/>
            <w:calcOnExit w:val="0"/>
            <w:textInput>
              <w:default w:val="XXXX"/>
            </w:textInput>
          </w:ffData>
        </w:fldChar>
      </w:r>
      <w:bookmarkStart w:id="7" w:name="NSTD_CODE_B"/>
      <w:r>
        <w:rPr>
          <w:lang w:val="fr-FR"/>
        </w:rPr>
        <w:instrText xml:space="preserve"> FORMTEXT </w:instrText>
      </w:r>
      <w:r>
        <w:fldChar w:fldCharType="separate"/>
      </w:r>
      <w:r>
        <w:rPr>
          <w:lang w:val="fr-FR"/>
        </w:rPr>
        <w:t>XXXX</w:t>
      </w:r>
      <w:r>
        <w:fldChar w:fldCharType="end"/>
      </w:r>
      <w:bookmarkEnd w:id="7"/>
    </w:p>
    <w:p>
      <w:pPr>
        <w:pStyle w:val="198"/>
        <w:framePr/>
        <w:rPr>
          <w:rFonts w:hAnsi="黑体"/>
        </w:rPr>
      </w:pPr>
      <w:r>
        <w:rPr>
          <w:rFonts w:hAnsi="黑体"/>
        </w:rPr>
        <w:fldChar w:fldCharType="begin">
          <w:ffData>
            <w:name w:val="OSTD_CODE"/>
            <w:enabled/>
            <w:calcOnExit w:val="0"/>
            <w:textInput/>
          </w:ffData>
        </w:fldChar>
      </w:r>
      <w:bookmarkStart w:id="8" w:name="OSTD_CODE"/>
      <w:r>
        <w:rPr>
          <w:rFonts w:hAnsi="黑体"/>
        </w:rPr>
        <w:instrText xml:space="preserve"> FORMTEXT </w:instrText>
      </w:r>
      <w:r>
        <w:rPr>
          <w:rFonts w:hAnsi="黑体"/>
        </w:rPr>
        <w:fldChar w:fldCharType="separate"/>
      </w:r>
      <w:r>
        <w:rPr>
          <w:rFonts w:hAnsi="黑体"/>
        </w:rPr>
        <w:t>     </w:t>
      </w:r>
      <w:r>
        <w:rPr>
          <w:rFonts w:hAnsi="黑体"/>
        </w:rPr>
        <w:fldChar w:fldCharType="end"/>
      </w:r>
      <w:bookmarkEnd w:id="8"/>
    </w:p>
    <w:p>
      <w:pPr>
        <w:spacing w:line="240" w:lineRule="auto"/>
        <w:rPr>
          <w:rFonts w:ascii="黑体" w:hAnsi="黑体" w:eastAsia="黑体"/>
          <w:kern w:val="0"/>
          <w:sz w:val="10"/>
          <w:szCs w:val="10"/>
        </w:rPr>
      </w:pPr>
      <w:r>
        <w:rPr>
          <w:rFonts w:ascii="黑体" w:hAnsi="黑体" w:eastAsia="黑体"/>
          <w:kern w:val="0"/>
          <w:sz w:val="10"/>
          <w:szCs w:val="10"/>
        </w:rPr>
        <w:pict>
          <v:line id="直接连接符 73" o:spid="_x0000_s1026" o:spt="20" style="position:absolute;left:0pt;margin-left:70.9pt;margin-top:212.65pt;height:0pt;width:481.9pt;mso-position-horizontal-relative:page;mso-position-vertical-relative:page;z-index:251659264;mso-width-relative:page;mso-height-relative:page;" coordsize="21600,21600" o:allowoverlap="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">
            <v:path arrowok="t"/>
            <v:fill focussize="0,0"/>
            <v:stroke/>
            <v:imagedata o:title=""/>
            <o:lock v:ext="edit"/>
          </v:line>
        </w:pict>
      </w:r>
    </w:p>
    <w:p>
      <w:pPr>
        <w:pStyle w:val="52"/>
        <w:framePr w:w="9639" w:h="6976" w:hRule="exact" w:hSpace="0" w:vSpace="0" w:wrap="around" w:hAnchor="page" w:y="6408"/>
        <w:jc w:val="center"/>
        <w:rPr>
          <w:rFonts w:ascii="黑体" w:hAnsi="黑体" w:eastAsia="黑体"/>
          <w:b w:val="0"/>
          <w:bCs w:val="0"/>
          <w:w w:val="100"/>
        </w:rPr>
      </w:pPr>
    </w:p>
    <w:p>
      <w:pPr>
        <w:pStyle w:val="199"/>
        <w:framePr w:h="6974" w:hRule="exact" w:wrap="around" w:x="1419" w:anchorLock="1"/>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rPr>
          <w:rFonts w:hint="eastAsia"/>
        </w:rPr>
        <w:t>预制预应力混凝土装配整体式结构</w:t>
      </w:r>
    </w:p>
    <w:p>
      <w:pPr>
        <w:pStyle w:val="199"/>
        <w:framePr w:h="6974" w:hRule="exact" w:wrap="around" w:x="1419" w:anchorLock="1"/>
      </w:pPr>
      <w:r>
        <w:rPr>
          <w:rFonts w:hint="eastAsia"/>
        </w:rPr>
        <w:t>技术规程</w:t>
      </w:r>
      <w:r>
        <w:fldChar w:fldCharType="end"/>
      </w:r>
      <w:bookmarkEnd w:id="9"/>
    </w:p>
    <w:p>
      <w:pPr>
        <w:framePr w:w="9639" w:h="6974" w:hRule="exact" w:wrap="around" w:vAnchor="page" w:hAnchor="page" w:x="1419" w:y="6408" w:anchorLock="1"/>
        <w:ind w:left="-1418"/>
      </w:pPr>
    </w:p>
    <w:p>
      <w:pPr>
        <w:pStyle w:val="127"/>
        <w:framePr w:w="9639" w:h="6974" w:hRule="exact" w:wrap="around" w:vAnchor="page" w:hAnchor="page" w:x="1419" w:y="6408" w:anchorLock="1"/>
        <w:textAlignment w:val="bottom"/>
        <w:rPr>
          <w:rFonts w:eastAsia="黑体"/>
          <w:szCs w:val="28"/>
        </w:rPr>
      </w:pPr>
      <w:r>
        <w:rPr>
          <w:rFonts w:eastAsia="黑体"/>
          <w:szCs w:val="28"/>
        </w:rPr>
        <w:fldChar w:fldCharType="begin">
          <w:ffData>
            <w:name w:val="ESTD_NAME"/>
            <w:enabled/>
            <w:calcOnExit w:val="0"/>
            <w:textInput>
              <w:default w:val="点击此处添加标准名称的英文译名"/>
            </w:textInput>
          </w:ffData>
        </w:fldChar>
      </w:r>
      <w:bookmarkStart w:id="10" w:name="ESTD_NAME"/>
      <w:r>
        <w:rPr>
          <w:rFonts w:eastAsia="黑体"/>
          <w:szCs w:val="28"/>
        </w:rPr>
        <w:instrText xml:space="preserve"> FORMTEXT </w:instrText>
      </w:r>
      <w:r>
        <w:rPr>
          <w:rFonts w:eastAsia="黑体"/>
          <w:szCs w:val="28"/>
        </w:rPr>
        <w:fldChar w:fldCharType="separate"/>
      </w:r>
      <w:r>
        <w:rPr>
          <w:rFonts w:eastAsia="黑体"/>
          <w:szCs w:val="28"/>
        </w:rPr>
        <w:t>Technical specification for structures comprised of precast prestressed concrete components</w:t>
      </w:r>
      <w:r>
        <w:rPr>
          <w:rFonts w:eastAsia="黑体"/>
          <w:szCs w:val="28"/>
        </w:rPr>
        <w:fldChar w:fldCharType="end"/>
      </w:r>
      <w:bookmarkEnd w:id="10"/>
    </w:p>
    <w:p>
      <w:pPr>
        <w:framePr w:w="9639" w:h="6974" w:hRule="exact" w:wrap="around" w:vAnchor="page" w:hAnchor="page" w:x="1419" w:y="6408" w:anchorLock="1"/>
        <w:spacing w:line="760" w:lineRule="exact"/>
        <w:ind w:left="-1418"/>
      </w:pPr>
    </w:p>
    <w:p>
      <w:pPr>
        <w:pStyle w:val="127"/>
        <w:framePr w:w="9639" w:h="6974" w:hRule="exact" w:wrap="around" w:vAnchor="page" w:hAnchor="page" w:x="1419" w:y="6408" w:anchorLock="1"/>
        <w:textAlignment w:val="bottom"/>
        <w:rPr>
          <w:rFonts w:eastAsia="黑体"/>
          <w:szCs w:val="28"/>
        </w:rPr>
      </w:pPr>
    </w:p>
    <w:p>
      <w:pPr>
        <w:pStyle w:val="127"/>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6"/>
              <w:listEntry w:val=" "/>
              <w:listEntry w:val="草案版次选择"/>
              <w:listEntry w:val="（工作组讨论稿）"/>
              <w:listEntry w:val="（征求意见稿）"/>
              <w:listEntry w:val="（送审讨论稿）"/>
              <w:listEntry w:val="（送审稿）"/>
              <w:listEntry w:val="（报批稿）"/>
            </w:ddList>
          </w:ffData>
        </w:fldChar>
      </w:r>
      <w:bookmarkStart w:id="11" w:name="下拉1"/>
      <w:r>
        <w:rPr>
          <w:sz w:val="24"/>
          <w:szCs w:val="28"/>
        </w:rPr>
        <w:instrText xml:space="preserve"> FORMDROPDOWN </w:instrText>
      </w:r>
      <w:r>
        <w:rPr>
          <w:sz w:val="24"/>
          <w:szCs w:val="28"/>
        </w:rPr>
        <w:fldChar w:fldCharType="separate"/>
      </w:r>
      <w:r>
        <w:rPr>
          <w:sz w:val="24"/>
          <w:szCs w:val="28"/>
        </w:rPr>
        <w:fldChar w:fldCharType="end"/>
      </w:r>
      <w:bookmarkEnd w:id="11"/>
    </w:p>
    <w:p>
      <w:pPr>
        <w:pStyle w:val="127"/>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2" w:name="CMPLSH_DATE"/>
      <w:r>
        <w:rPr>
          <w:sz w:val="21"/>
          <w:szCs w:val="28"/>
        </w:rPr>
        <w:instrText xml:space="preserve"> FORMTEXT </w:instrText>
      </w:r>
      <w:r>
        <w:rPr>
          <w:sz w:val="21"/>
          <w:szCs w:val="28"/>
        </w:rPr>
        <w:fldChar w:fldCharType="separate"/>
      </w:r>
      <w:r>
        <w:rPr>
          <w:sz w:val="21"/>
          <w:szCs w:val="28"/>
        </w:rPr>
        <w:t>     </w:t>
      </w:r>
      <w:r>
        <w:rPr>
          <w:sz w:val="21"/>
          <w:szCs w:val="28"/>
        </w:rPr>
        <w:fldChar w:fldCharType="end"/>
      </w:r>
      <w:bookmarkEnd w:id="12"/>
    </w:p>
    <w:p>
      <w:pPr>
        <w:pStyle w:val="127"/>
        <w:framePr w:w="9639" w:h="6974" w:hRule="exact" w:wrap="around" w:vAnchor="page" w:hAnchor="page" w:x="1419" w:y="6408" w:anchorLock="1"/>
        <w:spacing w:before="720" w:beforeLines="300" w:after="72" w:afterLines="30" w:line="240" w:lineRule="auto"/>
        <w:textAlignment w:val="bottom"/>
        <w:rPr>
          <w:b/>
          <w:sz w:val="21"/>
          <w:szCs w:val="28"/>
        </w:rPr>
      </w:pPr>
      <w:r>
        <w:rPr>
          <w:b/>
          <w:sz w:val="21"/>
          <w:szCs w:val="28"/>
        </w:rPr>
        <w:fldChar w:fldCharType="begin">
          <w:ffData>
            <w:name w:val="下拉2"/>
            <w:enabled/>
            <w:calcOnExit w:val="0"/>
            <w:ddList>
              <w:listEntry w:val=" "/>
              <w:listEntry w:val="在提交反馈意见时，请将您知道的相关专利连同支持性文件一并附上。"/>
            </w:ddList>
          </w:ffData>
        </w:fldChar>
      </w:r>
      <w:bookmarkStart w:id="13" w:name="下拉2"/>
      <w:r>
        <w:rPr>
          <w:b/>
          <w:sz w:val="21"/>
          <w:szCs w:val="28"/>
        </w:rPr>
        <w:instrText xml:space="preserve"> FORMDROPDOWN </w:instrText>
      </w:r>
      <w:r>
        <w:rPr>
          <w:b/>
          <w:sz w:val="21"/>
          <w:szCs w:val="28"/>
        </w:rPr>
        <w:fldChar w:fldCharType="separate"/>
      </w:r>
      <w:r>
        <w:rPr>
          <w:b/>
          <w:sz w:val="21"/>
          <w:szCs w:val="28"/>
        </w:rPr>
        <w:fldChar w:fldCharType="end"/>
      </w:r>
      <w:bookmarkEnd w:id="13"/>
    </w:p>
    <w:p>
      <w:pPr>
        <w:pStyle w:val="195"/>
        <w:framePr w:wrap="around" w:y="14176"/>
      </w:pPr>
      <w:r>
        <w:rPr>
          <w:rFonts w:ascii="黑体"/>
        </w:rPr>
        <w:fldChar w:fldCharType="begin">
          <w:ffData>
            <w:name w:val="PLSH_DATE_Y"/>
            <w:enabled/>
            <w:calcOnExit w:val="0"/>
            <w:textInput>
              <w:default w:val="XXXX"/>
              <w:maxLength w:val="4"/>
            </w:textInput>
          </w:ffData>
        </w:fldChar>
      </w:r>
      <w:bookmarkStart w:id="14" w:name="PLSH_DATE_Y"/>
      <w:r>
        <w:rPr>
          <w:rFonts w:ascii="黑体"/>
        </w:rPr>
        <w:instrText xml:space="preserve"> FORMTEXT </w:instrText>
      </w:r>
      <w:r>
        <w:rPr>
          <w:rFonts w:ascii="黑体"/>
        </w:rPr>
        <w:fldChar w:fldCharType="separate"/>
      </w:r>
      <w:r>
        <w:rPr>
          <w:rFonts w:hint="eastAsia" w:ascii="黑体"/>
        </w:rPr>
        <w:t>202</w:t>
      </w:r>
      <w:r>
        <w:rPr>
          <w:rFonts w:ascii="黑体"/>
        </w:rPr>
        <w:t>X</w:t>
      </w:r>
      <w:r>
        <w:rPr>
          <w:rFonts w:ascii="黑体"/>
        </w:rPr>
        <w:fldChar w:fldCharType="end"/>
      </w:r>
      <w:bookmarkEnd w:id="14"/>
      <w:r>
        <w:rPr>
          <w:rFonts w:ascii="黑体"/>
        </w:rPr>
        <w:t>-</w:t>
      </w:r>
      <w:r>
        <w:rPr>
          <w:rFonts w:ascii="黑体"/>
        </w:rPr>
        <w:fldChar w:fldCharType="begin">
          <w:ffData>
            <w:name w:val="PLSH_DATE_M"/>
            <w:enabled/>
            <w:calcOnExit w:val="0"/>
            <w:textInput>
              <w:default w:val="XX"/>
              <w:maxLength w:val="2"/>
            </w:textInput>
          </w:ffData>
        </w:fldChar>
      </w:r>
      <w:bookmarkStart w:id="15" w:name="PLSH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5"/>
      <w:r>
        <w:rPr>
          <w:rFonts w:ascii="黑体"/>
        </w:rPr>
        <w:t>-</w:t>
      </w:r>
      <w:r>
        <w:rPr>
          <w:rFonts w:ascii="黑体"/>
        </w:rPr>
        <w:fldChar w:fldCharType="begin">
          <w:ffData>
            <w:name w:val="PLSH_DATE_D"/>
            <w:enabled/>
            <w:calcOnExit w:val="0"/>
            <w:textInput>
              <w:default w:val="XX"/>
              <w:maxLength w:val="2"/>
            </w:textInput>
          </w:ffData>
        </w:fldChar>
      </w:r>
      <w:bookmarkStart w:id="16" w:name="PLSH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6"/>
      <w:r>
        <w:rPr>
          <w:rFonts w:hint="eastAsia"/>
        </w:rPr>
        <w:t>发布</w:t>
      </w:r>
    </w:p>
    <w:p>
      <w:pPr>
        <w:pStyle w:val="196"/>
        <w:framePr w:wrap="around" w:y="14176"/>
      </w:pPr>
      <w:r>
        <w:rPr>
          <w:rFonts w:ascii="黑体"/>
        </w:rPr>
        <w:fldChar w:fldCharType="begin">
          <w:ffData>
            <w:name w:val="CROT_DATE_Y"/>
            <w:enabled/>
            <w:calcOnExit w:val="0"/>
            <w:textInput>
              <w:default w:val="XXXX"/>
              <w:maxLength w:val="4"/>
            </w:textInput>
          </w:ffData>
        </w:fldChar>
      </w:r>
      <w:bookmarkStart w:id="17" w:name="CROT_DATE_Y"/>
      <w:r>
        <w:rPr>
          <w:rFonts w:ascii="黑体"/>
        </w:rPr>
        <w:instrText xml:space="preserve"> FORMTEXT </w:instrText>
      </w:r>
      <w:r>
        <w:rPr>
          <w:rFonts w:ascii="黑体"/>
        </w:rPr>
        <w:fldChar w:fldCharType="separate"/>
      </w:r>
      <w:r>
        <w:rPr>
          <w:rFonts w:hint="eastAsia" w:ascii="黑体"/>
        </w:rPr>
        <w:t>202</w:t>
      </w:r>
      <w:r>
        <w:rPr>
          <w:rFonts w:ascii="黑体"/>
        </w:rPr>
        <w:t>X</w:t>
      </w:r>
      <w:r>
        <w:rPr>
          <w:rFonts w:ascii="黑体"/>
        </w:rPr>
        <w:fldChar w:fldCharType="end"/>
      </w:r>
      <w:bookmarkEnd w:id="17"/>
      <w:r>
        <w:rPr>
          <w:rFonts w:ascii="黑体"/>
        </w:rPr>
        <w:t>-</w:t>
      </w:r>
      <w:r>
        <w:rPr>
          <w:rFonts w:ascii="黑体"/>
        </w:rPr>
        <w:fldChar w:fldCharType="begin">
          <w:ffData>
            <w:name w:val="CROT_DATE_M"/>
            <w:enabled/>
            <w:calcOnExit w:val="0"/>
            <w:textInput>
              <w:default w:val="XX"/>
              <w:maxLength w:val="2"/>
            </w:textInput>
          </w:ffData>
        </w:fldChar>
      </w:r>
      <w:bookmarkStart w:id="18" w:name="CROT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8"/>
      <w:r>
        <w:rPr>
          <w:rFonts w:ascii="黑体"/>
        </w:rPr>
        <w:t>-</w:t>
      </w:r>
      <w:r>
        <w:rPr>
          <w:rFonts w:ascii="黑体"/>
        </w:rPr>
        <w:fldChar w:fldCharType="begin">
          <w:ffData>
            <w:name w:val="CROT_DATE_D"/>
            <w:enabled/>
            <w:calcOnExit w:val="0"/>
            <w:textInput>
              <w:default w:val="XX"/>
              <w:maxLength w:val="2"/>
            </w:textInput>
          </w:ffData>
        </w:fldChar>
      </w:r>
      <w:bookmarkStart w:id="19" w:name="CROT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9"/>
      <w:r>
        <w:rPr>
          <w:rFonts w:hint="eastAsia"/>
        </w:rPr>
        <w:t>实施</w:t>
      </w:r>
    </w:p>
    <w:p>
      <w:pPr>
        <w:pStyle w:val="153"/>
        <w:framePr w:h="584" w:hRule="exact" w:hSpace="181" w:vSpace="181" w:wrap="around" w:y="15027"/>
        <w:rPr>
          <w:rFonts w:hAnsi="黑体"/>
        </w:rPr>
      </w:pPr>
      <w:r>
        <w:rPr>
          <w:rFonts w:hAnsi="黑体"/>
          <w:w w:val="100"/>
          <w:sz w:val="28"/>
        </w:rPr>
        <w:fldChar w:fldCharType="begin">
          <w:ffData>
            <w:name w:val="fm"/>
            <w:enabled/>
            <w:calcOnExit w:val="0"/>
            <w:textInput/>
          </w:ffData>
        </w:fldChar>
      </w:r>
      <w:bookmarkStart w:id="20" w:name="fm"/>
      <w:r>
        <w:rPr>
          <w:rFonts w:hAnsi="黑体"/>
          <w:w w:val="100"/>
          <w:sz w:val="28"/>
        </w:rPr>
        <w:instrText xml:space="preserve"> FORMTEXT </w:instrText>
      </w:r>
      <w:r>
        <w:rPr>
          <w:rFonts w:hAnsi="黑体"/>
          <w:w w:val="100"/>
          <w:sz w:val="28"/>
        </w:rPr>
        <w:fldChar w:fldCharType="separate"/>
      </w:r>
      <w:r>
        <w:rPr>
          <w:rFonts w:hint="eastAsia" w:hAnsi="黑体"/>
          <w:w w:val="100"/>
          <w:sz w:val="28"/>
        </w:rPr>
        <w:t>江苏省市场监督管理局 江苏省住房和城乡建设厅</w:t>
      </w:r>
      <w:r>
        <w:rPr>
          <w:rFonts w:hAnsi="黑体"/>
          <w:w w:val="100"/>
          <w:sz w:val="28"/>
        </w:rPr>
        <w:fldChar w:fldCharType="end"/>
      </w:r>
      <w:bookmarkEnd w:id="20"/>
      <w:r>
        <w:rPr>
          <w:rFonts w:ascii="Times New Roman"/>
          <w:w w:val="100"/>
          <w:sz w:val="28"/>
        </w:rPr>
        <w:t>  </w:t>
      </w:r>
      <w:r>
        <w:rPr>
          <w:rStyle w:val="231"/>
          <w:rFonts w:hint="eastAsia" w:hAnsi="黑体"/>
          <w:position w:val="0"/>
        </w:rPr>
        <w:t>发</w:t>
      </w:r>
      <w:r>
        <w:rPr>
          <w:rStyle w:val="231"/>
          <w:rFonts w:hint="eastAsia" w:hAnsi="黑体"/>
          <w:spacing w:val="0"/>
          <w:position w:val="0"/>
        </w:rPr>
        <w:t>布</w:t>
      </w:r>
    </w:p>
    <w:p>
      <w:pPr>
        <w:rPr>
          <w:rFonts w:ascii="宋体" w:hAnsi="宋体"/>
          <w:sz w:val="28"/>
          <w:szCs w:val="28"/>
        </w:rPr>
        <w:sectPr>
          <w:headerReference r:id="rId7" w:type="first"/>
          <w:footerReference r:id="rId10" w:type="first"/>
          <w:headerReference r:id="rId5" w:type="default"/>
          <w:footerReference r:id="rId8" w:type="default"/>
          <w:headerReference r:id="rId6" w:type="even"/>
          <w:footerReference r:id="rId9" w:type="even"/>
          <w:type w:val="continuous"/>
          <w:pgSz w:w="11906" w:h="16838"/>
          <w:pgMar w:top="-338" w:right="1134" w:bottom="1021" w:left="1134" w:header="0" w:footer="0" w:gutter="284"/>
          <w:cols w:space="425" w:num="1"/>
          <w:titlePg/>
          <w:docGrid w:linePitch="312" w:charSpace="0"/>
        </w:sectPr>
      </w:pPr>
      <w:r>
        <w:rPr>
          <w:rFonts w:ascii="宋体" w:hAnsi="宋体"/>
          <w:sz w:val="28"/>
          <w:szCs w:val="28"/>
        </w:rPr>
        <w:pict>
          <v:line id="直接连接符 5" o:spid="_x0000_s1027" o:spt="20" style="position:absolute;left:0pt;margin-left:70.85pt;margin-top:728.6pt;height:0pt;width:481.9pt;mso-position-horizontal-relative:page;mso-position-vertical-relative:page;z-index:251660288;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">
            <v:path arrowok="t"/>
            <v:fill focussize="0,0"/>
            <v:stroke/>
            <v:imagedata o:title=""/>
            <o:lock v:ext="edit"/>
            <w10:anchorlock/>
          </v:line>
        </w:pict>
      </w:r>
    </w:p>
    <w:sdt>
      <w:sdtPr>
        <w:rPr>
          <w:rFonts w:asciiTheme="minorHAnsi" w:hAnsiTheme="minorHAnsi" w:eastAsiaTheme="minorEastAsia" w:cstheme="minorBidi"/>
          <w:b w:val="0"/>
          <w:bCs w:val="0"/>
          <w:kern w:val="2"/>
          <w:sz w:val="21"/>
          <w:szCs w:val="22"/>
          <w:lang w:val="zh-CN"/>
        </w:rPr>
        <w:id w:val="40189128"/>
        <w:docPartObj>
          <w:docPartGallery w:val="Table of Contents"/>
          <w:docPartUnique/>
        </w:docPartObj>
      </w:sdtPr>
      <w:sdtEndPr>
        <w:rPr>
          <w:rFonts w:ascii="宋体" w:hAnsi="宋体" w:eastAsia="宋体" w:cs="Times New Roman"/>
          <w:b w:val="0"/>
          <w:bCs w:val="0"/>
          <w:kern w:val="2"/>
          <w:sz w:val="21"/>
          <w:szCs w:val="21"/>
          <w:lang w:val="en-US"/>
        </w:rPr>
      </w:sdtEndPr>
      <w:sdtContent>
        <w:p>
          <w:pPr>
            <w:pStyle w:val="234"/>
            <w:keepNext w:val="0"/>
            <w:keepLines w:val="0"/>
            <w:spacing w:before="0" w:after="468" w:afterLines="150" w:line="240" w:lineRule="auto"/>
            <w:jc w:val="center"/>
            <w:rPr>
              <w:rFonts w:ascii="宋体" w:hAnsi="宋体"/>
            </w:rPr>
          </w:pPr>
          <w:bookmarkStart w:id="21" w:name="BookMark2"/>
          <w:r>
            <w:rPr>
              <w:rFonts w:ascii="黑体" w:hAnsi="黑体" w:eastAsia="黑体" w:cstheme="minorBidi"/>
              <w:b w:val="0"/>
              <w:bCs w:val="0"/>
              <w:kern w:val="2"/>
              <w:sz w:val="32"/>
              <w:szCs w:val="32"/>
              <w:lang w:val="zh-CN"/>
            </w:rPr>
            <w:t>目　次</w:t>
          </w:r>
          <w:r>
            <w:rPr>
              <w:rFonts w:ascii="宋体" w:hAnsi="宋体" w:cstheme="majorBidi"/>
              <w:color w:val="2F5496" w:themeColor="accent1" w:themeShade="BF"/>
              <w:kern w:val="0"/>
              <w:sz w:val="21"/>
              <w:szCs w:val="21"/>
            </w:rPr>
            <w:fldChar w:fldCharType="begin"/>
          </w:r>
          <w:r>
            <w:rPr>
              <w:rFonts w:ascii="宋体" w:hAnsi="宋体"/>
              <w:sz w:val="21"/>
              <w:szCs w:val="21"/>
            </w:rPr>
            <w:instrText xml:space="preserve"> TOC \o "1-3" \h \z \u </w:instrText>
          </w:r>
          <w:r>
            <w:rPr>
              <w:rFonts w:ascii="宋体" w:hAnsi="宋体" w:cstheme="majorBidi"/>
              <w:color w:val="2F5496" w:themeColor="accent1" w:themeShade="BF"/>
              <w:kern w:val="0"/>
              <w:sz w:val="21"/>
              <w:szCs w:val="21"/>
            </w:rPr>
            <w:fldChar w:fldCharType="separate"/>
          </w:r>
        </w:p>
        <w:p>
          <w:pPr>
            <w:pStyle w:val="20"/>
            <w:tabs>
              <w:tab w:val="right" w:leader="dot" w:pos="9344"/>
            </w:tabs>
            <w:rPr>
              <w:rFonts w:hAnsi="宋体" w:cstheme="minorBidi"/>
              <w:szCs w:val="22"/>
            </w:rPr>
          </w:pPr>
          <w:r>
            <w:fldChar w:fldCharType="begin"/>
          </w:r>
          <w:r>
            <w:instrText xml:space="preserve"> HYPERLINK \l "_Toc142923554" </w:instrText>
          </w:r>
          <w:r>
            <w:fldChar w:fldCharType="separate"/>
          </w:r>
          <w:r>
            <w:rPr>
              <w:rStyle w:val="34"/>
              <w:rFonts w:hAnsi="宋体"/>
            </w:rPr>
            <w:t>前 言</w:t>
          </w:r>
          <w:r>
            <w:rPr>
              <w:rFonts w:hAnsi="宋体"/>
            </w:rPr>
            <w:tab/>
          </w:r>
          <w:r>
            <w:rPr>
              <w:rFonts w:hAnsi="宋体"/>
            </w:rPr>
            <w:fldChar w:fldCharType="end"/>
          </w:r>
          <w:r>
            <w:rPr>
              <w:rFonts w:hAnsi="宋体"/>
            </w:rPr>
            <w:fldChar w:fldCharType="begin"/>
          </w:r>
          <w:r>
            <w:rPr>
              <w:rFonts w:hAnsi="宋体"/>
            </w:rPr>
            <w:instrText xml:space="preserve"> PAGEREF _Toc142923554 \h </w:instrText>
          </w:r>
          <w:r>
            <w:rPr>
              <w:rFonts w:hAnsi="宋体"/>
            </w:rPr>
            <w:fldChar w:fldCharType="separate"/>
          </w:r>
          <w:r>
            <w:rPr>
              <w:rFonts w:hAnsi="宋体"/>
            </w:rPr>
            <w:t>II</w:t>
          </w:r>
          <w:r>
            <w:rPr>
              <w:rFonts w:hAnsi="宋体"/>
            </w:rPr>
            <w:fldChar w:fldCharType="end"/>
          </w:r>
        </w:p>
        <w:p>
          <w:pPr>
            <w:pStyle w:val="20"/>
            <w:tabs>
              <w:tab w:val="right" w:leader="dot" w:pos="9344"/>
            </w:tabs>
            <w:rPr>
              <w:rFonts w:hAnsi="宋体" w:cstheme="minorBidi"/>
              <w:szCs w:val="22"/>
            </w:rPr>
          </w:pPr>
          <w:r>
            <w:fldChar w:fldCharType="begin"/>
          </w:r>
          <w:r>
            <w:instrText xml:space="preserve"> HYPERLINK \l "_Toc142923555" </w:instrText>
          </w:r>
          <w:r>
            <w:fldChar w:fldCharType="separate"/>
          </w:r>
          <w:r>
            <w:rPr>
              <w:rStyle w:val="34"/>
              <w:rFonts w:hAnsi="宋体"/>
            </w:rPr>
            <w:t>1 范围</w:t>
          </w:r>
          <w:r>
            <w:rPr>
              <w:rFonts w:hAnsi="宋体"/>
            </w:rPr>
            <w:tab/>
          </w:r>
          <w:r>
            <w:rPr>
              <w:rFonts w:hAnsi="宋体"/>
            </w:rPr>
            <w:fldChar w:fldCharType="begin"/>
          </w:r>
          <w:r>
            <w:rPr>
              <w:rFonts w:hAnsi="宋体"/>
            </w:rPr>
            <w:instrText xml:space="preserve"> PAGEREF _Toc142923555 \h </w:instrText>
          </w:r>
          <w:r>
            <w:rPr>
              <w:rFonts w:hAnsi="宋体"/>
            </w:rPr>
            <w:fldChar w:fldCharType="separate"/>
          </w:r>
          <w:r>
            <w:rPr>
              <w:rFonts w:hAnsi="宋体"/>
            </w:rPr>
            <w:t>1</w:t>
          </w:r>
          <w:r>
            <w:rPr>
              <w:rFonts w:hAnsi="宋体"/>
            </w:rPr>
            <w:fldChar w:fldCharType="end"/>
          </w:r>
          <w:r>
            <w:rPr>
              <w:rFonts w:hAnsi="宋体"/>
            </w:rPr>
            <w:fldChar w:fldCharType="end"/>
          </w:r>
        </w:p>
        <w:p>
          <w:pPr>
            <w:pStyle w:val="20"/>
            <w:tabs>
              <w:tab w:val="right" w:leader="dot" w:pos="9344"/>
            </w:tabs>
            <w:rPr>
              <w:rFonts w:hAnsi="宋体" w:cstheme="minorBidi"/>
              <w:szCs w:val="22"/>
            </w:rPr>
          </w:pPr>
          <w:r>
            <w:fldChar w:fldCharType="begin"/>
          </w:r>
          <w:r>
            <w:instrText xml:space="preserve"> HYPERLINK \l "_Toc142923556" </w:instrText>
          </w:r>
          <w:r>
            <w:fldChar w:fldCharType="separate"/>
          </w:r>
          <w:r>
            <w:rPr>
              <w:rStyle w:val="34"/>
              <w:rFonts w:hAnsi="宋体"/>
            </w:rPr>
            <w:t>2 规范性引用文件</w:t>
          </w:r>
          <w:r>
            <w:rPr>
              <w:rFonts w:hAnsi="宋体"/>
            </w:rPr>
            <w:tab/>
          </w:r>
          <w:r>
            <w:rPr>
              <w:rFonts w:hAnsi="宋体"/>
            </w:rPr>
            <w:fldChar w:fldCharType="begin"/>
          </w:r>
          <w:r>
            <w:rPr>
              <w:rFonts w:hAnsi="宋体"/>
            </w:rPr>
            <w:instrText xml:space="preserve"> PAGEREF _Toc142923556 \h </w:instrText>
          </w:r>
          <w:r>
            <w:rPr>
              <w:rFonts w:hAnsi="宋体"/>
            </w:rPr>
            <w:fldChar w:fldCharType="separate"/>
          </w:r>
          <w:r>
            <w:rPr>
              <w:rFonts w:hAnsi="宋体"/>
            </w:rPr>
            <w:t>1</w:t>
          </w:r>
          <w:r>
            <w:rPr>
              <w:rFonts w:hAnsi="宋体"/>
            </w:rPr>
            <w:fldChar w:fldCharType="end"/>
          </w:r>
          <w:r>
            <w:rPr>
              <w:rFonts w:hAnsi="宋体"/>
            </w:rPr>
            <w:fldChar w:fldCharType="end"/>
          </w:r>
        </w:p>
        <w:p>
          <w:pPr>
            <w:pStyle w:val="20"/>
            <w:tabs>
              <w:tab w:val="right" w:leader="dot" w:pos="9344"/>
            </w:tabs>
            <w:rPr>
              <w:rFonts w:hAnsi="宋体" w:cstheme="minorBidi"/>
              <w:szCs w:val="22"/>
            </w:rPr>
          </w:pPr>
          <w:r>
            <w:fldChar w:fldCharType="begin"/>
          </w:r>
          <w:r>
            <w:instrText xml:space="preserve"> HYPERLINK \l "_Toc142923557" </w:instrText>
          </w:r>
          <w:r>
            <w:fldChar w:fldCharType="separate"/>
          </w:r>
          <w:r>
            <w:rPr>
              <w:rStyle w:val="34"/>
              <w:rFonts w:hAnsi="宋体"/>
            </w:rPr>
            <w:t>3 术语和定义</w:t>
          </w:r>
          <w:r>
            <w:rPr>
              <w:rFonts w:hAnsi="宋体"/>
            </w:rPr>
            <w:tab/>
          </w:r>
          <w:r>
            <w:rPr>
              <w:rFonts w:hAnsi="宋体"/>
            </w:rPr>
            <w:fldChar w:fldCharType="begin"/>
          </w:r>
          <w:r>
            <w:rPr>
              <w:rFonts w:hAnsi="宋体"/>
            </w:rPr>
            <w:instrText xml:space="preserve"> PAGEREF _Toc142923557 \h </w:instrText>
          </w:r>
          <w:r>
            <w:rPr>
              <w:rFonts w:hAnsi="宋体"/>
            </w:rPr>
            <w:fldChar w:fldCharType="separate"/>
          </w:r>
          <w:r>
            <w:rPr>
              <w:rFonts w:hAnsi="宋体"/>
            </w:rPr>
            <w:t>2</w:t>
          </w:r>
          <w:r>
            <w:rPr>
              <w:rFonts w:hAnsi="宋体"/>
            </w:rPr>
            <w:fldChar w:fldCharType="end"/>
          </w:r>
          <w:r>
            <w:rPr>
              <w:rFonts w:hAnsi="宋体"/>
            </w:rPr>
            <w:fldChar w:fldCharType="end"/>
          </w:r>
        </w:p>
        <w:p>
          <w:pPr>
            <w:pStyle w:val="20"/>
            <w:tabs>
              <w:tab w:val="right" w:leader="dot" w:pos="9344"/>
            </w:tabs>
            <w:rPr>
              <w:rFonts w:hAnsi="宋体" w:cstheme="minorBidi"/>
              <w:szCs w:val="22"/>
            </w:rPr>
          </w:pPr>
          <w:r>
            <w:fldChar w:fldCharType="begin"/>
          </w:r>
          <w:r>
            <w:instrText xml:space="preserve"> HYPERLINK \l "_Toc142923582" </w:instrText>
          </w:r>
          <w:r>
            <w:fldChar w:fldCharType="separate"/>
          </w:r>
          <w:r>
            <w:rPr>
              <w:rStyle w:val="34"/>
              <w:rFonts w:hAnsi="宋体"/>
            </w:rPr>
            <w:t>4 基本规定</w:t>
          </w:r>
          <w:r>
            <w:rPr>
              <w:rFonts w:hAnsi="宋体"/>
            </w:rPr>
            <w:tab/>
          </w:r>
          <w:r>
            <w:rPr>
              <w:rFonts w:hAnsi="宋体"/>
            </w:rPr>
            <w:fldChar w:fldCharType="begin"/>
          </w:r>
          <w:r>
            <w:rPr>
              <w:rFonts w:hAnsi="宋体"/>
            </w:rPr>
            <w:instrText xml:space="preserve"> PAGEREF _Toc142923582 \h </w:instrText>
          </w:r>
          <w:r>
            <w:rPr>
              <w:rFonts w:hAnsi="宋体"/>
            </w:rPr>
            <w:fldChar w:fldCharType="separate"/>
          </w:r>
          <w:r>
            <w:rPr>
              <w:rFonts w:hAnsi="宋体"/>
            </w:rPr>
            <w:t>3</w:t>
          </w:r>
          <w:r>
            <w:rPr>
              <w:rFonts w:hAnsi="宋体"/>
            </w:rPr>
            <w:fldChar w:fldCharType="end"/>
          </w:r>
          <w:r>
            <w:rPr>
              <w:rFonts w:hAnsi="宋体"/>
            </w:rPr>
            <w:fldChar w:fldCharType="end"/>
          </w:r>
        </w:p>
        <w:p>
          <w:pPr>
            <w:pStyle w:val="25"/>
            <w:rPr>
              <w:rFonts w:hAnsi="宋体" w:cstheme="minorBidi"/>
              <w:szCs w:val="22"/>
            </w:rPr>
          </w:pPr>
          <w:r>
            <w:fldChar w:fldCharType="begin"/>
          </w:r>
          <w:r>
            <w:instrText xml:space="preserve"> HYPERLINK \l "_Toc142923583" </w:instrText>
          </w:r>
          <w:r>
            <w:fldChar w:fldCharType="separate"/>
          </w:r>
          <w:r>
            <w:rPr>
              <w:rStyle w:val="34"/>
              <w:rFonts w:hAnsi="宋体"/>
            </w:rPr>
            <w:t xml:space="preserve">4.1 </w:t>
          </w:r>
          <w:r>
            <w:rPr>
              <w:rStyle w:val="34"/>
              <w:rFonts w:hAnsi="宋体"/>
              <w:bCs/>
            </w:rPr>
            <w:t>一般规定</w:t>
          </w:r>
          <w:r>
            <w:rPr>
              <w:rFonts w:hAnsi="宋体"/>
            </w:rPr>
            <w:tab/>
          </w:r>
          <w:r>
            <w:rPr>
              <w:rFonts w:hAnsi="宋体"/>
            </w:rPr>
            <w:fldChar w:fldCharType="begin"/>
          </w:r>
          <w:r>
            <w:rPr>
              <w:rFonts w:hAnsi="宋体"/>
            </w:rPr>
            <w:instrText xml:space="preserve"> PAGEREF _Toc142923583 \h </w:instrText>
          </w:r>
          <w:r>
            <w:rPr>
              <w:rFonts w:hAnsi="宋体"/>
            </w:rPr>
            <w:fldChar w:fldCharType="separate"/>
          </w:r>
          <w:r>
            <w:rPr>
              <w:rFonts w:hAnsi="宋体"/>
            </w:rPr>
            <w:t>3</w:t>
          </w:r>
          <w:r>
            <w:rPr>
              <w:rFonts w:hAnsi="宋体"/>
            </w:rPr>
            <w:fldChar w:fldCharType="end"/>
          </w:r>
          <w:r>
            <w:rPr>
              <w:rFonts w:hAnsi="宋体"/>
            </w:rPr>
            <w:fldChar w:fldCharType="end"/>
          </w:r>
        </w:p>
        <w:p>
          <w:pPr>
            <w:pStyle w:val="25"/>
            <w:rPr>
              <w:rFonts w:hAnsi="宋体" w:cstheme="minorBidi"/>
              <w:szCs w:val="22"/>
            </w:rPr>
          </w:pPr>
          <w:r>
            <w:fldChar w:fldCharType="begin"/>
          </w:r>
          <w:r>
            <w:instrText xml:space="preserve"> HYPERLINK \l "_Toc142923584" </w:instrText>
          </w:r>
          <w:r>
            <w:fldChar w:fldCharType="separate"/>
          </w:r>
          <w:r>
            <w:rPr>
              <w:rStyle w:val="34"/>
              <w:rFonts w:hAnsi="宋体"/>
            </w:rPr>
            <w:t>4.2 材料</w:t>
          </w:r>
          <w:r>
            <w:rPr>
              <w:rFonts w:hAnsi="宋体"/>
            </w:rPr>
            <w:tab/>
          </w:r>
          <w:r>
            <w:rPr>
              <w:rFonts w:hAnsi="宋体"/>
            </w:rPr>
            <w:fldChar w:fldCharType="begin"/>
          </w:r>
          <w:r>
            <w:rPr>
              <w:rFonts w:hAnsi="宋体"/>
            </w:rPr>
            <w:instrText xml:space="preserve"> PAGEREF _Toc142923584 \h </w:instrText>
          </w:r>
          <w:r>
            <w:rPr>
              <w:rFonts w:hAnsi="宋体"/>
            </w:rPr>
            <w:fldChar w:fldCharType="separate"/>
          </w:r>
          <w:r>
            <w:rPr>
              <w:rFonts w:hAnsi="宋体"/>
            </w:rPr>
            <w:t>5</w:t>
          </w:r>
          <w:r>
            <w:rPr>
              <w:rFonts w:hAnsi="宋体"/>
            </w:rPr>
            <w:fldChar w:fldCharType="end"/>
          </w:r>
          <w:r>
            <w:rPr>
              <w:rFonts w:hAnsi="宋体"/>
            </w:rPr>
            <w:fldChar w:fldCharType="end"/>
          </w:r>
        </w:p>
        <w:p>
          <w:pPr>
            <w:pStyle w:val="25"/>
            <w:rPr>
              <w:rFonts w:hAnsi="宋体" w:cstheme="minorBidi"/>
              <w:szCs w:val="22"/>
            </w:rPr>
          </w:pPr>
          <w:r>
            <w:fldChar w:fldCharType="begin"/>
          </w:r>
          <w:r>
            <w:instrText xml:space="preserve"> HYPERLINK \l "_Toc142923585" </w:instrText>
          </w:r>
          <w:r>
            <w:fldChar w:fldCharType="separate"/>
          </w:r>
          <w:r>
            <w:rPr>
              <w:rStyle w:val="34"/>
              <w:rFonts w:hAnsi="宋体"/>
            </w:rPr>
            <w:t xml:space="preserve">4.3 </w:t>
          </w:r>
          <w:r>
            <w:rPr>
              <w:rStyle w:val="34"/>
              <w:rFonts w:hAnsi="宋体"/>
              <w:bCs/>
            </w:rPr>
            <w:t>构件</w:t>
          </w:r>
          <w:r>
            <w:rPr>
              <w:rFonts w:hAnsi="宋体"/>
            </w:rPr>
            <w:tab/>
          </w:r>
          <w:r>
            <w:rPr>
              <w:rFonts w:hAnsi="宋体"/>
            </w:rPr>
            <w:fldChar w:fldCharType="begin"/>
          </w:r>
          <w:r>
            <w:rPr>
              <w:rFonts w:hAnsi="宋体"/>
            </w:rPr>
            <w:instrText xml:space="preserve"> PAGEREF _Toc142923585 \h </w:instrText>
          </w:r>
          <w:r>
            <w:rPr>
              <w:rFonts w:hAnsi="宋体"/>
            </w:rPr>
            <w:fldChar w:fldCharType="separate"/>
          </w:r>
          <w:r>
            <w:rPr>
              <w:rFonts w:hAnsi="宋体"/>
            </w:rPr>
            <w:t>6</w:t>
          </w:r>
          <w:r>
            <w:rPr>
              <w:rFonts w:hAnsi="宋体"/>
            </w:rPr>
            <w:fldChar w:fldCharType="end"/>
          </w:r>
          <w:r>
            <w:rPr>
              <w:rFonts w:hAnsi="宋体"/>
            </w:rPr>
            <w:fldChar w:fldCharType="end"/>
          </w:r>
        </w:p>
        <w:p>
          <w:pPr>
            <w:pStyle w:val="25"/>
            <w:rPr>
              <w:rFonts w:hAnsi="宋体" w:cstheme="minorBidi"/>
              <w:szCs w:val="22"/>
            </w:rPr>
          </w:pPr>
          <w:r>
            <w:fldChar w:fldCharType="begin"/>
          </w:r>
          <w:r>
            <w:instrText xml:space="preserve"> HYPERLINK \l "_Toc142923586" </w:instrText>
          </w:r>
          <w:r>
            <w:fldChar w:fldCharType="separate"/>
          </w:r>
          <w:r>
            <w:rPr>
              <w:rStyle w:val="34"/>
              <w:rFonts w:hAnsi="宋体"/>
            </w:rPr>
            <w:t>4.4 作用与作用组合</w:t>
          </w:r>
          <w:r>
            <w:rPr>
              <w:rFonts w:hAnsi="宋体"/>
            </w:rPr>
            <w:tab/>
          </w:r>
          <w:r>
            <w:rPr>
              <w:rFonts w:hAnsi="宋体"/>
            </w:rPr>
            <w:fldChar w:fldCharType="begin"/>
          </w:r>
          <w:r>
            <w:rPr>
              <w:rFonts w:hAnsi="宋体"/>
            </w:rPr>
            <w:instrText xml:space="preserve"> PAGEREF _Toc142923586 \h </w:instrText>
          </w:r>
          <w:r>
            <w:rPr>
              <w:rFonts w:hAnsi="宋体"/>
            </w:rPr>
            <w:fldChar w:fldCharType="separate"/>
          </w:r>
          <w:r>
            <w:rPr>
              <w:rFonts w:hAnsi="宋体"/>
            </w:rPr>
            <w:t>6</w:t>
          </w:r>
          <w:r>
            <w:rPr>
              <w:rFonts w:hAnsi="宋体"/>
            </w:rPr>
            <w:fldChar w:fldCharType="end"/>
          </w:r>
          <w:r>
            <w:rPr>
              <w:rFonts w:hAnsi="宋体"/>
            </w:rPr>
            <w:fldChar w:fldCharType="end"/>
          </w:r>
        </w:p>
        <w:p>
          <w:pPr>
            <w:pStyle w:val="20"/>
            <w:tabs>
              <w:tab w:val="right" w:leader="dot" w:pos="9344"/>
            </w:tabs>
            <w:rPr>
              <w:rFonts w:hAnsi="宋体" w:cstheme="minorBidi"/>
              <w:szCs w:val="22"/>
            </w:rPr>
          </w:pPr>
          <w:r>
            <w:fldChar w:fldCharType="begin"/>
          </w:r>
          <w:r>
            <w:instrText xml:space="preserve"> HYPERLINK \l "_Toc142923596" </w:instrText>
          </w:r>
          <w:r>
            <w:fldChar w:fldCharType="separate"/>
          </w:r>
          <w:r>
            <w:rPr>
              <w:rStyle w:val="34"/>
              <w:rFonts w:hAnsi="宋体"/>
            </w:rPr>
            <w:t>5 结构设计</w:t>
          </w:r>
          <w:r>
            <w:rPr>
              <w:rFonts w:hAnsi="宋体"/>
            </w:rPr>
            <w:tab/>
          </w:r>
          <w:r>
            <w:rPr>
              <w:rFonts w:hAnsi="宋体"/>
            </w:rPr>
            <w:fldChar w:fldCharType="begin"/>
          </w:r>
          <w:r>
            <w:rPr>
              <w:rFonts w:hAnsi="宋体"/>
            </w:rPr>
            <w:instrText xml:space="preserve"> PAGEREF _Toc142923596 \h </w:instrText>
          </w:r>
          <w:r>
            <w:rPr>
              <w:rFonts w:hAnsi="宋体"/>
            </w:rPr>
            <w:fldChar w:fldCharType="separate"/>
          </w:r>
          <w:r>
            <w:rPr>
              <w:rFonts w:hAnsi="宋体"/>
            </w:rPr>
            <w:t>8</w:t>
          </w:r>
          <w:r>
            <w:rPr>
              <w:rFonts w:hAnsi="宋体"/>
            </w:rPr>
            <w:fldChar w:fldCharType="end"/>
          </w:r>
          <w:r>
            <w:rPr>
              <w:rFonts w:hAnsi="宋体"/>
            </w:rPr>
            <w:fldChar w:fldCharType="end"/>
          </w:r>
        </w:p>
        <w:p>
          <w:pPr>
            <w:pStyle w:val="25"/>
            <w:rPr>
              <w:rFonts w:hAnsi="宋体" w:cstheme="minorBidi"/>
              <w:szCs w:val="22"/>
            </w:rPr>
          </w:pPr>
          <w:r>
            <w:fldChar w:fldCharType="begin"/>
          </w:r>
          <w:r>
            <w:instrText xml:space="preserve"> HYPERLINK \l "_Toc142923597" </w:instrText>
          </w:r>
          <w:r>
            <w:fldChar w:fldCharType="separate"/>
          </w:r>
          <w:r>
            <w:rPr>
              <w:rStyle w:val="34"/>
              <w:rFonts w:hAnsi="宋体"/>
            </w:rPr>
            <w:t xml:space="preserve">5.1 </w:t>
          </w:r>
          <w:r>
            <w:rPr>
              <w:rStyle w:val="34"/>
              <w:rFonts w:hAnsi="宋体"/>
              <w:bCs/>
            </w:rPr>
            <w:t>一般规定</w:t>
          </w:r>
          <w:r>
            <w:rPr>
              <w:rFonts w:hAnsi="宋体"/>
            </w:rPr>
            <w:tab/>
          </w:r>
          <w:r>
            <w:rPr>
              <w:rFonts w:hAnsi="宋体"/>
            </w:rPr>
            <w:fldChar w:fldCharType="begin"/>
          </w:r>
          <w:r>
            <w:rPr>
              <w:rFonts w:hAnsi="宋体"/>
            </w:rPr>
            <w:instrText xml:space="preserve"> PAGEREF _Toc142923597 \h </w:instrText>
          </w:r>
          <w:r>
            <w:rPr>
              <w:rFonts w:hAnsi="宋体"/>
            </w:rPr>
            <w:fldChar w:fldCharType="separate"/>
          </w:r>
          <w:r>
            <w:rPr>
              <w:rFonts w:hAnsi="宋体"/>
            </w:rPr>
            <w:t>8</w:t>
          </w:r>
          <w:r>
            <w:rPr>
              <w:rFonts w:hAnsi="宋体"/>
            </w:rPr>
            <w:fldChar w:fldCharType="end"/>
          </w:r>
          <w:r>
            <w:rPr>
              <w:rFonts w:hAnsi="宋体"/>
            </w:rPr>
            <w:fldChar w:fldCharType="end"/>
          </w:r>
        </w:p>
        <w:p>
          <w:pPr>
            <w:pStyle w:val="25"/>
            <w:rPr>
              <w:rFonts w:hAnsi="宋体" w:cstheme="minorBidi"/>
              <w:szCs w:val="22"/>
            </w:rPr>
          </w:pPr>
          <w:r>
            <w:fldChar w:fldCharType="begin"/>
          </w:r>
          <w:r>
            <w:instrText xml:space="preserve"> HYPERLINK \l "_Toc142923598" </w:instrText>
          </w:r>
          <w:r>
            <w:fldChar w:fldCharType="separate"/>
          </w:r>
          <w:r>
            <w:rPr>
              <w:rStyle w:val="34"/>
              <w:rFonts w:hAnsi="宋体"/>
            </w:rPr>
            <w:t>5.2 结构分析</w:t>
          </w:r>
          <w:r>
            <w:rPr>
              <w:rFonts w:hAnsi="宋体"/>
            </w:rPr>
            <w:tab/>
          </w:r>
          <w:r>
            <w:rPr>
              <w:rFonts w:hAnsi="宋体"/>
            </w:rPr>
            <w:fldChar w:fldCharType="begin"/>
          </w:r>
          <w:r>
            <w:rPr>
              <w:rFonts w:hAnsi="宋体"/>
            </w:rPr>
            <w:instrText xml:space="preserve"> PAGEREF _Toc142923598 \h </w:instrText>
          </w:r>
          <w:r>
            <w:rPr>
              <w:rFonts w:hAnsi="宋体"/>
            </w:rPr>
            <w:fldChar w:fldCharType="separate"/>
          </w:r>
          <w:r>
            <w:rPr>
              <w:rFonts w:hAnsi="宋体"/>
            </w:rPr>
            <w:t>9</w:t>
          </w:r>
          <w:r>
            <w:rPr>
              <w:rFonts w:hAnsi="宋体"/>
            </w:rPr>
            <w:fldChar w:fldCharType="end"/>
          </w:r>
          <w:r>
            <w:rPr>
              <w:rFonts w:hAnsi="宋体"/>
            </w:rPr>
            <w:fldChar w:fldCharType="end"/>
          </w:r>
        </w:p>
        <w:p>
          <w:pPr>
            <w:pStyle w:val="25"/>
            <w:rPr>
              <w:rFonts w:hAnsi="宋体" w:cstheme="minorBidi"/>
              <w:szCs w:val="22"/>
            </w:rPr>
          </w:pPr>
          <w:r>
            <w:fldChar w:fldCharType="begin"/>
          </w:r>
          <w:r>
            <w:instrText xml:space="preserve"> HYPERLINK \l "_Toc142923599" </w:instrText>
          </w:r>
          <w:r>
            <w:fldChar w:fldCharType="separate"/>
          </w:r>
          <w:r>
            <w:rPr>
              <w:rStyle w:val="34"/>
              <w:rFonts w:hAnsi="宋体"/>
            </w:rPr>
            <w:t>5.3 构件设计</w:t>
          </w:r>
          <w:r>
            <w:rPr>
              <w:rFonts w:hAnsi="宋体"/>
            </w:rPr>
            <w:tab/>
          </w:r>
          <w:r>
            <w:rPr>
              <w:rFonts w:hAnsi="宋体"/>
            </w:rPr>
            <w:fldChar w:fldCharType="begin"/>
          </w:r>
          <w:r>
            <w:rPr>
              <w:rFonts w:hAnsi="宋体"/>
            </w:rPr>
            <w:instrText xml:space="preserve"> PAGEREF _Toc142923599 \h </w:instrText>
          </w:r>
          <w:r>
            <w:rPr>
              <w:rFonts w:hAnsi="宋体"/>
            </w:rPr>
            <w:fldChar w:fldCharType="separate"/>
          </w:r>
          <w:r>
            <w:rPr>
              <w:rFonts w:hAnsi="宋体"/>
            </w:rPr>
            <w:t>9</w:t>
          </w:r>
          <w:r>
            <w:rPr>
              <w:rFonts w:hAnsi="宋体"/>
            </w:rPr>
            <w:fldChar w:fldCharType="end"/>
          </w:r>
          <w:r>
            <w:rPr>
              <w:rFonts w:hAnsi="宋体"/>
            </w:rPr>
            <w:fldChar w:fldCharType="end"/>
          </w:r>
        </w:p>
        <w:p>
          <w:pPr>
            <w:pStyle w:val="25"/>
            <w:rPr>
              <w:rFonts w:hAnsi="宋体" w:cstheme="minorBidi"/>
              <w:szCs w:val="22"/>
            </w:rPr>
          </w:pPr>
          <w:r>
            <w:fldChar w:fldCharType="begin"/>
          </w:r>
          <w:r>
            <w:instrText xml:space="preserve"> HYPERLINK \l "_Toc142923600" </w:instrText>
          </w:r>
          <w:r>
            <w:fldChar w:fldCharType="separate"/>
          </w:r>
          <w:r>
            <w:rPr>
              <w:rStyle w:val="34"/>
              <w:rFonts w:hAnsi="宋体"/>
            </w:rPr>
            <w:t>5.4 接缝受剪承载力计算</w:t>
          </w:r>
          <w:r>
            <w:rPr>
              <w:rFonts w:hAnsi="宋体"/>
            </w:rPr>
            <w:tab/>
          </w:r>
          <w:r>
            <w:rPr>
              <w:rFonts w:hAnsi="宋体"/>
            </w:rPr>
            <w:fldChar w:fldCharType="begin"/>
          </w:r>
          <w:r>
            <w:rPr>
              <w:rFonts w:hAnsi="宋体"/>
            </w:rPr>
            <w:instrText xml:space="preserve"> PAGEREF _Toc142923600 \h </w:instrText>
          </w:r>
          <w:r>
            <w:rPr>
              <w:rFonts w:hAnsi="宋体"/>
            </w:rPr>
            <w:fldChar w:fldCharType="separate"/>
          </w:r>
          <w:r>
            <w:rPr>
              <w:rFonts w:hAnsi="宋体"/>
            </w:rPr>
            <w:t>12</w:t>
          </w:r>
          <w:r>
            <w:rPr>
              <w:rFonts w:hAnsi="宋体"/>
            </w:rPr>
            <w:fldChar w:fldCharType="end"/>
          </w:r>
          <w:r>
            <w:rPr>
              <w:rFonts w:hAnsi="宋体"/>
            </w:rPr>
            <w:fldChar w:fldCharType="end"/>
          </w:r>
        </w:p>
        <w:p>
          <w:pPr>
            <w:pStyle w:val="25"/>
            <w:rPr>
              <w:rFonts w:hAnsi="宋体" w:cstheme="minorBidi"/>
              <w:szCs w:val="22"/>
            </w:rPr>
          </w:pPr>
          <w:r>
            <w:fldChar w:fldCharType="begin"/>
          </w:r>
          <w:r>
            <w:instrText xml:space="preserve"> HYPERLINK \l "_Toc142923601" </w:instrText>
          </w:r>
          <w:r>
            <w:fldChar w:fldCharType="separate"/>
          </w:r>
          <w:r>
            <w:rPr>
              <w:rStyle w:val="34"/>
              <w:rFonts w:hAnsi="宋体"/>
            </w:rPr>
            <w:t>5.5 施工阶段验算</w:t>
          </w:r>
          <w:r>
            <w:rPr>
              <w:rFonts w:hAnsi="宋体"/>
            </w:rPr>
            <w:tab/>
          </w:r>
          <w:r>
            <w:rPr>
              <w:rFonts w:hAnsi="宋体"/>
            </w:rPr>
            <w:fldChar w:fldCharType="begin"/>
          </w:r>
          <w:r>
            <w:rPr>
              <w:rFonts w:hAnsi="宋体"/>
            </w:rPr>
            <w:instrText xml:space="preserve"> PAGEREF _Toc142923601 \h </w:instrText>
          </w:r>
          <w:r>
            <w:rPr>
              <w:rFonts w:hAnsi="宋体"/>
            </w:rPr>
            <w:fldChar w:fldCharType="separate"/>
          </w:r>
          <w:r>
            <w:rPr>
              <w:rFonts w:hAnsi="宋体"/>
            </w:rPr>
            <w:t>13</w:t>
          </w:r>
          <w:r>
            <w:rPr>
              <w:rFonts w:hAnsi="宋体"/>
            </w:rPr>
            <w:fldChar w:fldCharType="end"/>
          </w:r>
          <w:r>
            <w:rPr>
              <w:rFonts w:hAnsi="宋体"/>
            </w:rPr>
            <w:fldChar w:fldCharType="end"/>
          </w:r>
        </w:p>
        <w:p>
          <w:pPr>
            <w:pStyle w:val="25"/>
            <w:rPr>
              <w:rFonts w:hAnsi="宋体" w:cstheme="minorBidi"/>
              <w:szCs w:val="22"/>
            </w:rPr>
          </w:pPr>
          <w:r>
            <w:fldChar w:fldCharType="begin"/>
          </w:r>
          <w:r>
            <w:instrText xml:space="preserve"> HYPERLINK \l "_Toc142923602" </w:instrText>
          </w:r>
          <w:r>
            <w:fldChar w:fldCharType="separate"/>
          </w:r>
          <w:r>
            <w:rPr>
              <w:rStyle w:val="34"/>
              <w:rFonts w:hAnsi="宋体"/>
            </w:rPr>
            <w:t>5.6 预制梁、板、柱的连接构造</w:t>
          </w:r>
          <w:r>
            <w:rPr>
              <w:rFonts w:hAnsi="宋体"/>
            </w:rPr>
            <w:tab/>
          </w:r>
          <w:r>
            <w:rPr>
              <w:rFonts w:hAnsi="宋体"/>
            </w:rPr>
            <w:fldChar w:fldCharType="begin"/>
          </w:r>
          <w:r>
            <w:rPr>
              <w:rFonts w:hAnsi="宋体"/>
            </w:rPr>
            <w:instrText xml:space="preserve"> PAGEREF _Toc142923602 \h </w:instrText>
          </w:r>
          <w:r>
            <w:rPr>
              <w:rFonts w:hAnsi="宋体"/>
            </w:rPr>
            <w:fldChar w:fldCharType="separate"/>
          </w:r>
          <w:r>
            <w:rPr>
              <w:rFonts w:hAnsi="宋体"/>
            </w:rPr>
            <w:t>14</w:t>
          </w:r>
          <w:r>
            <w:rPr>
              <w:rFonts w:hAnsi="宋体"/>
            </w:rPr>
            <w:fldChar w:fldCharType="end"/>
          </w:r>
          <w:r>
            <w:rPr>
              <w:rFonts w:hAnsi="宋体"/>
            </w:rPr>
            <w:fldChar w:fldCharType="end"/>
          </w:r>
        </w:p>
        <w:p>
          <w:pPr>
            <w:pStyle w:val="25"/>
            <w:rPr>
              <w:rFonts w:hAnsi="宋体" w:cstheme="minorBidi"/>
              <w:szCs w:val="22"/>
            </w:rPr>
          </w:pPr>
          <w:r>
            <w:fldChar w:fldCharType="begin"/>
          </w:r>
          <w:r>
            <w:instrText xml:space="preserve"> HYPERLINK \l "_Toc142923603" </w:instrText>
          </w:r>
          <w:r>
            <w:fldChar w:fldCharType="separate"/>
          </w:r>
          <w:r>
            <w:rPr>
              <w:rStyle w:val="34"/>
              <w:rFonts w:hAnsi="宋体"/>
            </w:rPr>
            <w:t>5.7 预制剪力墙的连接构造</w:t>
          </w:r>
          <w:r>
            <w:rPr>
              <w:rFonts w:hAnsi="宋体"/>
            </w:rPr>
            <w:tab/>
          </w:r>
          <w:r>
            <w:rPr>
              <w:rFonts w:hAnsi="宋体"/>
            </w:rPr>
            <w:fldChar w:fldCharType="begin"/>
          </w:r>
          <w:r>
            <w:rPr>
              <w:rFonts w:hAnsi="宋体"/>
            </w:rPr>
            <w:instrText xml:space="preserve"> PAGEREF _Toc142923603 \h </w:instrText>
          </w:r>
          <w:r>
            <w:rPr>
              <w:rFonts w:hAnsi="宋体"/>
            </w:rPr>
            <w:fldChar w:fldCharType="separate"/>
          </w:r>
          <w:r>
            <w:rPr>
              <w:rFonts w:hAnsi="宋体"/>
            </w:rPr>
            <w:t>22</w:t>
          </w:r>
          <w:r>
            <w:rPr>
              <w:rFonts w:hAnsi="宋体"/>
            </w:rPr>
            <w:fldChar w:fldCharType="end"/>
          </w:r>
          <w:r>
            <w:rPr>
              <w:rFonts w:hAnsi="宋体"/>
            </w:rPr>
            <w:fldChar w:fldCharType="end"/>
          </w:r>
        </w:p>
        <w:p>
          <w:pPr>
            <w:pStyle w:val="20"/>
            <w:tabs>
              <w:tab w:val="right" w:leader="dot" w:pos="9344"/>
            </w:tabs>
            <w:rPr>
              <w:rFonts w:hAnsi="宋体" w:cstheme="minorBidi"/>
              <w:szCs w:val="22"/>
            </w:rPr>
          </w:pPr>
          <w:r>
            <w:fldChar w:fldCharType="begin"/>
          </w:r>
          <w:r>
            <w:instrText xml:space="preserve"> HYPERLINK \l "_Toc142923604" </w:instrText>
          </w:r>
          <w:r>
            <w:fldChar w:fldCharType="separate"/>
          </w:r>
          <w:r>
            <w:rPr>
              <w:rStyle w:val="34"/>
              <w:rFonts w:hAnsi="宋体"/>
            </w:rPr>
            <w:t>6 构件生产与运输</w:t>
          </w:r>
          <w:r>
            <w:rPr>
              <w:rFonts w:hAnsi="宋体"/>
            </w:rPr>
            <w:tab/>
          </w:r>
          <w:r>
            <w:rPr>
              <w:rFonts w:hAnsi="宋体"/>
            </w:rPr>
            <w:fldChar w:fldCharType="begin"/>
          </w:r>
          <w:r>
            <w:rPr>
              <w:rFonts w:hAnsi="宋体"/>
            </w:rPr>
            <w:instrText xml:space="preserve"> PAGEREF _Toc142923604 \h </w:instrText>
          </w:r>
          <w:r>
            <w:rPr>
              <w:rFonts w:hAnsi="宋体"/>
            </w:rPr>
            <w:fldChar w:fldCharType="separate"/>
          </w:r>
          <w:r>
            <w:rPr>
              <w:rFonts w:hAnsi="宋体"/>
            </w:rPr>
            <w:t>28</w:t>
          </w:r>
          <w:r>
            <w:rPr>
              <w:rFonts w:hAnsi="宋体"/>
            </w:rPr>
            <w:fldChar w:fldCharType="end"/>
          </w:r>
          <w:r>
            <w:rPr>
              <w:rFonts w:hAnsi="宋体"/>
            </w:rPr>
            <w:fldChar w:fldCharType="end"/>
          </w:r>
        </w:p>
        <w:p>
          <w:pPr>
            <w:pStyle w:val="25"/>
            <w:rPr>
              <w:rFonts w:hAnsi="宋体" w:cstheme="minorBidi"/>
              <w:szCs w:val="22"/>
            </w:rPr>
          </w:pPr>
          <w:r>
            <w:fldChar w:fldCharType="begin"/>
          </w:r>
          <w:r>
            <w:instrText xml:space="preserve"> HYPERLINK \l "_Toc142923605" </w:instrText>
          </w:r>
          <w:r>
            <w:fldChar w:fldCharType="separate"/>
          </w:r>
          <w:r>
            <w:rPr>
              <w:rStyle w:val="34"/>
              <w:rFonts w:hAnsi="宋体"/>
            </w:rPr>
            <w:t>6.1 一般规定</w:t>
          </w:r>
          <w:r>
            <w:rPr>
              <w:rFonts w:hAnsi="宋体"/>
            </w:rPr>
            <w:tab/>
          </w:r>
          <w:r>
            <w:rPr>
              <w:rFonts w:hAnsi="宋体"/>
            </w:rPr>
            <w:fldChar w:fldCharType="begin"/>
          </w:r>
          <w:r>
            <w:rPr>
              <w:rFonts w:hAnsi="宋体"/>
            </w:rPr>
            <w:instrText xml:space="preserve"> PAGEREF _Toc142923605 \h </w:instrText>
          </w:r>
          <w:r>
            <w:rPr>
              <w:rFonts w:hAnsi="宋体"/>
            </w:rPr>
            <w:fldChar w:fldCharType="separate"/>
          </w:r>
          <w:r>
            <w:rPr>
              <w:rFonts w:hAnsi="宋体"/>
            </w:rPr>
            <w:t>28</w:t>
          </w:r>
          <w:r>
            <w:rPr>
              <w:rFonts w:hAnsi="宋体"/>
            </w:rPr>
            <w:fldChar w:fldCharType="end"/>
          </w:r>
          <w:r>
            <w:rPr>
              <w:rFonts w:hAnsi="宋体"/>
            </w:rPr>
            <w:fldChar w:fldCharType="end"/>
          </w:r>
        </w:p>
        <w:p>
          <w:pPr>
            <w:pStyle w:val="25"/>
            <w:rPr>
              <w:rFonts w:hAnsi="宋体" w:cstheme="minorBidi"/>
              <w:szCs w:val="22"/>
            </w:rPr>
          </w:pPr>
          <w:r>
            <w:fldChar w:fldCharType="begin"/>
          </w:r>
          <w:r>
            <w:instrText xml:space="preserve"> HYPERLINK \l "_Toc142923606" </w:instrText>
          </w:r>
          <w:r>
            <w:fldChar w:fldCharType="separate"/>
          </w:r>
          <w:r>
            <w:rPr>
              <w:rStyle w:val="34"/>
              <w:rFonts w:hAnsi="宋体"/>
            </w:rPr>
            <w:t>6.2 模具</w:t>
          </w:r>
          <w:r>
            <w:rPr>
              <w:rFonts w:hAnsi="宋体"/>
            </w:rPr>
            <w:tab/>
          </w:r>
          <w:r>
            <w:rPr>
              <w:rFonts w:hAnsi="宋体"/>
            </w:rPr>
            <w:fldChar w:fldCharType="begin"/>
          </w:r>
          <w:r>
            <w:rPr>
              <w:rFonts w:hAnsi="宋体"/>
            </w:rPr>
            <w:instrText xml:space="preserve"> PAGEREF _Toc142923606 \h </w:instrText>
          </w:r>
          <w:r>
            <w:rPr>
              <w:rFonts w:hAnsi="宋体"/>
            </w:rPr>
            <w:fldChar w:fldCharType="separate"/>
          </w:r>
          <w:r>
            <w:rPr>
              <w:rFonts w:hAnsi="宋体"/>
            </w:rPr>
            <w:t>28</w:t>
          </w:r>
          <w:r>
            <w:rPr>
              <w:rFonts w:hAnsi="宋体"/>
            </w:rPr>
            <w:fldChar w:fldCharType="end"/>
          </w:r>
          <w:r>
            <w:rPr>
              <w:rFonts w:hAnsi="宋体"/>
            </w:rPr>
            <w:fldChar w:fldCharType="end"/>
          </w:r>
        </w:p>
        <w:p>
          <w:pPr>
            <w:pStyle w:val="25"/>
            <w:rPr>
              <w:rFonts w:hAnsi="宋体" w:cstheme="minorBidi"/>
              <w:szCs w:val="22"/>
            </w:rPr>
          </w:pPr>
          <w:r>
            <w:fldChar w:fldCharType="begin"/>
          </w:r>
          <w:r>
            <w:instrText xml:space="preserve"> HYPERLINK \l "_Toc142923607" </w:instrText>
          </w:r>
          <w:r>
            <w:fldChar w:fldCharType="separate"/>
          </w:r>
          <w:r>
            <w:rPr>
              <w:rStyle w:val="34"/>
              <w:rFonts w:hAnsi="宋体"/>
            </w:rPr>
            <w:t>6.3 钢筋加工、安装</w:t>
          </w:r>
          <w:r>
            <w:rPr>
              <w:rFonts w:hAnsi="宋体"/>
            </w:rPr>
            <w:tab/>
          </w:r>
          <w:r>
            <w:rPr>
              <w:rFonts w:hAnsi="宋体"/>
            </w:rPr>
            <w:fldChar w:fldCharType="begin"/>
          </w:r>
          <w:r>
            <w:rPr>
              <w:rFonts w:hAnsi="宋体"/>
            </w:rPr>
            <w:instrText xml:space="preserve"> PAGEREF _Toc142923607 \h </w:instrText>
          </w:r>
          <w:r>
            <w:rPr>
              <w:rFonts w:hAnsi="宋体"/>
            </w:rPr>
            <w:fldChar w:fldCharType="separate"/>
          </w:r>
          <w:r>
            <w:rPr>
              <w:rFonts w:hAnsi="宋体"/>
            </w:rPr>
            <w:t>29</w:t>
          </w:r>
          <w:r>
            <w:rPr>
              <w:rFonts w:hAnsi="宋体"/>
            </w:rPr>
            <w:fldChar w:fldCharType="end"/>
          </w:r>
          <w:r>
            <w:rPr>
              <w:rFonts w:hAnsi="宋体"/>
            </w:rPr>
            <w:fldChar w:fldCharType="end"/>
          </w:r>
        </w:p>
        <w:p>
          <w:pPr>
            <w:pStyle w:val="25"/>
            <w:rPr>
              <w:rFonts w:hAnsi="宋体" w:cstheme="minorBidi"/>
              <w:szCs w:val="22"/>
            </w:rPr>
          </w:pPr>
          <w:r>
            <w:fldChar w:fldCharType="begin"/>
          </w:r>
          <w:r>
            <w:instrText xml:space="preserve"> HYPERLINK \l "_Toc142923608" </w:instrText>
          </w:r>
          <w:r>
            <w:fldChar w:fldCharType="separate"/>
          </w:r>
          <w:r>
            <w:rPr>
              <w:rStyle w:val="34"/>
              <w:rFonts w:hAnsi="宋体"/>
            </w:rPr>
            <w:t>6.4 预应力筋制作与张拉</w:t>
          </w:r>
          <w:r>
            <w:rPr>
              <w:rFonts w:hAnsi="宋体"/>
            </w:rPr>
            <w:tab/>
          </w:r>
          <w:r>
            <w:rPr>
              <w:rFonts w:hAnsi="宋体"/>
            </w:rPr>
            <w:fldChar w:fldCharType="begin"/>
          </w:r>
          <w:r>
            <w:rPr>
              <w:rFonts w:hAnsi="宋体"/>
            </w:rPr>
            <w:instrText xml:space="preserve"> PAGEREF _Toc142923608 \h </w:instrText>
          </w:r>
          <w:r>
            <w:rPr>
              <w:rFonts w:hAnsi="宋体"/>
            </w:rPr>
            <w:fldChar w:fldCharType="separate"/>
          </w:r>
          <w:r>
            <w:rPr>
              <w:rFonts w:hAnsi="宋体"/>
            </w:rPr>
            <w:t>30</w:t>
          </w:r>
          <w:r>
            <w:rPr>
              <w:rFonts w:hAnsi="宋体"/>
            </w:rPr>
            <w:fldChar w:fldCharType="end"/>
          </w:r>
          <w:r>
            <w:rPr>
              <w:rFonts w:hAnsi="宋体"/>
            </w:rPr>
            <w:fldChar w:fldCharType="end"/>
          </w:r>
        </w:p>
        <w:p>
          <w:pPr>
            <w:pStyle w:val="25"/>
            <w:rPr>
              <w:rFonts w:hAnsi="宋体" w:cstheme="minorBidi"/>
              <w:szCs w:val="22"/>
            </w:rPr>
          </w:pPr>
          <w:r>
            <w:fldChar w:fldCharType="begin"/>
          </w:r>
          <w:r>
            <w:instrText xml:space="preserve"> HYPERLINK \l "_Toc142923609" </w:instrText>
          </w:r>
          <w:r>
            <w:fldChar w:fldCharType="separate"/>
          </w:r>
          <w:r>
            <w:rPr>
              <w:rStyle w:val="34"/>
              <w:rFonts w:hAnsi="宋体"/>
            </w:rPr>
            <w:t>6.5 混凝土</w:t>
          </w:r>
          <w:r>
            <w:rPr>
              <w:rFonts w:hAnsi="宋体"/>
            </w:rPr>
            <w:tab/>
          </w:r>
          <w:r>
            <w:rPr>
              <w:rFonts w:hAnsi="宋体"/>
            </w:rPr>
            <w:fldChar w:fldCharType="begin"/>
          </w:r>
          <w:r>
            <w:rPr>
              <w:rFonts w:hAnsi="宋体"/>
            </w:rPr>
            <w:instrText xml:space="preserve"> PAGEREF _Toc142923609 \h </w:instrText>
          </w:r>
          <w:r>
            <w:rPr>
              <w:rFonts w:hAnsi="宋体"/>
            </w:rPr>
            <w:fldChar w:fldCharType="separate"/>
          </w:r>
          <w:r>
            <w:rPr>
              <w:rFonts w:hAnsi="宋体"/>
            </w:rPr>
            <w:t>30</w:t>
          </w:r>
          <w:r>
            <w:rPr>
              <w:rFonts w:hAnsi="宋体"/>
            </w:rPr>
            <w:fldChar w:fldCharType="end"/>
          </w:r>
          <w:r>
            <w:rPr>
              <w:rFonts w:hAnsi="宋体"/>
            </w:rPr>
            <w:fldChar w:fldCharType="end"/>
          </w:r>
        </w:p>
        <w:p>
          <w:pPr>
            <w:pStyle w:val="25"/>
            <w:rPr>
              <w:rFonts w:hAnsi="宋体" w:cstheme="minorBidi"/>
              <w:szCs w:val="22"/>
            </w:rPr>
          </w:pPr>
          <w:r>
            <w:fldChar w:fldCharType="begin"/>
          </w:r>
          <w:r>
            <w:instrText xml:space="preserve"> HYPERLINK \l "_Toc142923610" </w:instrText>
          </w:r>
          <w:r>
            <w:fldChar w:fldCharType="separate"/>
          </w:r>
          <w:r>
            <w:rPr>
              <w:rStyle w:val="34"/>
              <w:rFonts w:hAnsi="宋体"/>
            </w:rPr>
            <w:t>6.6 堆放与运输</w:t>
          </w:r>
          <w:r>
            <w:rPr>
              <w:rFonts w:hAnsi="宋体"/>
            </w:rPr>
            <w:tab/>
          </w:r>
          <w:r>
            <w:rPr>
              <w:rFonts w:hAnsi="宋体"/>
            </w:rPr>
            <w:fldChar w:fldCharType="begin"/>
          </w:r>
          <w:r>
            <w:rPr>
              <w:rFonts w:hAnsi="宋体"/>
            </w:rPr>
            <w:instrText xml:space="preserve"> PAGEREF _Toc142923610 \h </w:instrText>
          </w:r>
          <w:r>
            <w:rPr>
              <w:rFonts w:hAnsi="宋体"/>
            </w:rPr>
            <w:fldChar w:fldCharType="separate"/>
          </w:r>
          <w:r>
            <w:rPr>
              <w:rFonts w:hAnsi="宋体"/>
            </w:rPr>
            <w:t>31</w:t>
          </w:r>
          <w:r>
            <w:rPr>
              <w:rFonts w:hAnsi="宋体"/>
            </w:rPr>
            <w:fldChar w:fldCharType="end"/>
          </w:r>
          <w:r>
            <w:rPr>
              <w:rFonts w:hAnsi="宋体"/>
            </w:rPr>
            <w:fldChar w:fldCharType="end"/>
          </w:r>
        </w:p>
        <w:p>
          <w:pPr>
            <w:pStyle w:val="20"/>
            <w:tabs>
              <w:tab w:val="right" w:leader="dot" w:pos="9344"/>
            </w:tabs>
            <w:rPr>
              <w:rFonts w:hAnsi="宋体" w:cstheme="minorBidi"/>
              <w:szCs w:val="22"/>
            </w:rPr>
          </w:pPr>
          <w:r>
            <w:fldChar w:fldCharType="begin"/>
          </w:r>
          <w:r>
            <w:instrText xml:space="preserve"> HYPERLINK \l "_Toc142923632" </w:instrText>
          </w:r>
          <w:r>
            <w:fldChar w:fldCharType="separate"/>
          </w:r>
          <w:r>
            <w:rPr>
              <w:rStyle w:val="34"/>
              <w:rFonts w:hAnsi="宋体"/>
            </w:rPr>
            <w:t>7 结构施工</w:t>
          </w:r>
          <w:r>
            <w:rPr>
              <w:rFonts w:hAnsi="宋体"/>
            </w:rPr>
            <w:tab/>
          </w:r>
          <w:r>
            <w:rPr>
              <w:rFonts w:hAnsi="宋体"/>
            </w:rPr>
            <w:fldChar w:fldCharType="begin"/>
          </w:r>
          <w:r>
            <w:rPr>
              <w:rFonts w:hAnsi="宋体"/>
            </w:rPr>
            <w:instrText xml:space="preserve"> PAGEREF _Toc142923632 \h </w:instrText>
          </w:r>
          <w:r>
            <w:rPr>
              <w:rFonts w:hAnsi="宋体"/>
            </w:rPr>
            <w:fldChar w:fldCharType="separate"/>
          </w:r>
          <w:r>
            <w:rPr>
              <w:rFonts w:hAnsi="宋体"/>
            </w:rPr>
            <w:t>32</w:t>
          </w:r>
          <w:r>
            <w:rPr>
              <w:rFonts w:hAnsi="宋体"/>
            </w:rPr>
            <w:fldChar w:fldCharType="end"/>
          </w:r>
          <w:r>
            <w:rPr>
              <w:rFonts w:hAnsi="宋体"/>
            </w:rPr>
            <w:fldChar w:fldCharType="end"/>
          </w:r>
        </w:p>
        <w:p>
          <w:pPr>
            <w:pStyle w:val="25"/>
            <w:rPr>
              <w:rFonts w:hAnsi="宋体" w:cstheme="minorBidi"/>
              <w:szCs w:val="22"/>
            </w:rPr>
          </w:pPr>
          <w:r>
            <w:fldChar w:fldCharType="begin"/>
          </w:r>
          <w:r>
            <w:instrText xml:space="preserve"> HYPERLINK \l "_Toc142923633" </w:instrText>
          </w:r>
          <w:r>
            <w:fldChar w:fldCharType="separate"/>
          </w:r>
          <w:r>
            <w:rPr>
              <w:rStyle w:val="34"/>
              <w:rFonts w:hAnsi="宋体"/>
            </w:rPr>
            <w:t xml:space="preserve">7.1 </w:t>
          </w:r>
          <w:r>
            <w:rPr>
              <w:rStyle w:val="34"/>
              <w:rFonts w:hAnsi="宋体"/>
              <w:bCs/>
            </w:rPr>
            <w:t>一般规定</w:t>
          </w:r>
          <w:r>
            <w:rPr>
              <w:rFonts w:hAnsi="宋体"/>
            </w:rPr>
            <w:tab/>
          </w:r>
          <w:r>
            <w:rPr>
              <w:rFonts w:hAnsi="宋体"/>
            </w:rPr>
            <w:fldChar w:fldCharType="begin"/>
          </w:r>
          <w:r>
            <w:rPr>
              <w:rFonts w:hAnsi="宋体"/>
            </w:rPr>
            <w:instrText xml:space="preserve"> PAGEREF _Toc142923633 \h </w:instrText>
          </w:r>
          <w:r>
            <w:rPr>
              <w:rFonts w:hAnsi="宋体"/>
            </w:rPr>
            <w:fldChar w:fldCharType="separate"/>
          </w:r>
          <w:r>
            <w:rPr>
              <w:rFonts w:hAnsi="宋体"/>
            </w:rPr>
            <w:t>32</w:t>
          </w:r>
          <w:r>
            <w:rPr>
              <w:rFonts w:hAnsi="宋体"/>
            </w:rPr>
            <w:fldChar w:fldCharType="end"/>
          </w:r>
          <w:r>
            <w:rPr>
              <w:rFonts w:hAnsi="宋体"/>
            </w:rPr>
            <w:fldChar w:fldCharType="end"/>
          </w:r>
        </w:p>
        <w:p>
          <w:pPr>
            <w:pStyle w:val="25"/>
            <w:rPr>
              <w:rFonts w:hAnsi="宋体" w:cstheme="minorBidi"/>
              <w:szCs w:val="22"/>
            </w:rPr>
          </w:pPr>
          <w:r>
            <w:fldChar w:fldCharType="begin"/>
          </w:r>
          <w:r>
            <w:instrText xml:space="preserve"> HYPERLINK \l "_Toc142923634" </w:instrText>
          </w:r>
          <w:r>
            <w:fldChar w:fldCharType="separate"/>
          </w:r>
          <w:r>
            <w:rPr>
              <w:rStyle w:val="34"/>
              <w:rFonts w:hAnsi="宋体"/>
            </w:rPr>
            <w:t>7.2 施工准备</w:t>
          </w:r>
          <w:r>
            <w:rPr>
              <w:rFonts w:hAnsi="宋体"/>
            </w:rPr>
            <w:tab/>
          </w:r>
          <w:r>
            <w:rPr>
              <w:rFonts w:hAnsi="宋体"/>
            </w:rPr>
            <w:fldChar w:fldCharType="begin"/>
          </w:r>
          <w:r>
            <w:rPr>
              <w:rFonts w:hAnsi="宋体"/>
            </w:rPr>
            <w:instrText xml:space="preserve"> PAGEREF _Toc142923634 \h </w:instrText>
          </w:r>
          <w:r>
            <w:rPr>
              <w:rFonts w:hAnsi="宋体"/>
            </w:rPr>
            <w:fldChar w:fldCharType="separate"/>
          </w:r>
          <w:r>
            <w:rPr>
              <w:rFonts w:hAnsi="宋体"/>
            </w:rPr>
            <w:t>32</w:t>
          </w:r>
          <w:r>
            <w:rPr>
              <w:rFonts w:hAnsi="宋体"/>
            </w:rPr>
            <w:fldChar w:fldCharType="end"/>
          </w:r>
          <w:r>
            <w:rPr>
              <w:rFonts w:hAnsi="宋体"/>
            </w:rPr>
            <w:fldChar w:fldCharType="end"/>
          </w:r>
        </w:p>
        <w:p>
          <w:pPr>
            <w:pStyle w:val="25"/>
            <w:rPr>
              <w:rFonts w:hAnsi="宋体" w:cstheme="minorBidi"/>
              <w:szCs w:val="22"/>
            </w:rPr>
          </w:pPr>
          <w:r>
            <w:fldChar w:fldCharType="begin"/>
          </w:r>
          <w:r>
            <w:instrText xml:space="preserve"> HYPERLINK \l "_Toc142923635" </w:instrText>
          </w:r>
          <w:r>
            <w:fldChar w:fldCharType="separate"/>
          </w:r>
          <w:r>
            <w:rPr>
              <w:rStyle w:val="34"/>
              <w:rFonts w:hAnsi="宋体"/>
            </w:rPr>
            <w:t>7.3 预制构件安装与连接</w:t>
          </w:r>
          <w:r>
            <w:rPr>
              <w:rFonts w:hAnsi="宋体"/>
            </w:rPr>
            <w:tab/>
          </w:r>
          <w:r>
            <w:rPr>
              <w:rFonts w:hAnsi="宋体"/>
            </w:rPr>
            <w:fldChar w:fldCharType="begin"/>
          </w:r>
          <w:r>
            <w:rPr>
              <w:rFonts w:hAnsi="宋体"/>
            </w:rPr>
            <w:instrText xml:space="preserve"> PAGEREF _Toc142923635 \h </w:instrText>
          </w:r>
          <w:r>
            <w:rPr>
              <w:rFonts w:hAnsi="宋体"/>
            </w:rPr>
            <w:fldChar w:fldCharType="separate"/>
          </w:r>
          <w:r>
            <w:rPr>
              <w:rFonts w:hAnsi="宋体"/>
            </w:rPr>
            <w:t>33</w:t>
          </w:r>
          <w:r>
            <w:rPr>
              <w:rFonts w:hAnsi="宋体"/>
            </w:rPr>
            <w:fldChar w:fldCharType="end"/>
          </w:r>
          <w:r>
            <w:rPr>
              <w:rFonts w:hAnsi="宋体"/>
            </w:rPr>
            <w:fldChar w:fldCharType="end"/>
          </w:r>
        </w:p>
        <w:p>
          <w:pPr>
            <w:pStyle w:val="20"/>
            <w:tabs>
              <w:tab w:val="right" w:leader="dot" w:pos="9344"/>
            </w:tabs>
            <w:rPr>
              <w:rFonts w:hAnsi="宋体" w:cstheme="minorBidi"/>
              <w:szCs w:val="22"/>
            </w:rPr>
          </w:pPr>
          <w:r>
            <w:fldChar w:fldCharType="begin"/>
          </w:r>
          <w:r>
            <w:instrText xml:space="preserve"> HYPERLINK \l "_Toc142923636" </w:instrText>
          </w:r>
          <w:r>
            <w:fldChar w:fldCharType="separate"/>
          </w:r>
          <w:r>
            <w:rPr>
              <w:rStyle w:val="34"/>
              <w:rFonts w:hAnsi="宋体"/>
            </w:rPr>
            <w:t>8 质量验收</w:t>
          </w:r>
          <w:r>
            <w:rPr>
              <w:rFonts w:hAnsi="宋体"/>
            </w:rPr>
            <w:tab/>
          </w:r>
          <w:r>
            <w:rPr>
              <w:rFonts w:hAnsi="宋体"/>
            </w:rPr>
            <w:fldChar w:fldCharType="begin"/>
          </w:r>
          <w:r>
            <w:rPr>
              <w:rFonts w:hAnsi="宋体"/>
            </w:rPr>
            <w:instrText xml:space="preserve"> PAGEREF _Toc142923636 \h </w:instrText>
          </w:r>
          <w:r>
            <w:rPr>
              <w:rFonts w:hAnsi="宋体"/>
            </w:rPr>
            <w:fldChar w:fldCharType="separate"/>
          </w:r>
          <w:r>
            <w:rPr>
              <w:rFonts w:hAnsi="宋体"/>
            </w:rPr>
            <w:t>35</w:t>
          </w:r>
          <w:r>
            <w:rPr>
              <w:rFonts w:hAnsi="宋体"/>
            </w:rPr>
            <w:fldChar w:fldCharType="end"/>
          </w:r>
          <w:r>
            <w:rPr>
              <w:rFonts w:hAnsi="宋体"/>
            </w:rPr>
            <w:fldChar w:fldCharType="end"/>
          </w:r>
        </w:p>
        <w:p>
          <w:pPr>
            <w:pStyle w:val="25"/>
            <w:rPr>
              <w:rFonts w:hAnsi="宋体" w:cstheme="minorBidi"/>
              <w:szCs w:val="22"/>
            </w:rPr>
          </w:pPr>
          <w:r>
            <w:fldChar w:fldCharType="begin"/>
          </w:r>
          <w:r>
            <w:instrText xml:space="preserve"> HYPERLINK \l "_Toc142923637" </w:instrText>
          </w:r>
          <w:r>
            <w:fldChar w:fldCharType="separate"/>
          </w:r>
          <w:r>
            <w:rPr>
              <w:rStyle w:val="34"/>
              <w:rFonts w:hAnsi="宋体"/>
            </w:rPr>
            <w:t>8.1 一般规定</w:t>
          </w:r>
          <w:r>
            <w:rPr>
              <w:rFonts w:hAnsi="宋体"/>
            </w:rPr>
            <w:tab/>
          </w:r>
          <w:r>
            <w:rPr>
              <w:rFonts w:hAnsi="宋体"/>
            </w:rPr>
            <w:fldChar w:fldCharType="begin"/>
          </w:r>
          <w:r>
            <w:rPr>
              <w:rFonts w:hAnsi="宋体"/>
            </w:rPr>
            <w:instrText xml:space="preserve"> PAGEREF _Toc142923637 \h </w:instrText>
          </w:r>
          <w:r>
            <w:rPr>
              <w:rFonts w:hAnsi="宋体"/>
            </w:rPr>
            <w:fldChar w:fldCharType="separate"/>
          </w:r>
          <w:r>
            <w:rPr>
              <w:rFonts w:hAnsi="宋体"/>
            </w:rPr>
            <w:t>35</w:t>
          </w:r>
          <w:r>
            <w:rPr>
              <w:rFonts w:hAnsi="宋体"/>
            </w:rPr>
            <w:fldChar w:fldCharType="end"/>
          </w:r>
          <w:r>
            <w:rPr>
              <w:rFonts w:hAnsi="宋体"/>
            </w:rPr>
            <w:fldChar w:fldCharType="end"/>
          </w:r>
        </w:p>
        <w:p>
          <w:pPr>
            <w:pStyle w:val="25"/>
            <w:rPr>
              <w:rFonts w:hAnsi="宋体" w:cstheme="minorBidi"/>
              <w:szCs w:val="22"/>
            </w:rPr>
          </w:pPr>
          <w:r>
            <w:fldChar w:fldCharType="begin"/>
          </w:r>
          <w:r>
            <w:instrText xml:space="preserve"> HYPERLINK \l "_Toc142923638" </w:instrText>
          </w:r>
          <w:r>
            <w:fldChar w:fldCharType="separate"/>
          </w:r>
          <w:r>
            <w:rPr>
              <w:rStyle w:val="34"/>
              <w:rFonts w:hAnsi="宋体"/>
            </w:rPr>
            <w:t>8.2 预制构件</w:t>
          </w:r>
          <w:r>
            <w:rPr>
              <w:rFonts w:hAnsi="宋体"/>
            </w:rPr>
            <w:tab/>
          </w:r>
          <w:r>
            <w:rPr>
              <w:rFonts w:hAnsi="宋体"/>
            </w:rPr>
            <w:fldChar w:fldCharType="begin"/>
          </w:r>
          <w:r>
            <w:rPr>
              <w:rFonts w:hAnsi="宋体"/>
            </w:rPr>
            <w:instrText xml:space="preserve"> PAGEREF _Toc142923638 \h </w:instrText>
          </w:r>
          <w:r>
            <w:rPr>
              <w:rFonts w:hAnsi="宋体"/>
            </w:rPr>
            <w:fldChar w:fldCharType="separate"/>
          </w:r>
          <w:r>
            <w:rPr>
              <w:rFonts w:hAnsi="宋体"/>
            </w:rPr>
            <w:t>35</w:t>
          </w:r>
          <w:r>
            <w:rPr>
              <w:rFonts w:hAnsi="宋体"/>
            </w:rPr>
            <w:fldChar w:fldCharType="end"/>
          </w:r>
          <w:r>
            <w:rPr>
              <w:rFonts w:hAnsi="宋体"/>
            </w:rPr>
            <w:fldChar w:fldCharType="end"/>
          </w:r>
        </w:p>
        <w:p>
          <w:pPr>
            <w:pStyle w:val="25"/>
            <w:rPr>
              <w:rFonts w:asciiTheme="minorHAnsi" w:hAnsiTheme="minorHAnsi" w:eastAsiaTheme="minorEastAsia" w:cstheme="minorBidi"/>
              <w:szCs w:val="22"/>
            </w:rPr>
          </w:pPr>
          <w:r>
            <w:fldChar w:fldCharType="begin"/>
          </w:r>
          <w:r>
            <w:instrText xml:space="preserve"> HYPERLINK \l "_Toc142923639" </w:instrText>
          </w:r>
          <w:r>
            <w:fldChar w:fldCharType="separate"/>
          </w:r>
          <w:r>
            <w:rPr>
              <w:rStyle w:val="34"/>
              <w:rFonts w:hAnsi="宋体"/>
            </w:rPr>
            <w:t>8.3 预制构件安装与连接</w:t>
          </w:r>
          <w:r>
            <w:rPr>
              <w:rFonts w:hAnsi="宋体"/>
            </w:rPr>
            <w:tab/>
          </w:r>
          <w:r>
            <w:rPr>
              <w:rFonts w:hAnsi="宋体"/>
            </w:rPr>
            <w:fldChar w:fldCharType="begin"/>
          </w:r>
          <w:r>
            <w:rPr>
              <w:rFonts w:hAnsi="宋体"/>
            </w:rPr>
            <w:instrText xml:space="preserve"> PAGEREF _Toc142923639 \h </w:instrText>
          </w:r>
          <w:r>
            <w:rPr>
              <w:rFonts w:hAnsi="宋体"/>
            </w:rPr>
            <w:fldChar w:fldCharType="separate"/>
          </w:r>
          <w:r>
            <w:rPr>
              <w:rFonts w:hAnsi="宋体"/>
            </w:rPr>
            <w:t>39</w:t>
          </w:r>
          <w:r>
            <w:rPr>
              <w:rFonts w:hAnsi="宋体"/>
            </w:rPr>
            <w:fldChar w:fldCharType="end"/>
          </w:r>
          <w:r>
            <w:rPr>
              <w:rFonts w:hAnsi="宋体"/>
            </w:rPr>
            <w:fldChar w:fldCharType="end"/>
          </w:r>
        </w:p>
        <w:p>
          <w:pPr>
            <w:rPr>
              <w:rFonts w:ascii="宋体" w:hAnsi="宋体"/>
            </w:rPr>
          </w:pPr>
          <w:r>
            <w:rPr>
              <w:rFonts w:ascii="宋体" w:hAnsi="宋体"/>
            </w:rPr>
            <w:fldChar w:fldCharType="end"/>
          </w:r>
        </w:p>
        <w:p>
          <w:pPr>
            <w:pStyle w:val="93"/>
            <w:spacing w:afterLines="0"/>
            <w:jc w:val="left"/>
            <w:rPr>
              <w:rFonts w:ascii="宋体" w:hAnsi="宋体" w:eastAsia="宋体"/>
              <w:sz w:val="21"/>
            </w:rPr>
          </w:pPr>
        </w:p>
      </w:sdtContent>
    </w:sdt>
    <w:p>
      <w:pPr>
        <w:pStyle w:val="20"/>
        <w:tabs>
          <w:tab w:val="right" w:leader="dot" w:pos="9344"/>
        </w:tabs>
        <w:rPr>
          <w:rFonts w:asciiTheme="minorHAnsi" w:hAnsiTheme="minorHAnsi" w:eastAsiaTheme="minorEastAsia" w:cstheme="minorBidi"/>
          <w:szCs w:val="22"/>
        </w:rPr>
      </w:pPr>
      <w:r>
        <w:br w:type="page"/>
      </w:r>
    </w:p>
    <w:p>
      <w:pPr>
        <w:pStyle w:val="91"/>
        <w:spacing w:after="468"/>
      </w:pPr>
      <w:bookmarkStart w:id="22" w:name="_Toc98610529"/>
      <w:bookmarkStart w:id="23" w:name="_Toc142923554"/>
      <w:r>
        <w:t>前</w:t>
      </w:r>
      <w:r>
        <w:rPr>
          <w:rFonts w:hint="eastAsia"/>
        </w:rPr>
        <w:t xml:space="preserve"> </w:t>
      </w:r>
      <w:r>
        <w:t>言</w:t>
      </w:r>
      <w:bookmarkEnd w:id="22"/>
      <w:bookmarkEnd w:id="23"/>
    </w:p>
    <w:p>
      <w:pPr>
        <w:pStyle w:val="58"/>
        <w:ind w:firstLine="420"/>
        <w:rPr>
          <w:rFonts w:hint="eastAsia"/>
        </w:rPr>
      </w:pPr>
      <w:r>
        <w:rPr>
          <w:rFonts w:hint="eastAsia"/>
        </w:rPr>
        <w:t>本文件按照GB/T 1.1—2020《标准化工作导则  第1部分：标准化文件的结构和起草规则》的规定起草。</w:t>
      </w:r>
    </w:p>
    <w:p>
      <w:pPr>
        <w:pStyle w:val="58"/>
        <w:ind w:firstLine="420"/>
        <w:rPr>
          <w:rFonts w:hint="eastAsia"/>
        </w:rPr>
      </w:pPr>
      <w:r>
        <w:rPr>
          <w:rFonts w:hint="eastAsia"/>
        </w:rPr>
        <w:t>本文件代替D</w:t>
      </w:r>
      <w:r>
        <w:rPr>
          <w:rFonts w:hint="eastAsia"/>
          <w:lang w:val="en-US" w:eastAsia="zh-CN"/>
        </w:rPr>
        <w:t>GJ</w:t>
      </w:r>
      <w:r>
        <w:rPr>
          <w:rFonts w:hint="eastAsia"/>
        </w:rPr>
        <w:t xml:space="preserve"> 32/TJ 199—2016《预制预应力混凝土装配整体式结构技术规程》，与D</w:t>
      </w:r>
      <w:r>
        <w:rPr>
          <w:rFonts w:hint="eastAsia"/>
          <w:lang w:val="en-US" w:eastAsia="zh-CN"/>
        </w:rPr>
        <w:t>GJ</w:t>
      </w:r>
      <w:r>
        <w:rPr>
          <w:rFonts w:hint="eastAsia"/>
        </w:rPr>
        <w:t xml:space="preserve"> 32/TJ 199—2016相比，除结构调整和编辑性改动外，主要技术变化如下：</w:t>
      </w:r>
    </w:p>
    <w:p>
      <w:pPr>
        <w:pStyle w:val="58"/>
        <w:ind w:firstLine="420"/>
        <w:rPr>
          <w:rFonts w:hint="eastAsia"/>
        </w:rPr>
      </w:pPr>
      <w:r>
        <w:rPr>
          <w:rFonts w:hint="eastAsia"/>
        </w:rPr>
        <w:t>——修改了部分术语（见2.1）；</w:t>
      </w:r>
    </w:p>
    <w:p>
      <w:pPr>
        <w:pStyle w:val="58"/>
        <w:ind w:firstLine="420"/>
        <w:rPr>
          <w:rFonts w:hint="eastAsia" w:eastAsia="宋体"/>
          <w:lang w:eastAsia="zh-CN"/>
        </w:rPr>
      </w:pPr>
      <w:r>
        <w:rPr>
          <w:rFonts w:hint="eastAsia"/>
        </w:rPr>
        <w:t>——增加了装配整体式框架结构、装配整体式框架结构-现浇剪力墙结构在抗震设防烈度为8度地区应用的相关内容（见3.1）</w:t>
      </w:r>
      <w:r>
        <w:rPr>
          <w:rFonts w:hint="eastAsia"/>
          <w:lang w:eastAsia="zh-CN"/>
        </w:rPr>
        <w:t>；</w:t>
      </w:r>
    </w:p>
    <w:p>
      <w:pPr>
        <w:pStyle w:val="58"/>
        <w:ind w:firstLine="420"/>
        <w:rPr>
          <w:rFonts w:hint="eastAsia" w:eastAsia="宋体"/>
          <w:lang w:eastAsia="zh-CN"/>
        </w:rPr>
      </w:pPr>
      <w:r>
        <w:rPr>
          <w:rFonts w:hint="eastAsia"/>
        </w:rPr>
        <w:t>——增加了预制预应力混凝土装配整体式框架结构部分连接节点和无凹槽节点连接构造内容（见4.6）</w:t>
      </w:r>
      <w:r>
        <w:rPr>
          <w:rFonts w:hint="eastAsia"/>
          <w:lang w:eastAsia="zh-CN"/>
        </w:rPr>
        <w:t>。</w:t>
      </w:r>
    </w:p>
    <w:p>
      <w:pPr>
        <w:pStyle w:val="58"/>
        <w:ind w:firstLine="420"/>
        <w:rPr>
          <w:rFonts w:hint="eastAsia"/>
        </w:rPr>
      </w:pPr>
      <w:r>
        <w:rPr>
          <w:rFonts w:hint="eastAsia"/>
        </w:rPr>
        <w:t>请注意本文件某些内容可能涉及专利。本文件的发布机构不承担识别专利的责任。</w:t>
      </w:r>
    </w:p>
    <w:p>
      <w:pPr>
        <w:pStyle w:val="58"/>
        <w:ind w:firstLine="420"/>
        <w:rPr>
          <w:rFonts w:hint="eastAsia"/>
        </w:rPr>
      </w:pPr>
      <w:r>
        <w:rPr>
          <w:rFonts w:hint="eastAsia"/>
        </w:rPr>
        <w:t>本文件由江苏省住房和城乡建设厅提出并归口。</w:t>
      </w:r>
    </w:p>
    <w:p>
      <w:pPr>
        <w:pStyle w:val="58"/>
        <w:ind w:firstLine="420"/>
        <w:rPr>
          <w:rFonts w:hint="eastAsia"/>
        </w:rPr>
      </w:pPr>
      <w:r>
        <w:rPr>
          <w:rFonts w:hint="eastAsia"/>
        </w:rPr>
        <w:t>本文件起草单位：南京大地建设集团有限责任公司、东南大学、江苏省建筑设计研究院股份有限公司、南京大地建设科技有限责任公司、南京大地建设（集团）股份有限公司。</w:t>
      </w:r>
    </w:p>
    <w:p>
      <w:pPr>
        <w:pStyle w:val="58"/>
        <w:ind w:firstLine="420"/>
        <w:rPr>
          <w:rFonts w:hint="eastAsia"/>
        </w:rPr>
      </w:pPr>
      <w:r>
        <w:rPr>
          <w:rFonts w:hint="eastAsia"/>
        </w:rPr>
        <w:t xml:space="preserve">本文件主要起草人：于国家、冯健、金如元、于春、庞涛、张晋、张明明、王翔、仲跻军、江中明、诸国政、蔡建国、陈耀、赵军 </w:t>
      </w:r>
    </w:p>
    <w:p>
      <w:pPr>
        <w:pStyle w:val="58"/>
        <w:ind w:firstLine="420"/>
        <w:rPr>
          <w:rFonts w:hint="eastAsia"/>
        </w:rPr>
      </w:pPr>
      <w:r>
        <w:rPr>
          <w:rFonts w:hint="eastAsia"/>
        </w:rPr>
        <w:t>本文件及其所替代文件的历次版本发布情况为：</w:t>
      </w:r>
    </w:p>
    <w:p>
      <w:pPr>
        <w:pStyle w:val="58"/>
        <w:ind w:firstLine="420"/>
        <w:rPr>
          <w:rFonts w:hint="eastAsia"/>
        </w:rPr>
      </w:pPr>
      <w:r>
        <w:rPr>
          <w:rFonts w:hint="eastAsia"/>
        </w:rPr>
        <w:t>——2016年3月3日首次发布为DB 32/TJ 199—2016；</w:t>
      </w:r>
    </w:p>
    <w:p>
      <w:pPr>
        <w:pStyle w:val="58"/>
        <w:ind w:firstLine="420"/>
      </w:pPr>
      <w:r>
        <w:rPr>
          <w:rFonts w:hint="eastAsia"/>
        </w:rPr>
        <w:t>——本次为第一次修订。</w:t>
      </w:r>
      <w:r>
        <w:t xml:space="preserve"> </w:t>
      </w:r>
    </w:p>
    <w:p>
      <w:pPr>
        <w:pStyle w:val="58"/>
        <w:ind w:firstLine="420"/>
      </w:pPr>
    </w:p>
    <w:p>
      <w:pPr>
        <w:pStyle w:val="58"/>
        <w:ind w:firstLine="199" w:firstLineChars="95"/>
        <w:sectPr>
          <w:headerReference r:id="rId11" w:type="default"/>
          <w:footerReference r:id="rId13" w:type="default"/>
          <w:headerReference r:id="rId12" w:type="even"/>
          <w:pgSz w:w="11906" w:h="16838"/>
          <w:pgMar w:top="567" w:right="1134" w:bottom="1134" w:left="1134" w:header="1418" w:footer="1134" w:gutter="284"/>
          <w:pgNumType w:fmt="upperRoman" w:start="1"/>
          <w:cols w:space="425" w:num="1"/>
          <w:formProt w:val="0"/>
          <w:docGrid w:type="lines" w:linePitch="312" w:charSpace="0"/>
        </w:sectPr>
      </w:pPr>
    </w:p>
    <w:bookmarkEnd w:id="21"/>
    <w:p>
      <w:pPr>
        <w:spacing w:line="20" w:lineRule="exact"/>
        <w:jc w:val="center"/>
        <w:rPr>
          <w:rFonts w:ascii="黑体" w:hAnsi="黑体" w:eastAsia="黑体"/>
          <w:sz w:val="32"/>
          <w:szCs w:val="32"/>
        </w:rPr>
      </w:pPr>
      <w:bookmarkStart w:id="24" w:name="BookMark4"/>
    </w:p>
    <w:p>
      <w:pPr>
        <w:spacing w:line="20" w:lineRule="exact"/>
        <w:jc w:val="center"/>
        <w:rPr>
          <w:rFonts w:ascii="黑体" w:hAnsi="黑体" w:eastAsia="黑体"/>
          <w:sz w:val="32"/>
          <w:szCs w:val="32"/>
        </w:rPr>
      </w:pPr>
    </w:p>
    <w:sdt>
      <w:sdtPr>
        <w:tag w:val="NEW_STAND_NAME"/>
        <w:id w:val="595910757"/>
        <w:lock w:val="sdtLocked"/>
      </w:sdtPr>
      <w:sdtContent>
        <w:p>
          <w:pPr>
            <w:pStyle w:val="179"/>
            <w:spacing w:before="567" w:beforeLines="182" w:after="686" w:afterLines="220"/>
          </w:pPr>
          <w:bookmarkStart w:id="25" w:name="NEW_STAND_NAME"/>
          <w:r>
            <w:rPr>
              <w:rFonts w:hint="eastAsia" w:cs="黑体"/>
            </w:rPr>
            <w:t>预制预应力混凝土装配整体式结构技术规程</w:t>
          </w:r>
        </w:p>
      </w:sdtContent>
    </w:sdt>
    <w:bookmarkEnd w:id="25"/>
    <w:p>
      <w:pPr>
        <w:pStyle w:val="106"/>
        <w:numPr>
          <w:ilvl w:val="0"/>
          <w:numId w:val="0"/>
        </w:numPr>
        <w:spacing w:before="312" w:after="312"/>
      </w:pPr>
      <w:bookmarkStart w:id="26" w:name="_Toc17233325"/>
      <w:bookmarkStart w:id="27" w:name="_Toc24884211"/>
      <w:bookmarkStart w:id="28" w:name="_Toc26718930"/>
      <w:bookmarkStart w:id="29" w:name="_Toc24884218"/>
      <w:bookmarkStart w:id="30" w:name="_Toc26986530"/>
      <w:bookmarkStart w:id="31" w:name="_Toc17233333"/>
      <w:bookmarkStart w:id="32" w:name="_Toc26648465"/>
      <w:bookmarkStart w:id="33" w:name="_Toc26986771"/>
      <w:bookmarkStart w:id="34" w:name="_Toc98610530"/>
      <w:bookmarkStart w:id="35" w:name="_Toc142923555"/>
      <w:r>
        <w:rPr>
          <w:rFonts w:hint="eastAsia"/>
        </w:rPr>
        <w:t>1 范围</w:t>
      </w:r>
      <w:bookmarkEnd w:id="26"/>
      <w:bookmarkEnd w:id="27"/>
      <w:bookmarkEnd w:id="28"/>
      <w:bookmarkEnd w:id="29"/>
      <w:bookmarkEnd w:id="30"/>
      <w:bookmarkEnd w:id="31"/>
      <w:bookmarkEnd w:id="32"/>
      <w:bookmarkEnd w:id="33"/>
      <w:bookmarkEnd w:id="34"/>
      <w:bookmarkEnd w:id="35"/>
      <w:bookmarkStart w:id="36" w:name="_Toc17233326"/>
      <w:bookmarkStart w:id="37" w:name="_Toc17233334"/>
      <w:bookmarkStart w:id="38" w:name="_Toc24884212"/>
      <w:bookmarkStart w:id="39" w:name="_Toc24884219"/>
      <w:bookmarkStart w:id="40" w:name="_Toc26648466"/>
    </w:p>
    <w:p>
      <w:pPr>
        <w:pStyle w:val="58"/>
        <w:ind w:firstLine="420"/>
        <w:rPr>
          <w:bCs/>
          <w:szCs w:val="21"/>
        </w:rPr>
      </w:pPr>
      <w:r>
        <w:rPr>
          <w:rFonts w:hint="eastAsia"/>
          <w:bCs/>
          <w:szCs w:val="21"/>
        </w:rPr>
        <w:t>本</w:t>
      </w:r>
      <w:r>
        <w:rPr>
          <w:rFonts w:hint="eastAsia"/>
        </w:rPr>
        <w:t>文件</w:t>
      </w:r>
      <w:r>
        <w:rPr>
          <w:rFonts w:hint="eastAsia"/>
          <w:bCs/>
          <w:szCs w:val="21"/>
        </w:rPr>
        <w:t>适用于江苏省抗震设防烈度为8度及8度以下地区的预制预应力混凝土装配整体式框架结构、框架-剪力墙结构和装配整体式剪力墙结构的设计、生产、施工及验收。</w:t>
      </w:r>
    </w:p>
    <w:p>
      <w:pPr>
        <w:pStyle w:val="106"/>
        <w:numPr>
          <w:ilvl w:val="0"/>
          <w:numId w:val="0"/>
        </w:numPr>
        <w:spacing w:before="312" w:after="312"/>
      </w:pPr>
      <w:bookmarkStart w:id="41" w:name="_Toc26718931"/>
      <w:bookmarkStart w:id="42" w:name="_Toc26986772"/>
      <w:bookmarkStart w:id="43" w:name="_Toc26986531"/>
      <w:bookmarkStart w:id="44" w:name="_Toc142923556"/>
      <w:bookmarkStart w:id="45" w:name="_Toc98610531"/>
      <w:r>
        <w:rPr>
          <w:rFonts w:hint="eastAsia"/>
        </w:rPr>
        <w:t>2 规范性引用文件</w:t>
      </w:r>
      <w:bookmarkEnd w:id="36"/>
      <w:bookmarkEnd w:id="37"/>
      <w:bookmarkEnd w:id="38"/>
      <w:bookmarkEnd w:id="39"/>
      <w:bookmarkEnd w:id="40"/>
      <w:bookmarkEnd w:id="41"/>
      <w:bookmarkEnd w:id="42"/>
      <w:bookmarkEnd w:id="43"/>
      <w:bookmarkEnd w:id="44"/>
      <w:bookmarkEnd w:id="45"/>
    </w:p>
    <w:p>
      <w:pPr>
        <w:pStyle w:val="58"/>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p>
      <w:pPr>
        <w:pStyle w:val="58"/>
        <w:ind w:firstLine="420"/>
      </w:pPr>
      <w:r>
        <w:rPr>
          <w:rFonts w:hint="eastAsia"/>
        </w:rPr>
        <w:t xml:space="preserve">GB </w:t>
      </w:r>
      <w:r>
        <w:t>55001</w:t>
      </w:r>
      <w:r>
        <w:rPr>
          <w:rFonts w:hint="eastAsia"/>
        </w:rPr>
        <w:t xml:space="preserve"> 工程结构通用规范</w:t>
      </w:r>
    </w:p>
    <w:p>
      <w:pPr>
        <w:pStyle w:val="58"/>
        <w:ind w:firstLine="420"/>
      </w:pPr>
      <w:r>
        <w:rPr>
          <w:rFonts w:hint="eastAsia"/>
        </w:rPr>
        <w:t xml:space="preserve">GB </w:t>
      </w:r>
      <w:r>
        <w:t>55002</w:t>
      </w:r>
      <w:r>
        <w:rPr>
          <w:rFonts w:hint="eastAsia"/>
        </w:rPr>
        <w:t xml:space="preserve"> 建筑与市政工程抗震通用规范</w:t>
      </w:r>
    </w:p>
    <w:p>
      <w:pPr>
        <w:pStyle w:val="58"/>
        <w:ind w:firstLine="420"/>
      </w:pPr>
      <w:r>
        <w:rPr>
          <w:rFonts w:hint="eastAsia"/>
        </w:rPr>
        <w:t xml:space="preserve">GB </w:t>
      </w:r>
      <w:r>
        <w:t>55008</w:t>
      </w:r>
      <w:r>
        <w:rPr>
          <w:rFonts w:hint="eastAsia"/>
        </w:rPr>
        <w:t xml:space="preserve"> 混凝土结构通用规范</w:t>
      </w:r>
    </w:p>
    <w:p>
      <w:pPr>
        <w:pStyle w:val="58"/>
        <w:ind w:firstLine="420"/>
      </w:pPr>
      <w:r>
        <w:rPr>
          <w:rFonts w:hint="eastAsia"/>
        </w:rPr>
        <w:t>GB 50007 建筑地基基础设计规范</w:t>
      </w:r>
    </w:p>
    <w:p>
      <w:pPr>
        <w:pStyle w:val="58"/>
        <w:ind w:firstLine="420"/>
      </w:pPr>
      <w:r>
        <w:rPr>
          <w:rFonts w:hint="eastAsia"/>
        </w:rPr>
        <w:t xml:space="preserve">GB </w:t>
      </w:r>
      <w:r>
        <w:t>50009</w:t>
      </w:r>
      <w:r>
        <w:rPr>
          <w:rFonts w:hint="eastAsia"/>
        </w:rPr>
        <w:t xml:space="preserve"> 建筑结构荷载规范</w:t>
      </w:r>
    </w:p>
    <w:p>
      <w:pPr>
        <w:pStyle w:val="58"/>
        <w:ind w:firstLine="420"/>
      </w:pPr>
      <w:r>
        <w:rPr>
          <w:rFonts w:hint="eastAsia"/>
        </w:rPr>
        <w:t xml:space="preserve">GB </w:t>
      </w:r>
      <w:r>
        <w:t>50010</w:t>
      </w:r>
      <w:r>
        <w:rPr>
          <w:rFonts w:hint="eastAsia"/>
        </w:rPr>
        <w:t xml:space="preserve"> 混凝土结构设计规范</w:t>
      </w:r>
    </w:p>
    <w:p>
      <w:pPr>
        <w:pStyle w:val="58"/>
        <w:ind w:firstLine="420"/>
      </w:pPr>
      <w:r>
        <w:rPr>
          <w:rFonts w:hint="eastAsia"/>
        </w:rPr>
        <w:t xml:space="preserve">GB </w:t>
      </w:r>
      <w:r>
        <w:t>50011</w:t>
      </w:r>
      <w:r>
        <w:rPr>
          <w:rFonts w:hint="eastAsia"/>
        </w:rPr>
        <w:t xml:space="preserve"> 建筑抗震设计规范</w:t>
      </w:r>
    </w:p>
    <w:p>
      <w:pPr>
        <w:pStyle w:val="58"/>
        <w:ind w:firstLine="420"/>
      </w:pPr>
      <w:r>
        <w:rPr>
          <w:rFonts w:hint="eastAsia"/>
        </w:rPr>
        <w:t xml:space="preserve">GB </w:t>
      </w:r>
      <w:r>
        <w:t>50068</w:t>
      </w:r>
      <w:r>
        <w:rPr>
          <w:rFonts w:hint="eastAsia"/>
        </w:rPr>
        <w:t xml:space="preserve"> 建筑结构可靠性设计统一标准</w:t>
      </w:r>
    </w:p>
    <w:p>
      <w:pPr>
        <w:pStyle w:val="58"/>
        <w:ind w:firstLine="420"/>
      </w:pPr>
      <w:r>
        <w:rPr>
          <w:rFonts w:hint="eastAsia"/>
        </w:rPr>
        <w:t xml:space="preserve">GB/T </w:t>
      </w:r>
      <w:r>
        <w:t>50107</w:t>
      </w:r>
      <w:r>
        <w:rPr>
          <w:rFonts w:hint="eastAsia"/>
        </w:rPr>
        <w:t xml:space="preserve"> 混凝土强度检验评定标准</w:t>
      </w:r>
    </w:p>
    <w:p>
      <w:pPr>
        <w:pStyle w:val="58"/>
        <w:ind w:firstLine="420"/>
      </w:pPr>
      <w:r>
        <w:rPr>
          <w:rFonts w:hint="eastAsia"/>
        </w:rPr>
        <w:t xml:space="preserve">GB </w:t>
      </w:r>
      <w:r>
        <w:t>50119</w:t>
      </w:r>
      <w:r>
        <w:rPr>
          <w:rFonts w:hint="eastAsia"/>
        </w:rPr>
        <w:t xml:space="preserve"> 混凝土外加剂应用技术规范</w:t>
      </w:r>
    </w:p>
    <w:p>
      <w:pPr>
        <w:pStyle w:val="58"/>
        <w:ind w:firstLine="420"/>
      </w:pPr>
      <w:r>
        <w:t xml:space="preserve">GB 50204 </w:t>
      </w:r>
      <w:r>
        <w:rPr>
          <w:rFonts w:hint="eastAsia"/>
        </w:rPr>
        <w:t>混凝土结构工程施工质量验收规范</w:t>
      </w:r>
    </w:p>
    <w:p>
      <w:pPr>
        <w:pStyle w:val="58"/>
        <w:ind w:firstLine="420"/>
      </w:pPr>
      <w:r>
        <w:t xml:space="preserve">GB 50205 </w:t>
      </w:r>
      <w:r>
        <w:rPr>
          <w:rFonts w:hint="eastAsia"/>
        </w:rPr>
        <w:t>钢结构工程施工质量验收规范</w:t>
      </w:r>
    </w:p>
    <w:p>
      <w:pPr>
        <w:pStyle w:val="58"/>
        <w:ind w:firstLine="420"/>
      </w:pPr>
      <w:r>
        <w:t xml:space="preserve">GB 50223 </w:t>
      </w:r>
      <w:r>
        <w:rPr>
          <w:rFonts w:hint="eastAsia"/>
        </w:rPr>
        <w:t>建筑工程抗震设防分类标准</w:t>
      </w:r>
    </w:p>
    <w:p>
      <w:pPr>
        <w:pStyle w:val="58"/>
        <w:ind w:firstLine="420"/>
      </w:pPr>
      <w:r>
        <w:t xml:space="preserve">GB 50300 </w:t>
      </w:r>
      <w:r>
        <w:rPr>
          <w:rFonts w:hint="eastAsia"/>
        </w:rPr>
        <w:t>建筑工程施工质量验收统一标准</w:t>
      </w:r>
    </w:p>
    <w:p>
      <w:pPr>
        <w:pStyle w:val="58"/>
        <w:ind w:firstLine="420"/>
      </w:pPr>
      <w:r>
        <w:t xml:space="preserve">GB/T 50448 </w:t>
      </w:r>
      <w:r>
        <w:rPr>
          <w:rFonts w:hint="eastAsia"/>
        </w:rPr>
        <w:t>水泥基灌浆材料应用技术规范</w:t>
      </w:r>
    </w:p>
    <w:p>
      <w:pPr>
        <w:pStyle w:val="58"/>
        <w:ind w:firstLine="420"/>
      </w:pPr>
      <w:r>
        <w:t xml:space="preserve">GB 50661 </w:t>
      </w:r>
      <w:r>
        <w:rPr>
          <w:rFonts w:hint="eastAsia"/>
        </w:rPr>
        <w:t>钢结构焊接规范</w:t>
      </w:r>
    </w:p>
    <w:p>
      <w:pPr>
        <w:pStyle w:val="58"/>
        <w:ind w:firstLine="420"/>
      </w:pPr>
      <w:r>
        <w:t xml:space="preserve">GB 50666 </w:t>
      </w:r>
      <w:r>
        <w:rPr>
          <w:rFonts w:hint="eastAsia"/>
        </w:rPr>
        <w:t>混凝土结构工程施工规范</w:t>
      </w:r>
    </w:p>
    <w:p>
      <w:pPr>
        <w:pStyle w:val="58"/>
        <w:ind w:firstLine="420"/>
      </w:pPr>
      <w:r>
        <w:t xml:space="preserve">GB 13014 </w:t>
      </w:r>
      <w:r>
        <w:rPr>
          <w:rFonts w:hint="eastAsia"/>
        </w:rPr>
        <w:t>钢筋混凝土用余热处理钢筋</w:t>
      </w:r>
    </w:p>
    <w:p>
      <w:pPr>
        <w:pStyle w:val="58"/>
        <w:ind w:firstLine="420"/>
      </w:pPr>
      <w:r>
        <w:t xml:space="preserve">GB 175 </w:t>
      </w:r>
      <w:r>
        <w:rPr>
          <w:rFonts w:hint="eastAsia"/>
        </w:rPr>
        <w:t>通用硅酸盐水泥</w:t>
      </w:r>
    </w:p>
    <w:p>
      <w:pPr>
        <w:pStyle w:val="58"/>
        <w:ind w:firstLine="420"/>
      </w:pPr>
      <w:r>
        <w:t xml:space="preserve">GB 8076 </w:t>
      </w:r>
      <w:r>
        <w:rPr>
          <w:rFonts w:hint="eastAsia"/>
        </w:rPr>
        <w:t>混凝土外加剂</w:t>
      </w:r>
    </w:p>
    <w:p>
      <w:pPr>
        <w:pStyle w:val="58"/>
        <w:ind w:firstLine="420"/>
      </w:pPr>
      <w:r>
        <w:t xml:space="preserve">GB/T 14370 </w:t>
      </w:r>
      <w:r>
        <w:rPr>
          <w:rFonts w:hint="eastAsia"/>
        </w:rPr>
        <w:t>预应力筋用锚具、夹具和连接器</w:t>
      </w:r>
    </w:p>
    <w:p>
      <w:pPr>
        <w:pStyle w:val="58"/>
        <w:ind w:firstLine="420"/>
      </w:pPr>
      <w:r>
        <w:t xml:space="preserve">GB/T 1499.1 </w:t>
      </w:r>
      <w:r>
        <w:rPr>
          <w:rFonts w:hint="eastAsia"/>
        </w:rPr>
        <w:t>钢筋混凝土用钢第1部分：热轧光圆钢筋</w:t>
      </w:r>
    </w:p>
    <w:p>
      <w:pPr>
        <w:pStyle w:val="58"/>
        <w:ind w:firstLine="420"/>
      </w:pPr>
      <w:r>
        <w:t xml:space="preserve">GB/T 1499.2 </w:t>
      </w:r>
      <w:r>
        <w:rPr>
          <w:rFonts w:hint="eastAsia"/>
        </w:rPr>
        <w:t>钢筋混凝土用钢第2部分：热轧带肋钢筋</w:t>
      </w:r>
    </w:p>
    <w:p>
      <w:pPr>
        <w:pStyle w:val="58"/>
        <w:ind w:firstLine="420"/>
      </w:pPr>
      <w:r>
        <w:t xml:space="preserve">GB/T 1596 </w:t>
      </w:r>
      <w:r>
        <w:rPr>
          <w:rFonts w:hint="eastAsia"/>
        </w:rPr>
        <w:t>用于水泥和混凝土中的粉煤灰</w:t>
      </w:r>
    </w:p>
    <w:p>
      <w:pPr>
        <w:pStyle w:val="58"/>
        <w:ind w:firstLine="420"/>
      </w:pPr>
      <w:r>
        <w:t xml:space="preserve">GB/T 18046 </w:t>
      </w:r>
      <w:r>
        <w:rPr>
          <w:rFonts w:hint="eastAsia"/>
        </w:rPr>
        <w:t>用于水泥、砂浆和混凝土中的粒化高炉矿渣粉</w:t>
      </w:r>
    </w:p>
    <w:p>
      <w:pPr>
        <w:pStyle w:val="58"/>
        <w:ind w:firstLine="420"/>
      </w:pPr>
      <w:r>
        <w:t xml:space="preserve">GB/T 51231 </w:t>
      </w:r>
      <w:r>
        <w:rPr>
          <w:rFonts w:hint="eastAsia"/>
        </w:rPr>
        <w:t>装配式混凝土建筑技术标准</w:t>
      </w:r>
    </w:p>
    <w:p>
      <w:pPr>
        <w:pStyle w:val="58"/>
        <w:ind w:firstLine="420"/>
      </w:pPr>
      <w:r>
        <w:t xml:space="preserve">GB/T 5223 </w:t>
      </w:r>
      <w:r>
        <w:rPr>
          <w:rFonts w:hint="eastAsia"/>
        </w:rPr>
        <w:t>预应力混凝土用钢丝</w:t>
      </w:r>
    </w:p>
    <w:p>
      <w:pPr>
        <w:pStyle w:val="58"/>
        <w:ind w:firstLine="420"/>
      </w:pPr>
      <w:r>
        <w:t xml:space="preserve">GB/T 5224 </w:t>
      </w:r>
      <w:r>
        <w:rPr>
          <w:rFonts w:hint="eastAsia"/>
        </w:rPr>
        <w:t>预应力混凝土用钢绞线</w:t>
      </w:r>
    </w:p>
    <w:p>
      <w:pPr>
        <w:pStyle w:val="58"/>
        <w:ind w:firstLine="420"/>
      </w:pPr>
      <w:r>
        <w:rPr>
          <w:rFonts w:hint="eastAsia"/>
        </w:rPr>
        <w:t xml:space="preserve">JGJ </w:t>
      </w:r>
      <w:r>
        <w:t>1</w:t>
      </w:r>
      <w:r>
        <w:rPr>
          <w:rFonts w:hint="eastAsia"/>
        </w:rPr>
        <w:t xml:space="preserve"> 装配式混凝土结构技术规程</w:t>
      </w:r>
    </w:p>
    <w:p>
      <w:pPr>
        <w:pStyle w:val="58"/>
        <w:ind w:firstLine="420"/>
      </w:pPr>
      <w:r>
        <w:rPr>
          <w:rFonts w:hint="eastAsia"/>
        </w:rPr>
        <w:t xml:space="preserve">JGJ </w:t>
      </w:r>
      <w:r>
        <w:t>107</w:t>
      </w:r>
      <w:r>
        <w:rPr>
          <w:rFonts w:hint="eastAsia"/>
        </w:rPr>
        <w:t xml:space="preserve"> 钢筋机械连接技术规程</w:t>
      </w:r>
    </w:p>
    <w:p>
      <w:pPr>
        <w:pStyle w:val="58"/>
        <w:ind w:firstLine="420"/>
      </w:pPr>
      <w:r>
        <w:t xml:space="preserve">JG/T 225 </w:t>
      </w:r>
      <w:r>
        <w:rPr>
          <w:rFonts w:hint="eastAsia"/>
        </w:rPr>
        <w:t>预应力混凝土用金属波纹管</w:t>
      </w:r>
    </w:p>
    <w:p>
      <w:pPr>
        <w:pStyle w:val="58"/>
        <w:ind w:firstLine="420"/>
      </w:pPr>
      <w:r>
        <w:t xml:space="preserve">JGJ 256 </w:t>
      </w:r>
      <w:r>
        <w:rPr>
          <w:rFonts w:hint="eastAsia"/>
        </w:rPr>
        <w:t>钢筋锚固板应用技术规程</w:t>
      </w:r>
    </w:p>
    <w:p>
      <w:pPr>
        <w:pStyle w:val="58"/>
        <w:ind w:firstLine="420"/>
      </w:pPr>
      <w:r>
        <w:t xml:space="preserve">JGJ 276 </w:t>
      </w:r>
      <w:r>
        <w:rPr>
          <w:rFonts w:hint="eastAsia"/>
        </w:rPr>
        <w:t>建筑施工起重吊装工程安全技术规范</w:t>
      </w:r>
    </w:p>
    <w:p>
      <w:pPr>
        <w:pStyle w:val="58"/>
        <w:ind w:firstLine="420"/>
      </w:pPr>
      <w:r>
        <w:t xml:space="preserve">JGJ 3 </w:t>
      </w:r>
      <w:r>
        <w:rPr>
          <w:rFonts w:hint="eastAsia"/>
        </w:rPr>
        <w:t>高层建筑混凝土结构技术规程</w:t>
      </w:r>
    </w:p>
    <w:p>
      <w:pPr>
        <w:pStyle w:val="58"/>
        <w:ind w:firstLine="420"/>
      </w:pPr>
      <w:r>
        <w:t xml:space="preserve">JGJ 33 </w:t>
      </w:r>
      <w:r>
        <w:rPr>
          <w:rFonts w:hint="eastAsia"/>
        </w:rPr>
        <w:t>建筑机械使用安全技术规程</w:t>
      </w:r>
    </w:p>
    <w:p>
      <w:pPr>
        <w:pStyle w:val="58"/>
        <w:ind w:firstLine="420"/>
      </w:pPr>
      <w:r>
        <w:t xml:space="preserve">JGJ 355 </w:t>
      </w:r>
      <w:r>
        <w:rPr>
          <w:rFonts w:hint="eastAsia"/>
        </w:rPr>
        <w:t>钢筋套筒灌浆连接应用技术规程</w:t>
      </w:r>
    </w:p>
    <w:p>
      <w:pPr>
        <w:pStyle w:val="58"/>
        <w:ind w:firstLine="420"/>
      </w:pPr>
      <w:r>
        <w:t xml:space="preserve">JGJ 46 </w:t>
      </w:r>
      <w:r>
        <w:rPr>
          <w:rFonts w:hint="eastAsia"/>
        </w:rPr>
        <w:t>施工现场临时用电安全技术规范</w:t>
      </w:r>
    </w:p>
    <w:p>
      <w:pPr>
        <w:pStyle w:val="58"/>
        <w:ind w:firstLine="420"/>
      </w:pPr>
      <w:r>
        <w:t xml:space="preserve">JGJ 52 </w:t>
      </w:r>
      <w:r>
        <w:rPr>
          <w:rFonts w:hint="eastAsia"/>
        </w:rPr>
        <w:t>普通混凝土用砂、石质量及检验方法标准</w:t>
      </w:r>
    </w:p>
    <w:p>
      <w:pPr>
        <w:pStyle w:val="58"/>
        <w:ind w:firstLine="420"/>
      </w:pPr>
      <w:r>
        <w:t xml:space="preserve">JGJ 55 </w:t>
      </w:r>
      <w:r>
        <w:rPr>
          <w:rFonts w:hint="eastAsia"/>
        </w:rPr>
        <w:t>普通混凝土配合比设计规程</w:t>
      </w:r>
    </w:p>
    <w:p>
      <w:pPr>
        <w:pStyle w:val="58"/>
        <w:ind w:firstLine="420"/>
      </w:pPr>
      <w:r>
        <w:t xml:space="preserve">JGJ 63 </w:t>
      </w:r>
      <w:r>
        <w:rPr>
          <w:rFonts w:hint="eastAsia"/>
        </w:rPr>
        <w:t>混凝土用水标准</w:t>
      </w:r>
    </w:p>
    <w:p>
      <w:pPr>
        <w:pStyle w:val="58"/>
        <w:ind w:firstLine="420"/>
      </w:pPr>
      <w:r>
        <w:t xml:space="preserve">JGJ 80 </w:t>
      </w:r>
      <w:r>
        <w:rPr>
          <w:rFonts w:hint="eastAsia"/>
        </w:rPr>
        <w:t>建筑施工高处作业安全技术规范</w:t>
      </w:r>
    </w:p>
    <w:p>
      <w:pPr>
        <w:pStyle w:val="58"/>
        <w:ind w:firstLine="420"/>
      </w:pPr>
      <w:r>
        <w:t xml:space="preserve">JGJ 85 </w:t>
      </w:r>
      <w:r>
        <w:rPr>
          <w:rFonts w:hint="eastAsia"/>
        </w:rPr>
        <w:t>预应力筋用锚具、夹具和连接器应用技术规程</w:t>
      </w:r>
    </w:p>
    <w:p>
      <w:pPr>
        <w:pStyle w:val="58"/>
        <w:ind w:firstLine="420"/>
      </w:pPr>
      <w:r>
        <w:t xml:space="preserve">JGJ/T 281 </w:t>
      </w:r>
      <w:r>
        <w:rPr>
          <w:rFonts w:hint="eastAsia"/>
        </w:rPr>
        <w:t>高强混凝土应用技术规程</w:t>
      </w:r>
    </w:p>
    <w:p>
      <w:pPr>
        <w:pStyle w:val="58"/>
        <w:ind w:firstLine="420"/>
      </w:pPr>
      <w:r>
        <w:t xml:space="preserve">JG/T 398 </w:t>
      </w:r>
      <w:r>
        <w:rPr>
          <w:rFonts w:hint="eastAsia"/>
        </w:rPr>
        <w:t>钢筋连接用灌浆套筒</w:t>
      </w:r>
    </w:p>
    <w:p>
      <w:pPr>
        <w:pStyle w:val="58"/>
        <w:ind w:firstLine="420"/>
      </w:pPr>
      <w:r>
        <w:t xml:space="preserve">JG/T 408 </w:t>
      </w:r>
      <w:r>
        <w:rPr>
          <w:rFonts w:hint="eastAsia"/>
        </w:rPr>
        <w:t>钢筋连接用套筒灌浆料</w:t>
      </w:r>
    </w:p>
    <w:p>
      <w:pPr>
        <w:pStyle w:val="106"/>
        <w:numPr>
          <w:ilvl w:val="0"/>
          <w:numId w:val="0"/>
        </w:numPr>
        <w:spacing w:before="312" w:after="312"/>
      </w:pPr>
      <w:bookmarkStart w:id="46" w:name="_Toc142923557"/>
      <w:bookmarkStart w:id="47" w:name="_Toc98610532"/>
      <w:r>
        <w:rPr>
          <w:rFonts w:hint="eastAsia"/>
          <w:szCs w:val="21"/>
        </w:rPr>
        <w:t>3 术语和定义</w:t>
      </w:r>
      <w:bookmarkEnd w:id="46"/>
      <w:bookmarkEnd w:id="47"/>
    </w:p>
    <w:p>
      <w:pPr>
        <w:pStyle w:val="58"/>
        <w:ind w:firstLine="420"/>
      </w:pPr>
      <w:r>
        <w:t>下列术语和定义适用于本文件</w:t>
      </w:r>
      <w:r>
        <w:rPr>
          <w:rFonts w:hint="eastAsia"/>
        </w:rPr>
        <w:t>。</w:t>
      </w:r>
    </w:p>
    <w:p>
      <w:pPr>
        <w:pStyle w:val="58"/>
        <w:ind w:firstLine="0" w:firstLineChars="0"/>
      </w:pPr>
      <w:r>
        <w:rPr>
          <w:rFonts w:hint="eastAsia" w:ascii="黑体" w:hAnsi="黑体" w:eastAsia="黑体"/>
        </w:rPr>
        <w:t>3.1</w:t>
      </w:r>
    </w:p>
    <w:p>
      <w:pPr>
        <w:pStyle w:val="225"/>
        <w:numPr>
          <w:ilvl w:val="0"/>
          <w:numId w:val="0"/>
        </w:numPr>
        <w:ind w:left="420"/>
        <w:rPr>
          <w:rFonts w:ascii="黑体" w:hAnsi="黑体" w:eastAsia="黑体"/>
        </w:rPr>
      </w:pPr>
      <w:r>
        <w:rPr>
          <w:rFonts w:hint="eastAsia" w:ascii="黑体" w:hAnsi="黑体" w:eastAsia="黑体"/>
        </w:rPr>
        <w:t xml:space="preserve">预制预应力混凝土装配整体式结构 </w:t>
      </w:r>
      <w:r>
        <w:rPr>
          <w:rFonts w:ascii="黑体" w:hAnsi="黑体" w:eastAsia="黑体"/>
        </w:rPr>
        <w:t>structures comprised of precast prestressed concrete components</w:t>
      </w:r>
    </w:p>
    <w:p>
      <w:pPr>
        <w:pStyle w:val="58"/>
        <w:ind w:firstLine="420"/>
      </w:pPr>
      <w:r>
        <w:rPr>
          <w:rFonts w:hint="eastAsia"/>
        </w:rPr>
        <w:t>采用预制预应力混凝土叠合梁和叠合板、预制或现浇钢筋混凝土柱及剪力墙、通过可靠的连接方式进行连接并与现场后浇混凝土、水泥基灌浆料形成整体的装配整体式结构。包括预制预应力混凝土装配整体式框架结构、预制预应力混凝土装配整体式框架-现浇剪力墙结构及预制混凝土装配整体式剪力墙结构。</w:t>
      </w:r>
    </w:p>
    <w:p>
      <w:pPr>
        <w:pStyle w:val="58"/>
        <w:ind w:firstLine="0" w:firstLineChars="0"/>
      </w:pPr>
      <w:r>
        <w:rPr>
          <w:rFonts w:hint="eastAsia" w:ascii="黑体" w:hAnsi="黑体" w:eastAsia="黑体"/>
        </w:rPr>
        <w:t>3.2</w:t>
      </w:r>
    </w:p>
    <w:p>
      <w:pPr>
        <w:pStyle w:val="225"/>
        <w:numPr>
          <w:ilvl w:val="0"/>
          <w:numId w:val="0"/>
        </w:numPr>
        <w:ind w:left="420"/>
        <w:rPr>
          <w:rFonts w:ascii="黑体" w:hAnsi="黑体" w:eastAsia="黑体"/>
        </w:rPr>
      </w:pPr>
      <w:r>
        <w:rPr>
          <w:rFonts w:hint="eastAsia" w:ascii="黑体" w:hAnsi="黑体" w:eastAsia="黑体"/>
        </w:rPr>
        <w:t xml:space="preserve">凹槽节点 </w:t>
      </w:r>
      <w:r>
        <w:rPr>
          <w:rFonts w:ascii="黑体" w:hAnsi="黑体" w:eastAsia="黑体"/>
        </w:rPr>
        <w:t>service hole joint</w:t>
      </w:r>
    </w:p>
    <w:p>
      <w:pPr>
        <w:pStyle w:val="58"/>
        <w:ind w:firstLine="420"/>
      </w:pPr>
      <w:r>
        <w:rPr>
          <w:rFonts w:hint="eastAsia"/>
        </w:rPr>
        <w:t>预制梁端预留凹槽，预制梁的纵筋与伸入节点的U形连接钢筋在其中搭接，使用强度等级比梁柱混凝土强度中的较大值混凝土强度等级高一级，且不低于C45的无收缩细石混凝土填平凹槽，然后利用叠合层的后浇混凝土将梁上部钢筋等浇筑在一起形成的梁柱节点。</w:t>
      </w:r>
    </w:p>
    <w:p>
      <w:pPr>
        <w:pStyle w:val="58"/>
        <w:ind w:firstLine="0" w:firstLineChars="0"/>
      </w:pPr>
      <w:r>
        <w:rPr>
          <w:rFonts w:hint="eastAsia" w:ascii="黑体" w:hAnsi="黑体" w:eastAsia="黑体"/>
        </w:rPr>
        <w:t>3.3</w:t>
      </w:r>
    </w:p>
    <w:p>
      <w:pPr>
        <w:pStyle w:val="225"/>
        <w:numPr>
          <w:ilvl w:val="0"/>
          <w:numId w:val="0"/>
        </w:numPr>
        <w:ind w:left="420"/>
        <w:rPr>
          <w:rFonts w:ascii="黑体" w:hAnsi="黑体" w:eastAsia="黑体"/>
        </w:rPr>
      </w:pPr>
      <w:r>
        <w:rPr>
          <w:rFonts w:hint="eastAsia" w:ascii="黑体" w:hAnsi="黑体" w:eastAsia="黑体"/>
        </w:rPr>
        <w:t xml:space="preserve">U形连接钢筋 </w:t>
      </w:r>
      <w:r>
        <w:rPr>
          <w:rFonts w:ascii="黑体" w:hAnsi="黑体" w:eastAsia="黑体"/>
        </w:rPr>
        <w:t>U-shaped reinforcing steel bar</w:t>
      </w:r>
    </w:p>
    <w:p>
      <w:pPr>
        <w:pStyle w:val="58"/>
        <w:ind w:firstLine="420"/>
      </w:pPr>
      <w:r>
        <w:rPr>
          <w:rFonts w:hint="eastAsia"/>
        </w:rPr>
        <w:t>在凹槽与梁柱节点内将梁、柱连成一体的钢筋。</w:t>
      </w:r>
    </w:p>
    <w:p>
      <w:pPr>
        <w:pStyle w:val="58"/>
        <w:ind w:firstLine="0" w:firstLineChars="0"/>
      </w:pPr>
      <w:r>
        <w:rPr>
          <w:rFonts w:hint="eastAsia" w:ascii="黑体" w:hAnsi="黑体" w:eastAsia="黑体"/>
        </w:rPr>
        <w:t>3.4</w:t>
      </w:r>
    </w:p>
    <w:p>
      <w:pPr>
        <w:pStyle w:val="225"/>
        <w:numPr>
          <w:ilvl w:val="0"/>
          <w:numId w:val="0"/>
        </w:numPr>
        <w:ind w:left="420"/>
        <w:rPr>
          <w:rFonts w:ascii="黑体" w:hAnsi="黑体" w:eastAsia="黑体"/>
        </w:rPr>
      </w:pPr>
      <w:r>
        <w:rPr>
          <w:rFonts w:hint="eastAsia" w:ascii="黑体" w:hAnsi="黑体" w:eastAsia="黑体"/>
        </w:rPr>
        <w:t xml:space="preserve">多层柱交叉钢筋 </w:t>
      </w:r>
      <w:r>
        <w:rPr>
          <w:rFonts w:ascii="黑体" w:hAnsi="黑体" w:eastAsia="黑体"/>
        </w:rPr>
        <w:t>diagonal reinforcements</w:t>
      </w:r>
    </w:p>
    <w:p>
      <w:pPr>
        <w:pStyle w:val="58"/>
        <w:ind w:firstLine="420"/>
      </w:pPr>
      <w:r>
        <w:rPr>
          <w:rFonts w:hint="eastAsia"/>
        </w:rPr>
        <w:t>一次成型的多层预制柱节点处设置的加强钢筋，用于保证预制柱在运输及施工阶段的承载力及刚度。</w:t>
      </w:r>
    </w:p>
    <w:p>
      <w:pPr>
        <w:pStyle w:val="58"/>
        <w:ind w:firstLine="0" w:firstLineChars="0"/>
      </w:pPr>
      <w:r>
        <w:rPr>
          <w:rFonts w:hint="eastAsia" w:ascii="黑体" w:hAnsi="黑体" w:eastAsia="黑体"/>
        </w:rPr>
        <w:t>3.5</w:t>
      </w:r>
    </w:p>
    <w:p>
      <w:pPr>
        <w:pStyle w:val="225"/>
        <w:numPr>
          <w:ilvl w:val="0"/>
          <w:numId w:val="0"/>
        </w:numPr>
        <w:ind w:left="420"/>
        <w:rPr>
          <w:rFonts w:ascii="黑体" w:hAnsi="黑体" w:eastAsia="黑体"/>
        </w:rPr>
      </w:pPr>
      <w:r>
        <w:rPr>
          <w:rFonts w:hint="eastAsia" w:ascii="黑体" w:hAnsi="黑体" w:eastAsia="黑体"/>
          <w:bCs/>
        </w:rPr>
        <w:t xml:space="preserve">集中约束搭接连接 </w:t>
      </w:r>
      <w:r>
        <w:rPr>
          <w:rFonts w:ascii="黑体" w:hAnsi="黑体" w:eastAsia="黑体"/>
          <w:bCs/>
        </w:rPr>
        <w:t>rebar bundle lapping in grout-filled hole confined with spiral hoop</w:t>
      </w:r>
    </w:p>
    <w:p>
      <w:pPr>
        <w:pStyle w:val="58"/>
        <w:ind w:firstLine="420"/>
      </w:pPr>
      <w:r>
        <w:rPr>
          <w:rFonts w:hint="eastAsia"/>
        </w:rPr>
        <w:t>在预制混凝土剪力墙构件中预留孔道，孔道外侧采用螺旋箍筋约束，在孔道中插入下层剪力墙的竖向钢筋束，并灌注水泥基灌浆料而实现的预制剪力墙竖向钢筋搭接连接方式。</w:t>
      </w:r>
    </w:p>
    <w:p>
      <w:pPr>
        <w:pStyle w:val="58"/>
        <w:ind w:firstLine="420"/>
      </w:pPr>
      <w:bookmarkStart w:id="48" w:name="_Toc98610535"/>
      <w:r>
        <w:t>下列</w:t>
      </w:r>
      <w:r>
        <w:rPr>
          <w:rFonts w:hint="eastAsia"/>
        </w:rPr>
        <w:t>符号</w:t>
      </w:r>
      <w:r>
        <w:t>适用于本文件</w:t>
      </w:r>
      <w:r>
        <w:rPr>
          <w:rFonts w:hint="eastAsia"/>
        </w:rPr>
        <w:t>。</w:t>
      </w:r>
    </w:p>
    <w:tbl>
      <w:tblPr>
        <w:tblStyle w:val="27"/>
        <w:tblW w:w="9159" w:type="dxa"/>
        <w:tblInd w:w="305" w:type="dxa"/>
        <w:tblLayout w:type="fixed"/>
        <w:tblCellMar>
          <w:top w:w="0" w:type="dxa"/>
          <w:left w:w="108" w:type="dxa"/>
          <w:bottom w:w="0" w:type="dxa"/>
          <w:right w:w="108" w:type="dxa"/>
        </w:tblCellMar>
      </w:tblPr>
      <w:tblGrid>
        <w:gridCol w:w="682"/>
        <w:gridCol w:w="709"/>
        <w:gridCol w:w="7768"/>
      </w:tblGrid>
      <w:tr>
        <w:tblPrEx>
          <w:tblCellMar>
            <w:top w:w="0" w:type="dxa"/>
            <w:left w:w="108" w:type="dxa"/>
            <w:bottom w:w="0" w:type="dxa"/>
            <w:right w:w="108" w:type="dxa"/>
          </w:tblCellMar>
        </w:tblPrEx>
        <w:trPr>
          <w:trHeight w:val="20" w:hRule="atLeast"/>
        </w:trPr>
        <w:tc>
          <w:tcPr>
            <w:tcW w:w="682" w:type="dxa"/>
            <w:vAlign w:val="center"/>
          </w:tcPr>
          <w:p>
            <w:pPr>
              <w:snapToGrid w:val="0"/>
              <w:spacing w:line="240" w:lineRule="auto"/>
              <w:jc w:val="center"/>
              <w:rPr>
                <w:rFonts w:ascii="Times New Roman" w:hAnsi="Times New Roman"/>
                <w:color w:val="000000"/>
              </w:rPr>
            </w:pPr>
            <w:bookmarkStart w:id="49" w:name="_Toc421026786"/>
            <w:r>
              <w:rPr>
                <w:rFonts w:hint="eastAsia" w:ascii="Times New Roman" w:hAnsi="Times New Roman"/>
                <w:i/>
                <w:iCs/>
                <w:color w:val="000000"/>
              </w:rPr>
              <w:t>A</w:t>
            </w:r>
            <w:bookmarkEnd w:id="49"/>
            <w:r>
              <w:rPr>
                <w:rFonts w:hint="eastAsia" w:ascii="Times New Roman" w:hAnsi="Times New Roman"/>
                <w:color w:val="000000"/>
                <w:vertAlign w:val="subscript"/>
              </w:rPr>
              <w:t>sd</w:t>
            </w:r>
          </w:p>
        </w:tc>
        <w:tc>
          <w:tcPr>
            <w:tcW w:w="709" w:type="dxa"/>
            <w:vAlign w:val="center"/>
          </w:tcPr>
          <w:p>
            <w:pPr>
              <w:snapToGrid w:val="0"/>
              <w:spacing w:line="240" w:lineRule="auto"/>
              <w:jc w:val="center"/>
              <w:rPr>
                <w:rFonts w:ascii="Times New Roman" w:hAnsi="Times New Roman"/>
                <w:color w:val="000000"/>
              </w:rPr>
            </w:pPr>
            <w:r>
              <w:rPr>
                <w:rFonts w:ascii="Times New Roman" w:hAnsi="Times New Roman"/>
                <w:color w:val="000000"/>
              </w:rPr>
              <w:t>——</w:t>
            </w:r>
          </w:p>
        </w:tc>
        <w:tc>
          <w:tcPr>
            <w:tcW w:w="7768" w:type="dxa"/>
            <w:vAlign w:val="center"/>
          </w:tcPr>
          <w:p>
            <w:pPr>
              <w:snapToGrid w:val="0"/>
              <w:spacing w:line="240" w:lineRule="auto"/>
              <w:rPr>
                <w:rFonts w:ascii="Times New Roman" w:hAnsi="Times New Roman"/>
                <w:color w:val="000000"/>
              </w:rPr>
            </w:pPr>
            <w:r>
              <w:rPr>
                <w:rFonts w:ascii="Times New Roman" w:hAnsi="Times New Roman"/>
                <w:color w:val="000000"/>
              </w:rPr>
              <w:t>垂直穿过结合面的抗剪钢筋面积；</w:t>
            </w:r>
          </w:p>
        </w:tc>
      </w:tr>
      <w:tr>
        <w:tblPrEx>
          <w:tblCellMar>
            <w:top w:w="0" w:type="dxa"/>
            <w:left w:w="108" w:type="dxa"/>
            <w:bottom w:w="0" w:type="dxa"/>
            <w:right w:w="108" w:type="dxa"/>
          </w:tblCellMar>
        </w:tblPrEx>
        <w:trPr>
          <w:trHeight w:val="20" w:hRule="atLeast"/>
        </w:trPr>
        <w:tc>
          <w:tcPr>
            <w:tcW w:w="682" w:type="dxa"/>
            <w:vAlign w:val="center"/>
          </w:tcPr>
          <w:p>
            <w:pPr>
              <w:snapToGrid w:val="0"/>
              <w:spacing w:line="240" w:lineRule="auto"/>
              <w:jc w:val="center"/>
              <w:rPr>
                <w:rFonts w:ascii="Times New Roman" w:hAnsi="Times New Roman"/>
                <w:color w:val="000000"/>
                <w:position w:val="-12"/>
              </w:rPr>
            </w:pPr>
            <w:r>
              <w:rPr>
                <w:rFonts w:hint="eastAsia" w:ascii="Times New Roman" w:hAnsi="Times New Roman"/>
                <w:i/>
                <w:iCs/>
                <w:color w:val="000000"/>
                <w:position w:val="-12"/>
              </w:rPr>
              <w:t>f</w:t>
            </w:r>
            <w:r>
              <w:rPr>
                <w:rFonts w:hint="eastAsia" w:ascii="Times New Roman" w:hAnsi="Times New Roman"/>
                <w:color w:val="000000"/>
                <w:position w:val="-12"/>
                <w:vertAlign w:val="subscript"/>
              </w:rPr>
              <w:t>ptk</w:t>
            </w:r>
          </w:p>
        </w:tc>
        <w:tc>
          <w:tcPr>
            <w:tcW w:w="709" w:type="dxa"/>
            <w:vAlign w:val="center"/>
          </w:tcPr>
          <w:p>
            <w:pPr>
              <w:snapToGrid w:val="0"/>
              <w:spacing w:line="240" w:lineRule="auto"/>
              <w:jc w:val="center"/>
              <w:rPr>
                <w:rFonts w:ascii="Times New Roman" w:hAnsi="Times New Roman"/>
                <w:color w:val="000000"/>
              </w:rPr>
            </w:pPr>
            <w:r>
              <w:rPr>
                <w:rFonts w:ascii="Times New Roman" w:hAnsi="Times New Roman"/>
                <w:color w:val="000000"/>
              </w:rPr>
              <w:t>——</w:t>
            </w:r>
          </w:p>
        </w:tc>
        <w:tc>
          <w:tcPr>
            <w:tcW w:w="7768" w:type="dxa"/>
            <w:vAlign w:val="center"/>
          </w:tcPr>
          <w:p>
            <w:pPr>
              <w:snapToGrid w:val="0"/>
              <w:spacing w:line="240" w:lineRule="auto"/>
              <w:rPr>
                <w:rFonts w:ascii="Times New Roman" w:hAnsi="Times New Roman"/>
                <w:color w:val="000000"/>
              </w:rPr>
            </w:pPr>
            <w:r>
              <w:rPr>
                <w:rFonts w:ascii="Times New Roman" w:hAnsi="Times New Roman"/>
                <w:color w:val="000000"/>
              </w:rPr>
              <w:t>预应力筋的抗拉强度标准值；</w:t>
            </w:r>
          </w:p>
        </w:tc>
      </w:tr>
      <w:tr>
        <w:tblPrEx>
          <w:tblCellMar>
            <w:top w:w="0" w:type="dxa"/>
            <w:left w:w="108" w:type="dxa"/>
            <w:bottom w:w="0" w:type="dxa"/>
            <w:right w:w="108" w:type="dxa"/>
          </w:tblCellMar>
        </w:tblPrEx>
        <w:trPr>
          <w:trHeight w:val="20" w:hRule="atLeast"/>
        </w:trPr>
        <w:tc>
          <w:tcPr>
            <w:tcW w:w="682" w:type="dxa"/>
            <w:vAlign w:val="center"/>
          </w:tcPr>
          <w:p>
            <w:pPr>
              <w:snapToGrid w:val="0"/>
              <w:spacing w:line="240" w:lineRule="auto"/>
              <w:jc w:val="center"/>
              <w:rPr>
                <w:rFonts w:ascii="Times New Roman" w:hAnsi="Times New Roman"/>
                <w:color w:val="000000"/>
                <w:position w:val="-12"/>
              </w:rPr>
            </w:pPr>
            <w:r>
              <w:rPr>
                <w:rFonts w:ascii="Times New Roman" w:hAnsi="Times New Roman"/>
                <w:i/>
                <w:iCs/>
              </w:rPr>
              <w:t>m</w:t>
            </w:r>
          </w:p>
        </w:tc>
        <w:tc>
          <w:tcPr>
            <w:tcW w:w="709" w:type="dxa"/>
            <w:vAlign w:val="center"/>
          </w:tcPr>
          <w:p>
            <w:pPr>
              <w:adjustRightInd/>
              <w:spacing w:line="240" w:lineRule="auto"/>
              <w:ind w:left="53" w:hanging="52" w:hangingChars="25"/>
              <w:jc w:val="center"/>
              <w:textAlignment w:val="center"/>
              <w:outlineLvl w:val="2"/>
              <w:rPr>
                <w:rFonts w:ascii="Times New Roman" w:hAnsi="Times New Roman"/>
                <w:color w:val="000000"/>
              </w:rPr>
            </w:pPr>
            <w:bookmarkStart w:id="50" w:name="_Toc142923558"/>
            <w:r>
              <w:rPr>
                <w:rFonts w:ascii="Times New Roman" w:hAnsi="Times New Roman"/>
              </w:rPr>
              <w:t>——</w:t>
            </w:r>
            <w:bookmarkEnd w:id="50"/>
          </w:p>
        </w:tc>
        <w:tc>
          <w:tcPr>
            <w:tcW w:w="7768" w:type="dxa"/>
            <w:vAlign w:val="center"/>
          </w:tcPr>
          <w:p>
            <w:pPr>
              <w:snapToGrid w:val="0"/>
              <w:spacing w:line="240" w:lineRule="auto"/>
              <w:rPr>
                <w:rFonts w:ascii="Times New Roman" w:hAnsi="Times New Roman"/>
                <w:color w:val="000000"/>
              </w:rPr>
            </w:pPr>
            <w:r>
              <w:rPr>
                <w:rFonts w:ascii="Times New Roman" w:hAnsi="Times New Roman"/>
                <w:color w:val="000000"/>
              </w:rPr>
              <w:t>参与组合的永久荷载数；</w:t>
            </w:r>
          </w:p>
        </w:tc>
      </w:tr>
      <w:tr>
        <w:tblPrEx>
          <w:tblCellMar>
            <w:top w:w="0" w:type="dxa"/>
            <w:left w:w="108" w:type="dxa"/>
            <w:bottom w:w="0" w:type="dxa"/>
            <w:right w:w="108" w:type="dxa"/>
          </w:tblCellMar>
        </w:tblPrEx>
        <w:trPr>
          <w:trHeight w:val="20" w:hRule="atLeast"/>
        </w:trPr>
        <w:tc>
          <w:tcPr>
            <w:tcW w:w="682" w:type="dxa"/>
            <w:vAlign w:val="center"/>
          </w:tcPr>
          <w:p>
            <w:pPr>
              <w:snapToGrid w:val="0"/>
              <w:spacing w:line="240" w:lineRule="auto"/>
              <w:jc w:val="center"/>
              <w:rPr>
                <w:rFonts w:ascii="Times New Roman" w:hAnsi="Times New Roman"/>
                <w:i/>
                <w:iCs/>
                <w:color w:val="000000"/>
                <w:position w:val="-12"/>
              </w:rPr>
            </w:pPr>
            <w:r>
              <w:rPr>
                <w:rFonts w:ascii="Times New Roman" w:hAnsi="Times New Roman"/>
                <w:i/>
                <w:iCs/>
                <w:color w:val="000000"/>
                <w:position w:val="-12"/>
              </w:rPr>
              <w:t>n</w:t>
            </w:r>
          </w:p>
        </w:tc>
        <w:tc>
          <w:tcPr>
            <w:tcW w:w="709" w:type="dxa"/>
            <w:vAlign w:val="center"/>
          </w:tcPr>
          <w:p>
            <w:pPr>
              <w:adjustRightInd/>
              <w:spacing w:line="240" w:lineRule="auto"/>
              <w:jc w:val="center"/>
              <w:textAlignment w:val="center"/>
              <w:outlineLvl w:val="2"/>
              <w:rPr>
                <w:rFonts w:ascii="Times New Roman" w:hAnsi="Times New Roman"/>
              </w:rPr>
            </w:pPr>
            <w:bookmarkStart w:id="51" w:name="_Toc142923559"/>
            <w:r>
              <w:rPr>
                <w:rFonts w:ascii="Times New Roman" w:hAnsi="Times New Roman"/>
              </w:rPr>
              <w:t>——</w:t>
            </w:r>
            <w:bookmarkEnd w:id="51"/>
          </w:p>
        </w:tc>
        <w:tc>
          <w:tcPr>
            <w:tcW w:w="7768" w:type="dxa"/>
            <w:vAlign w:val="center"/>
          </w:tcPr>
          <w:p>
            <w:pPr>
              <w:snapToGrid w:val="0"/>
              <w:spacing w:line="240" w:lineRule="auto"/>
              <w:rPr>
                <w:rFonts w:ascii="Times New Roman" w:hAnsi="Times New Roman"/>
              </w:rPr>
            </w:pPr>
            <w:r>
              <w:rPr>
                <w:rFonts w:ascii="Times New Roman" w:hAnsi="Times New Roman"/>
                <w:color w:val="000000"/>
              </w:rPr>
              <w:t>参与组合的可变荷载数；</w:t>
            </w:r>
          </w:p>
        </w:tc>
      </w:tr>
      <w:tr>
        <w:tblPrEx>
          <w:tblCellMar>
            <w:top w:w="0" w:type="dxa"/>
            <w:left w:w="108" w:type="dxa"/>
            <w:bottom w:w="0" w:type="dxa"/>
            <w:right w:w="108" w:type="dxa"/>
          </w:tblCellMar>
        </w:tblPrEx>
        <w:trPr>
          <w:trHeight w:val="20" w:hRule="atLeast"/>
        </w:trPr>
        <w:tc>
          <w:tcPr>
            <w:tcW w:w="682" w:type="dxa"/>
            <w:vAlign w:val="center"/>
          </w:tcPr>
          <w:p>
            <w:pPr>
              <w:snapToGrid w:val="0"/>
              <w:spacing w:line="240" w:lineRule="auto"/>
              <w:jc w:val="center"/>
              <w:rPr>
                <w:rFonts w:ascii="Times New Roman" w:hAnsi="Times New Roman"/>
                <w:i/>
                <w:iCs/>
              </w:rPr>
            </w:pPr>
            <w:r>
              <w:rPr>
                <w:rFonts w:ascii="Times New Roman" w:hAnsi="Times New Roman"/>
                <w:i/>
                <w:iCs/>
              </w:rPr>
              <w:t>R</w:t>
            </w:r>
          </w:p>
        </w:tc>
        <w:tc>
          <w:tcPr>
            <w:tcW w:w="709" w:type="dxa"/>
            <w:vAlign w:val="center"/>
          </w:tcPr>
          <w:p>
            <w:pPr>
              <w:adjustRightInd/>
              <w:spacing w:line="240" w:lineRule="auto"/>
              <w:ind w:left="53" w:hanging="52" w:hangingChars="25"/>
              <w:jc w:val="center"/>
              <w:textAlignment w:val="center"/>
              <w:outlineLvl w:val="2"/>
              <w:rPr>
                <w:rFonts w:ascii="Times New Roman" w:hAnsi="Times New Roman"/>
              </w:rPr>
            </w:pPr>
            <w:bookmarkStart w:id="52" w:name="_Toc142923560"/>
            <w:r>
              <w:rPr>
                <w:rFonts w:ascii="Times New Roman" w:hAnsi="Times New Roman"/>
              </w:rPr>
              <w:t>——</w:t>
            </w:r>
            <w:bookmarkEnd w:id="52"/>
          </w:p>
        </w:tc>
        <w:tc>
          <w:tcPr>
            <w:tcW w:w="7768" w:type="dxa"/>
            <w:vAlign w:val="center"/>
          </w:tcPr>
          <w:p>
            <w:pPr>
              <w:adjustRightInd/>
              <w:spacing w:line="240" w:lineRule="auto"/>
              <w:textAlignment w:val="center"/>
              <w:outlineLvl w:val="2"/>
              <w:rPr>
                <w:rFonts w:ascii="Times New Roman" w:hAnsi="Times New Roman"/>
              </w:rPr>
            </w:pPr>
            <w:bookmarkStart w:id="53" w:name="_Toc142923561"/>
            <w:bookmarkStart w:id="54" w:name="_Toc421026788"/>
            <w:r>
              <w:rPr>
                <w:rFonts w:ascii="Times New Roman" w:hAnsi="Times New Roman"/>
                <w:color w:val="000000"/>
              </w:rPr>
              <w:t>结构构件抗力设计值；</w:t>
            </w:r>
            <w:bookmarkEnd w:id="53"/>
            <w:bookmarkEnd w:id="54"/>
          </w:p>
        </w:tc>
      </w:tr>
      <w:tr>
        <w:tblPrEx>
          <w:tblCellMar>
            <w:top w:w="0" w:type="dxa"/>
            <w:left w:w="108" w:type="dxa"/>
            <w:bottom w:w="0" w:type="dxa"/>
            <w:right w:w="108" w:type="dxa"/>
          </w:tblCellMar>
        </w:tblPrEx>
        <w:trPr>
          <w:trHeight w:val="20" w:hRule="atLeast"/>
        </w:trPr>
        <w:tc>
          <w:tcPr>
            <w:tcW w:w="682" w:type="dxa"/>
            <w:vAlign w:val="center"/>
          </w:tcPr>
          <w:p>
            <w:pPr>
              <w:snapToGrid w:val="0"/>
              <w:spacing w:line="240" w:lineRule="auto"/>
              <w:jc w:val="center"/>
              <w:rPr>
                <w:rFonts w:ascii="Times New Roman" w:hAnsi="Times New Roman"/>
                <w:vertAlign w:val="subscript"/>
              </w:rPr>
            </w:pPr>
            <w:r>
              <w:rPr>
                <w:rFonts w:hint="eastAsia" w:ascii="Times New Roman" w:hAnsi="Times New Roman"/>
                <w:i/>
                <w:iCs/>
              </w:rPr>
              <w:t>S</w:t>
            </w:r>
            <w:r>
              <w:rPr>
                <w:rFonts w:hint="eastAsia" w:ascii="Times New Roman" w:hAnsi="Times New Roman"/>
                <w:vertAlign w:val="subscript"/>
              </w:rPr>
              <w:t>Ehk</w:t>
            </w:r>
          </w:p>
        </w:tc>
        <w:tc>
          <w:tcPr>
            <w:tcW w:w="709" w:type="dxa"/>
            <w:vAlign w:val="center"/>
          </w:tcPr>
          <w:p>
            <w:pPr>
              <w:adjustRightInd/>
              <w:spacing w:line="240" w:lineRule="auto"/>
              <w:ind w:left="53" w:hanging="52" w:hangingChars="25"/>
              <w:jc w:val="center"/>
              <w:textAlignment w:val="center"/>
              <w:outlineLvl w:val="2"/>
              <w:rPr>
                <w:rFonts w:ascii="Times New Roman" w:hAnsi="Times New Roman"/>
              </w:rPr>
            </w:pPr>
            <w:bookmarkStart w:id="55" w:name="_Toc142923562"/>
            <w:r>
              <w:rPr>
                <w:rFonts w:ascii="Times New Roman" w:hAnsi="Times New Roman"/>
              </w:rPr>
              <w:t>——</w:t>
            </w:r>
            <w:bookmarkEnd w:id="55"/>
          </w:p>
        </w:tc>
        <w:tc>
          <w:tcPr>
            <w:tcW w:w="7768" w:type="dxa"/>
            <w:vAlign w:val="center"/>
          </w:tcPr>
          <w:p>
            <w:pPr>
              <w:adjustRightInd/>
              <w:spacing w:line="240" w:lineRule="auto"/>
              <w:textAlignment w:val="center"/>
              <w:outlineLvl w:val="2"/>
              <w:rPr>
                <w:rFonts w:ascii="Times New Roman" w:hAnsi="Times New Roman"/>
              </w:rPr>
            </w:pPr>
            <w:bookmarkStart w:id="56" w:name="_Toc142923563"/>
            <w:r>
              <w:rPr>
                <w:rFonts w:ascii="Times New Roman" w:hAnsi="Times New Roman"/>
                <w:color w:val="000000"/>
              </w:rPr>
              <w:t>水平地震作用标准值的效应；</w:t>
            </w:r>
            <w:bookmarkEnd w:id="56"/>
          </w:p>
        </w:tc>
      </w:tr>
      <w:tr>
        <w:tblPrEx>
          <w:tblCellMar>
            <w:top w:w="0" w:type="dxa"/>
            <w:left w:w="108" w:type="dxa"/>
            <w:bottom w:w="0" w:type="dxa"/>
            <w:right w:w="108" w:type="dxa"/>
          </w:tblCellMar>
        </w:tblPrEx>
        <w:trPr>
          <w:trHeight w:val="20" w:hRule="atLeast"/>
        </w:trPr>
        <w:tc>
          <w:tcPr>
            <w:tcW w:w="682" w:type="dxa"/>
            <w:vAlign w:val="center"/>
          </w:tcPr>
          <w:p>
            <w:pPr>
              <w:snapToGrid w:val="0"/>
              <w:spacing w:line="240" w:lineRule="auto"/>
              <w:jc w:val="center"/>
              <w:rPr>
                <w:rFonts w:ascii="Times New Roman" w:hAnsi="Times New Roman"/>
                <w:color w:val="000000"/>
                <w:position w:val="-12"/>
                <w:vertAlign w:val="subscript"/>
              </w:rPr>
            </w:pPr>
            <w:r>
              <w:rPr>
                <w:rFonts w:hint="eastAsia" w:ascii="Times New Roman" w:hAnsi="Times New Roman"/>
                <w:i/>
                <w:iCs/>
                <w:color w:val="000000"/>
                <w:position w:val="-12"/>
              </w:rPr>
              <w:t>S</w:t>
            </w:r>
            <w:r>
              <w:rPr>
                <w:rFonts w:hint="eastAsia" w:ascii="Times New Roman" w:hAnsi="Times New Roman"/>
                <w:color w:val="000000"/>
                <w:position w:val="-12"/>
                <w:vertAlign w:val="subscript"/>
              </w:rPr>
              <w:t>G1k</w:t>
            </w:r>
          </w:p>
        </w:tc>
        <w:tc>
          <w:tcPr>
            <w:tcW w:w="709" w:type="dxa"/>
            <w:vAlign w:val="center"/>
          </w:tcPr>
          <w:p>
            <w:pPr>
              <w:adjustRightInd/>
              <w:spacing w:line="240" w:lineRule="auto"/>
              <w:ind w:left="53" w:hanging="52" w:hangingChars="25"/>
              <w:jc w:val="center"/>
              <w:textAlignment w:val="center"/>
              <w:outlineLvl w:val="2"/>
              <w:rPr>
                <w:rFonts w:ascii="Times New Roman" w:hAnsi="Times New Roman"/>
              </w:rPr>
            </w:pPr>
            <w:bookmarkStart w:id="57" w:name="_Toc142923564"/>
            <w:r>
              <w:rPr>
                <w:rFonts w:ascii="Times New Roman" w:hAnsi="Times New Roman"/>
              </w:rPr>
              <w:t>——</w:t>
            </w:r>
            <w:bookmarkEnd w:id="57"/>
          </w:p>
        </w:tc>
        <w:tc>
          <w:tcPr>
            <w:tcW w:w="7768" w:type="dxa"/>
            <w:vAlign w:val="center"/>
          </w:tcPr>
          <w:p>
            <w:pPr>
              <w:adjustRightInd/>
              <w:spacing w:line="240" w:lineRule="auto"/>
              <w:textAlignment w:val="center"/>
              <w:rPr>
                <w:rFonts w:ascii="Times New Roman" w:hAnsi="Times New Roman"/>
                <w:color w:val="000000"/>
              </w:rPr>
            </w:pPr>
            <w:r>
              <w:rPr>
                <w:rFonts w:ascii="Times New Roman" w:hAnsi="Times New Roman"/>
                <w:color w:val="000000"/>
              </w:rPr>
              <w:t>按预制构件自重荷载标准值</w:t>
            </w:r>
            <w:r>
              <w:rPr>
                <w:rFonts w:hint="eastAsia" w:ascii="Times New Roman" w:hAnsi="Times New Roman"/>
                <w:i/>
                <w:iCs/>
                <w:color w:val="000000"/>
              </w:rPr>
              <w:t>G</w:t>
            </w:r>
            <w:r>
              <w:rPr>
                <w:rFonts w:hint="eastAsia" w:ascii="Times New Roman" w:hAnsi="Times New Roman"/>
                <w:color w:val="000000"/>
                <w:vertAlign w:val="subscript"/>
              </w:rPr>
              <w:t>1k</w:t>
            </w:r>
            <w:r>
              <w:rPr>
                <w:rFonts w:ascii="Times New Roman" w:hAnsi="Times New Roman"/>
                <w:color w:val="000000"/>
              </w:rPr>
              <w:t>计算的荷载效应值；</w:t>
            </w:r>
          </w:p>
        </w:tc>
      </w:tr>
      <w:tr>
        <w:tblPrEx>
          <w:tblCellMar>
            <w:top w:w="0" w:type="dxa"/>
            <w:left w:w="108" w:type="dxa"/>
            <w:bottom w:w="0" w:type="dxa"/>
            <w:right w:w="108" w:type="dxa"/>
          </w:tblCellMar>
        </w:tblPrEx>
        <w:trPr>
          <w:trHeight w:val="20" w:hRule="atLeast"/>
        </w:trPr>
        <w:tc>
          <w:tcPr>
            <w:tcW w:w="682" w:type="dxa"/>
            <w:vAlign w:val="center"/>
          </w:tcPr>
          <w:p>
            <w:pPr>
              <w:snapToGrid w:val="0"/>
              <w:spacing w:line="240" w:lineRule="auto"/>
              <w:jc w:val="center"/>
              <w:rPr>
                <w:rFonts w:ascii="Times New Roman" w:hAnsi="Times New Roman"/>
                <w:color w:val="000000"/>
                <w:position w:val="-12"/>
              </w:rPr>
            </w:pPr>
            <w:r>
              <w:rPr>
                <w:rFonts w:hint="eastAsia" w:ascii="Times New Roman" w:hAnsi="Times New Roman"/>
                <w:i/>
                <w:iCs/>
                <w:color w:val="000000"/>
                <w:position w:val="-12"/>
              </w:rPr>
              <w:t>S</w:t>
            </w:r>
            <w:r>
              <w:rPr>
                <w:rFonts w:hint="eastAsia" w:ascii="Times New Roman" w:hAnsi="Times New Roman"/>
                <w:color w:val="000000"/>
                <w:position w:val="-12"/>
                <w:vertAlign w:val="subscript"/>
              </w:rPr>
              <w:t>G2k</w:t>
            </w:r>
          </w:p>
        </w:tc>
        <w:tc>
          <w:tcPr>
            <w:tcW w:w="709" w:type="dxa"/>
            <w:vAlign w:val="center"/>
          </w:tcPr>
          <w:p>
            <w:pPr>
              <w:adjustRightInd/>
              <w:spacing w:line="240" w:lineRule="auto"/>
              <w:ind w:left="53" w:hanging="52" w:hangingChars="25"/>
              <w:jc w:val="center"/>
              <w:textAlignment w:val="center"/>
              <w:outlineLvl w:val="2"/>
              <w:rPr>
                <w:rFonts w:ascii="Times New Roman" w:hAnsi="Times New Roman"/>
              </w:rPr>
            </w:pPr>
            <w:bookmarkStart w:id="58" w:name="_Toc142923565"/>
            <w:r>
              <w:rPr>
                <w:rFonts w:ascii="Times New Roman" w:hAnsi="Times New Roman"/>
              </w:rPr>
              <w:t>——</w:t>
            </w:r>
            <w:bookmarkEnd w:id="58"/>
          </w:p>
        </w:tc>
        <w:tc>
          <w:tcPr>
            <w:tcW w:w="7768" w:type="dxa"/>
            <w:vAlign w:val="center"/>
          </w:tcPr>
          <w:p>
            <w:pPr>
              <w:snapToGrid w:val="0"/>
              <w:spacing w:line="240" w:lineRule="auto"/>
              <w:rPr>
                <w:rFonts w:ascii="Times New Roman" w:hAnsi="Times New Roman"/>
                <w:color w:val="000000"/>
              </w:rPr>
            </w:pPr>
            <w:r>
              <w:rPr>
                <w:rFonts w:ascii="Times New Roman" w:hAnsi="Times New Roman"/>
                <w:color w:val="000000"/>
              </w:rPr>
              <w:t>按叠合层自重荷载标准值计算的荷载效应值；</w:t>
            </w:r>
          </w:p>
        </w:tc>
      </w:tr>
      <w:tr>
        <w:tblPrEx>
          <w:tblCellMar>
            <w:top w:w="0" w:type="dxa"/>
            <w:left w:w="108" w:type="dxa"/>
            <w:bottom w:w="0" w:type="dxa"/>
            <w:right w:w="108" w:type="dxa"/>
          </w:tblCellMar>
        </w:tblPrEx>
        <w:trPr>
          <w:trHeight w:val="20" w:hRule="atLeast"/>
        </w:trPr>
        <w:tc>
          <w:tcPr>
            <w:tcW w:w="682" w:type="dxa"/>
            <w:vAlign w:val="center"/>
          </w:tcPr>
          <w:p>
            <w:pPr>
              <w:snapToGrid w:val="0"/>
              <w:spacing w:line="240" w:lineRule="auto"/>
              <w:jc w:val="center"/>
              <w:rPr>
                <w:rFonts w:ascii="Times New Roman" w:hAnsi="Times New Roman"/>
                <w:color w:val="000000"/>
                <w:position w:val="-12"/>
              </w:rPr>
            </w:pPr>
            <w:r>
              <w:rPr>
                <w:rFonts w:hint="eastAsia" w:ascii="Times New Roman" w:hAnsi="Times New Roman"/>
                <w:i/>
                <w:iCs/>
                <w:color w:val="000000"/>
                <w:position w:val="-12"/>
              </w:rPr>
              <w:t>S</w:t>
            </w:r>
            <w:r>
              <w:rPr>
                <w:rFonts w:hint="eastAsia" w:ascii="Times New Roman" w:hAnsi="Times New Roman"/>
                <w:color w:val="000000"/>
                <w:position w:val="-12"/>
                <w:vertAlign w:val="subscript"/>
              </w:rPr>
              <w:t>GE</w:t>
            </w:r>
          </w:p>
        </w:tc>
        <w:tc>
          <w:tcPr>
            <w:tcW w:w="709" w:type="dxa"/>
            <w:vAlign w:val="center"/>
          </w:tcPr>
          <w:p>
            <w:pPr>
              <w:adjustRightInd/>
              <w:spacing w:line="240" w:lineRule="auto"/>
              <w:ind w:left="53" w:hanging="52" w:hangingChars="25"/>
              <w:jc w:val="center"/>
              <w:textAlignment w:val="center"/>
              <w:outlineLvl w:val="2"/>
              <w:rPr>
                <w:rFonts w:ascii="Times New Roman" w:hAnsi="Times New Roman"/>
              </w:rPr>
            </w:pPr>
            <w:bookmarkStart w:id="59" w:name="_Toc142923566"/>
            <w:r>
              <w:rPr>
                <w:rFonts w:ascii="Times New Roman" w:hAnsi="Times New Roman"/>
              </w:rPr>
              <w:t>——</w:t>
            </w:r>
            <w:bookmarkEnd w:id="59"/>
          </w:p>
        </w:tc>
        <w:tc>
          <w:tcPr>
            <w:tcW w:w="7768" w:type="dxa"/>
            <w:vAlign w:val="center"/>
          </w:tcPr>
          <w:p>
            <w:pPr>
              <w:snapToGrid w:val="0"/>
              <w:spacing w:line="240" w:lineRule="auto"/>
              <w:rPr>
                <w:rFonts w:ascii="Times New Roman" w:hAnsi="Times New Roman"/>
                <w:color w:val="000000"/>
              </w:rPr>
            </w:pPr>
            <w:r>
              <w:rPr>
                <w:rFonts w:ascii="Times New Roman" w:hAnsi="Times New Roman"/>
                <w:color w:val="000000"/>
              </w:rPr>
              <w:t>重力荷载代表值的效应；</w:t>
            </w:r>
          </w:p>
        </w:tc>
      </w:tr>
      <w:tr>
        <w:tblPrEx>
          <w:tblCellMar>
            <w:top w:w="0" w:type="dxa"/>
            <w:left w:w="108" w:type="dxa"/>
            <w:bottom w:w="0" w:type="dxa"/>
            <w:right w:w="108" w:type="dxa"/>
          </w:tblCellMar>
        </w:tblPrEx>
        <w:trPr>
          <w:trHeight w:val="20" w:hRule="atLeast"/>
        </w:trPr>
        <w:tc>
          <w:tcPr>
            <w:tcW w:w="682" w:type="dxa"/>
            <w:vAlign w:val="center"/>
          </w:tcPr>
          <w:p>
            <w:pPr>
              <w:snapToGrid w:val="0"/>
              <w:spacing w:line="240" w:lineRule="auto"/>
              <w:jc w:val="center"/>
              <w:rPr>
                <w:rFonts w:ascii="Times New Roman" w:hAnsi="Times New Roman"/>
                <w:color w:val="000000"/>
                <w:position w:val="-12"/>
              </w:rPr>
            </w:pPr>
            <w:r>
              <w:rPr>
                <w:rFonts w:hint="eastAsia" w:ascii="Times New Roman" w:hAnsi="Times New Roman"/>
                <w:i/>
                <w:iCs/>
                <w:color w:val="000000"/>
                <w:position w:val="-12"/>
              </w:rPr>
              <w:t>S</w:t>
            </w:r>
            <w:r>
              <w:rPr>
                <w:rFonts w:hint="eastAsia" w:ascii="Times New Roman" w:hAnsi="Times New Roman"/>
                <w:color w:val="000000"/>
                <w:position w:val="-12"/>
                <w:vertAlign w:val="subscript"/>
              </w:rPr>
              <w:t>G</w:t>
            </w:r>
            <w:r>
              <w:rPr>
                <w:rFonts w:hint="eastAsia" w:ascii="Times New Roman" w:hAnsi="Times New Roman"/>
                <w:i/>
                <w:iCs/>
                <w:color w:val="000000"/>
                <w:position w:val="-12"/>
                <w:vertAlign w:val="subscript"/>
              </w:rPr>
              <w:t>j</w:t>
            </w:r>
            <w:r>
              <w:rPr>
                <w:rFonts w:hint="eastAsia" w:ascii="Times New Roman" w:hAnsi="Times New Roman"/>
                <w:color w:val="000000"/>
                <w:position w:val="-12"/>
                <w:vertAlign w:val="subscript"/>
              </w:rPr>
              <w:t>k</w:t>
            </w:r>
          </w:p>
        </w:tc>
        <w:tc>
          <w:tcPr>
            <w:tcW w:w="709" w:type="dxa"/>
            <w:vAlign w:val="center"/>
          </w:tcPr>
          <w:p>
            <w:pPr>
              <w:adjustRightInd/>
              <w:spacing w:line="240" w:lineRule="auto"/>
              <w:ind w:left="53" w:hanging="52" w:hangingChars="25"/>
              <w:jc w:val="center"/>
              <w:textAlignment w:val="center"/>
              <w:outlineLvl w:val="2"/>
              <w:rPr>
                <w:rFonts w:ascii="Times New Roman" w:hAnsi="Times New Roman"/>
              </w:rPr>
            </w:pPr>
            <w:bookmarkStart w:id="60" w:name="_Toc142923567"/>
            <w:r>
              <w:rPr>
                <w:rFonts w:ascii="Times New Roman" w:hAnsi="Times New Roman"/>
              </w:rPr>
              <w:t>——</w:t>
            </w:r>
            <w:bookmarkEnd w:id="60"/>
          </w:p>
        </w:tc>
        <w:tc>
          <w:tcPr>
            <w:tcW w:w="7768" w:type="dxa"/>
            <w:vAlign w:val="center"/>
          </w:tcPr>
          <w:p>
            <w:pPr>
              <w:snapToGrid w:val="0"/>
              <w:spacing w:line="240" w:lineRule="auto"/>
              <w:rPr>
                <w:rFonts w:ascii="Times New Roman" w:hAnsi="Times New Roman"/>
                <w:color w:val="000000"/>
              </w:rPr>
            </w:pPr>
            <w:r>
              <w:rPr>
                <w:rFonts w:ascii="Times New Roman" w:hAnsi="Times New Roman"/>
                <w:color w:val="000000"/>
              </w:rPr>
              <w:t>按第</w:t>
            </w:r>
            <w:r>
              <w:rPr>
                <w:rFonts w:ascii="Times New Roman" w:hAnsi="Times New Roman"/>
                <w:i/>
                <w:iCs/>
                <w:color w:val="000000"/>
              </w:rPr>
              <w:t>j</w:t>
            </w:r>
            <w:r>
              <w:rPr>
                <w:rFonts w:ascii="Times New Roman" w:hAnsi="Times New Roman"/>
                <w:color w:val="000000"/>
              </w:rPr>
              <w:t>个永久荷载标准值</w:t>
            </w:r>
            <w:r>
              <w:rPr>
                <w:rFonts w:ascii="Times New Roman" w:hAnsi="Times New Roman"/>
                <w:i/>
                <w:iCs/>
                <w:color w:val="000000"/>
              </w:rPr>
              <w:t>G</w:t>
            </w:r>
            <w:r>
              <w:rPr>
                <w:rFonts w:ascii="Times New Roman" w:hAnsi="Times New Roman"/>
                <w:i/>
                <w:iCs/>
                <w:color w:val="000000"/>
                <w:vertAlign w:val="subscript"/>
              </w:rPr>
              <w:t>jk</w:t>
            </w:r>
            <w:r>
              <w:rPr>
                <w:rFonts w:ascii="Times New Roman" w:hAnsi="Times New Roman"/>
                <w:color w:val="000000"/>
              </w:rPr>
              <w:t>计算的荷载效应值；</w:t>
            </w:r>
          </w:p>
        </w:tc>
      </w:tr>
      <w:tr>
        <w:tblPrEx>
          <w:tblCellMar>
            <w:top w:w="0" w:type="dxa"/>
            <w:left w:w="108" w:type="dxa"/>
            <w:bottom w:w="0" w:type="dxa"/>
            <w:right w:w="108" w:type="dxa"/>
          </w:tblCellMar>
        </w:tblPrEx>
        <w:trPr>
          <w:trHeight w:val="20" w:hRule="atLeast"/>
        </w:trPr>
        <w:tc>
          <w:tcPr>
            <w:tcW w:w="682" w:type="dxa"/>
            <w:vAlign w:val="center"/>
          </w:tcPr>
          <w:p>
            <w:pPr>
              <w:snapToGrid w:val="0"/>
              <w:spacing w:line="240" w:lineRule="auto"/>
              <w:jc w:val="center"/>
              <w:rPr>
                <w:rFonts w:ascii="Times New Roman" w:hAnsi="Times New Roman"/>
              </w:rPr>
            </w:pPr>
            <w:r>
              <w:rPr>
                <w:rFonts w:hint="eastAsia" w:ascii="Times New Roman" w:hAnsi="Times New Roman"/>
                <w:i/>
                <w:iCs/>
                <w:color w:val="000000"/>
                <w:position w:val="-12"/>
              </w:rPr>
              <w:t>S</w:t>
            </w:r>
            <w:r>
              <w:rPr>
                <w:rFonts w:hint="eastAsia" w:ascii="Times New Roman" w:hAnsi="Times New Roman"/>
                <w:color w:val="000000"/>
                <w:position w:val="-12"/>
                <w:vertAlign w:val="subscript"/>
              </w:rPr>
              <w:t>Qk</w:t>
            </w:r>
          </w:p>
        </w:tc>
        <w:tc>
          <w:tcPr>
            <w:tcW w:w="709" w:type="dxa"/>
            <w:vAlign w:val="center"/>
          </w:tcPr>
          <w:p>
            <w:pPr>
              <w:adjustRightInd/>
              <w:spacing w:line="240" w:lineRule="auto"/>
              <w:ind w:left="53" w:hanging="52" w:hangingChars="25"/>
              <w:jc w:val="center"/>
              <w:textAlignment w:val="center"/>
              <w:outlineLvl w:val="2"/>
              <w:rPr>
                <w:rFonts w:ascii="Times New Roman" w:hAnsi="Times New Roman"/>
              </w:rPr>
            </w:pPr>
            <w:bookmarkStart w:id="61" w:name="_Toc142923568"/>
            <w:r>
              <w:rPr>
                <w:rFonts w:ascii="Times New Roman" w:hAnsi="Times New Roman"/>
              </w:rPr>
              <w:t>——</w:t>
            </w:r>
            <w:bookmarkEnd w:id="61"/>
          </w:p>
        </w:tc>
        <w:tc>
          <w:tcPr>
            <w:tcW w:w="7768" w:type="dxa"/>
            <w:vAlign w:val="center"/>
          </w:tcPr>
          <w:p>
            <w:pPr>
              <w:adjustRightInd/>
              <w:spacing w:line="240" w:lineRule="auto"/>
              <w:textAlignment w:val="center"/>
              <w:rPr>
                <w:rFonts w:ascii="Times New Roman" w:hAnsi="Times New Roman"/>
              </w:rPr>
            </w:pPr>
            <w:r>
              <w:rPr>
                <w:rFonts w:ascii="Times New Roman" w:hAnsi="Times New Roman"/>
                <w:color w:val="000000"/>
              </w:rPr>
              <w:t>按施工活荷载标准值</w:t>
            </w:r>
            <w:r>
              <w:rPr>
                <w:rFonts w:hint="eastAsia" w:ascii="Times New Roman" w:hAnsi="Times New Roman"/>
                <w:i/>
                <w:iCs/>
              </w:rPr>
              <w:t>Q</w:t>
            </w:r>
            <w:r>
              <w:rPr>
                <w:rFonts w:ascii="Times New Roman" w:hAnsi="Times New Roman"/>
                <w:vertAlign w:val="subscript"/>
              </w:rPr>
              <w:t>k</w:t>
            </w:r>
            <w:r>
              <w:rPr>
                <w:rFonts w:ascii="Times New Roman" w:hAnsi="Times New Roman"/>
              </w:rPr>
              <w:t>计算的荷载效应值；</w:t>
            </w:r>
          </w:p>
        </w:tc>
      </w:tr>
      <w:tr>
        <w:tblPrEx>
          <w:tblCellMar>
            <w:top w:w="0" w:type="dxa"/>
            <w:left w:w="108" w:type="dxa"/>
            <w:bottom w:w="0" w:type="dxa"/>
            <w:right w:w="108" w:type="dxa"/>
          </w:tblCellMar>
        </w:tblPrEx>
        <w:trPr>
          <w:trHeight w:val="493" w:hRule="atLeast"/>
        </w:trPr>
        <w:tc>
          <w:tcPr>
            <w:tcW w:w="682" w:type="dxa"/>
            <w:vAlign w:val="center"/>
          </w:tcPr>
          <w:p>
            <w:pPr>
              <w:snapToGrid w:val="0"/>
              <w:spacing w:line="240" w:lineRule="auto"/>
              <w:jc w:val="center"/>
              <w:rPr>
                <w:rFonts w:ascii="Times New Roman" w:hAnsi="Times New Roman"/>
                <w:color w:val="000000"/>
                <w:position w:val="-12"/>
              </w:rPr>
            </w:pPr>
            <w:r>
              <w:rPr>
                <w:rFonts w:hint="eastAsia" w:ascii="Times New Roman" w:hAnsi="Times New Roman"/>
                <w:i/>
                <w:iCs/>
                <w:color w:val="000000"/>
                <w:position w:val="-12"/>
              </w:rPr>
              <w:t>S</w:t>
            </w:r>
            <w:r>
              <w:rPr>
                <w:rFonts w:hint="eastAsia" w:ascii="Times New Roman" w:hAnsi="Times New Roman"/>
                <w:color w:val="000000"/>
                <w:position w:val="-12"/>
                <w:vertAlign w:val="subscript"/>
              </w:rPr>
              <w:t>Q</w:t>
            </w:r>
            <w:r>
              <w:rPr>
                <w:rFonts w:hint="eastAsia" w:ascii="Times New Roman" w:hAnsi="Times New Roman"/>
                <w:i/>
                <w:iCs/>
                <w:color w:val="000000"/>
                <w:position w:val="-12"/>
                <w:vertAlign w:val="subscript"/>
              </w:rPr>
              <w:t>i</w:t>
            </w:r>
            <w:r>
              <w:rPr>
                <w:rFonts w:hint="eastAsia" w:ascii="Times New Roman" w:hAnsi="Times New Roman"/>
                <w:color w:val="000000"/>
                <w:position w:val="-12"/>
                <w:vertAlign w:val="subscript"/>
              </w:rPr>
              <w:t>k</w:t>
            </w:r>
          </w:p>
        </w:tc>
        <w:tc>
          <w:tcPr>
            <w:tcW w:w="709" w:type="dxa"/>
            <w:vAlign w:val="center"/>
          </w:tcPr>
          <w:p>
            <w:pPr>
              <w:adjustRightInd/>
              <w:spacing w:line="240" w:lineRule="auto"/>
              <w:ind w:left="53" w:hanging="52" w:hangingChars="25"/>
              <w:jc w:val="center"/>
              <w:textAlignment w:val="center"/>
              <w:outlineLvl w:val="2"/>
              <w:rPr>
                <w:rFonts w:ascii="Times New Roman" w:hAnsi="Times New Roman"/>
              </w:rPr>
            </w:pPr>
            <w:bookmarkStart w:id="62" w:name="_Toc142923569"/>
            <w:r>
              <w:rPr>
                <w:rFonts w:ascii="Times New Roman" w:hAnsi="Times New Roman"/>
              </w:rPr>
              <w:t>——</w:t>
            </w:r>
            <w:bookmarkEnd w:id="62"/>
          </w:p>
        </w:tc>
        <w:tc>
          <w:tcPr>
            <w:tcW w:w="7768" w:type="dxa"/>
            <w:vAlign w:val="center"/>
          </w:tcPr>
          <w:p>
            <w:pPr>
              <w:pStyle w:val="58"/>
              <w:ind w:firstLine="0" w:firstLineChars="0"/>
              <w:rPr>
                <w:rFonts w:ascii="Times New Roman"/>
                <w:color w:val="000000"/>
                <w:szCs w:val="21"/>
              </w:rPr>
            </w:pPr>
            <w:r>
              <w:t>按第</w:t>
            </w:r>
            <w:r>
              <w:rPr>
                <w:rFonts w:ascii="Times New Roman"/>
                <w:i/>
                <w:iCs/>
              </w:rPr>
              <w:t>i</w:t>
            </w:r>
            <w:r>
              <w:t>个可变荷载标准值</w:t>
            </w:r>
            <w:r>
              <w:rPr>
                <w:rFonts w:hint="eastAsia" w:ascii="Times New Roman"/>
                <w:i/>
                <w:iCs/>
              </w:rPr>
              <w:t>Q</w:t>
            </w:r>
            <w:r>
              <w:rPr>
                <w:rFonts w:ascii="Times New Roman"/>
                <w:i/>
                <w:iCs/>
                <w:vertAlign w:val="subscript"/>
              </w:rPr>
              <w:t>ik</w:t>
            </w:r>
            <w:r>
              <w:t>计算的荷载效应值，其中</w:t>
            </w:r>
            <w:r>
              <w:rPr>
                <w:rFonts w:ascii="Times New Roman"/>
                <w:i/>
                <w:iCs/>
              </w:rPr>
              <w:t>S</w:t>
            </w:r>
            <w:r>
              <w:rPr>
                <w:rFonts w:ascii="Times New Roman"/>
                <w:vertAlign w:val="subscript"/>
              </w:rPr>
              <w:t>Q</w:t>
            </w:r>
            <w:r>
              <w:rPr>
                <w:rFonts w:ascii="Times New Roman"/>
                <w:i/>
                <w:iCs/>
                <w:vertAlign w:val="subscript"/>
              </w:rPr>
              <w:t>i</w:t>
            </w:r>
            <w:r>
              <w:rPr>
                <w:rFonts w:ascii="Times New Roman"/>
                <w:vertAlign w:val="subscript"/>
              </w:rPr>
              <w:t>k</w:t>
            </w:r>
            <w:r>
              <w:t>为诸可变荷载效应中起控制作用者；</w:t>
            </w:r>
          </w:p>
        </w:tc>
      </w:tr>
      <w:tr>
        <w:tblPrEx>
          <w:tblCellMar>
            <w:top w:w="0" w:type="dxa"/>
            <w:left w:w="108" w:type="dxa"/>
            <w:bottom w:w="0" w:type="dxa"/>
            <w:right w:w="108" w:type="dxa"/>
          </w:tblCellMar>
        </w:tblPrEx>
        <w:trPr>
          <w:trHeight w:val="20" w:hRule="atLeast"/>
        </w:trPr>
        <w:tc>
          <w:tcPr>
            <w:tcW w:w="682" w:type="dxa"/>
            <w:vAlign w:val="center"/>
          </w:tcPr>
          <w:p>
            <w:pPr>
              <w:snapToGrid w:val="0"/>
              <w:spacing w:line="240" w:lineRule="auto"/>
              <w:jc w:val="center"/>
              <w:rPr>
                <w:rFonts w:ascii="Times New Roman" w:hAnsi="Times New Roman"/>
                <w:color w:val="000000"/>
                <w:position w:val="-12"/>
              </w:rPr>
            </w:pPr>
            <w:r>
              <w:rPr>
                <w:rFonts w:hint="eastAsia" w:ascii="Times New Roman" w:hAnsi="Times New Roman"/>
                <w:i/>
                <w:iCs/>
                <w:color w:val="000000"/>
                <w:position w:val="-12"/>
              </w:rPr>
              <w:t>S</w:t>
            </w:r>
            <w:r>
              <w:rPr>
                <w:rFonts w:hint="eastAsia" w:ascii="Times New Roman" w:hAnsi="Times New Roman"/>
                <w:color w:val="000000"/>
                <w:position w:val="-12"/>
                <w:vertAlign w:val="subscript"/>
              </w:rPr>
              <w:t>wk</w:t>
            </w:r>
          </w:p>
        </w:tc>
        <w:tc>
          <w:tcPr>
            <w:tcW w:w="709" w:type="dxa"/>
            <w:vAlign w:val="center"/>
          </w:tcPr>
          <w:p>
            <w:pPr>
              <w:adjustRightInd/>
              <w:spacing w:line="240" w:lineRule="auto"/>
              <w:ind w:left="53" w:hanging="52" w:hangingChars="25"/>
              <w:jc w:val="center"/>
              <w:textAlignment w:val="center"/>
              <w:outlineLvl w:val="2"/>
              <w:rPr>
                <w:rFonts w:ascii="Times New Roman" w:hAnsi="Times New Roman"/>
              </w:rPr>
            </w:pPr>
            <w:bookmarkStart w:id="63" w:name="_Toc142923570"/>
            <w:r>
              <w:rPr>
                <w:rFonts w:ascii="Times New Roman" w:hAnsi="Times New Roman"/>
              </w:rPr>
              <w:t>——</w:t>
            </w:r>
            <w:bookmarkEnd w:id="63"/>
          </w:p>
        </w:tc>
        <w:tc>
          <w:tcPr>
            <w:tcW w:w="7768" w:type="dxa"/>
            <w:vAlign w:val="center"/>
          </w:tcPr>
          <w:p>
            <w:pPr>
              <w:snapToGrid w:val="0"/>
              <w:spacing w:line="240" w:lineRule="auto"/>
              <w:rPr>
                <w:rFonts w:ascii="Times New Roman" w:hAnsi="Times New Roman"/>
                <w:color w:val="000000"/>
              </w:rPr>
            </w:pPr>
            <w:r>
              <w:rPr>
                <w:rFonts w:ascii="Times New Roman" w:hAnsi="Times New Roman"/>
                <w:color w:val="000000"/>
              </w:rPr>
              <w:t>风荷载标准值的效应；</w:t>
            </w:r>
          </w:p>
        </w:tc>
      </w:tr>
      <w:tr>
        <w:tblPrEx>
          <w:tblCellMar>
            <w:top w:w="0" w:type="dxa"/>
            <w:left w:w="108" w:type="dxa"/>
            <w:bottom w:w="0" w:type="dxa"/>
            <w:right w:w="108" w:type="dxa"/>
          </w:tblCellMar>
        </w:tblPrEx>
        <w:trPr>
          <w:trHeight w:val="20" w:hRule="atLeast"/>
        </w:trPr>
        <w:tc>
          <w:tcPr>
            <w:tcW w:w="682" w:type="dxa"/>
            <w:vAlign w:val="center"/>
          </w:tcPr>
          <w:p>
            <w:pPr>
              <w:snapToGrid w:val="0"/>
              <w:spacing w:line="240" w:lineRule="auto"/>
              <w:jc w:val="center"/>
              <w:rPr>
                <w:rFonts w:ascii="Times New Roman" w:hAnsi="Times New Roman"/>
              </w:rPr>
            </w:pPr>
            <w:r>
              <w:rPr>
                <w:rFonts w:ascii="Times New Roman" w:hAnsi="Times New Roman"/>
                <w:i/>
                <w:iCs/>
                <w:color w:val="000000"/>
              </w:rPr>
              <w:t>α</w:t>
            </w:r>
          </w:p>
        </w:tc>
        <w:tc>
          <w:tcPr>
            <w:tcW w:w="709" w:type="dxa"/>
            <w:vAlign w:val="center"/>
          </w:tcPr>
          <w:p>
            <w:pPr>
              <w:adjustRightInd/>
              <w:spacing w:line="240" w:lineRule="auto"/>
              <w:jc w:val="center"/>
              <w:textAlignment w:val="center"/>
              <w:rPr>
                <w:rFonts w:ascii="Times New Roman" w:hAnsi="Times New Roman"/>
              </w:rPr>
            </w:pPr>
            <w:r>
              <w:rPr>
                <w:rFonts w:ascii="Times New Roman" w:hAnsi="Times New Roman"/>
              </w:rPr>
              <w:t>——</w:t>
            </w:r>
          </w:p>
        </w:tc>
        <w:tc>
          <w:tcPr>
            <w:tcW w:w="7768" w:type="dxa"/>
            <w:vAlign w:val="center"/>
          </w:tcPr>
          <w:p>
            <w:pPr>
              <w:snapToGrid w:val="0"/>
              <w:spacing w:line="240" w:lineRule="auto"/>
              <w:rPr>
                <w:rFonts w:ascii="Times New Roman" w:hAnsi="Times New Roman"/>
                <w:color w:val="000000"/>
              </w:rPr>
            </w:pPr>
            <w:r>
              <w:rPr>
                <w:rFonts w:ascii="Times New Roman" w:hAnsi="Times New Roman"/>
                <w:color w:val="000000"/>
              </w:rPr>
              <w:t>脱模吸附系数或动力系数；</w:t>
            </w:r>
          </w:p>
        </w:tc>
      </w:tr>
      <w:tr>
        <w:tblPrEx>
          <w:tblCellMar>
            <w:top w:w="0" w:type="dxa"/>
            <w:left w:w="108" w:type="dxa"/>
            <w:bottom w:w="0" w:type="dxa"/>
            <w:right w:w="108" w:type="dxa"/>
          </w:tblCellMar>
        </w:tblPrEx>
        <w:trPr>
          <w:trHeight w:val="20" w:hRule="atLeast"/>
        </w:trPr>
        <w:tc>
          <w:tcPr>
            <w:tcW w:w="682" w:type="dxa"/>
            <w:vAlign w:val="center"/>
          </w:tcPr>
          <w:p>
            <w:pPr>
              <w:snapToGrid w:val="0"/>
              <w:spacing w:line="240" w:lineRule="auto"/>
              <w:jc w:val="center"/>
              <w:rPr>
                <w:rFonts w:ascii="Times New Roman" w:hAnsi="Times New Roman"/>
              </w:rPr>
            </w:pPr>
            <w:r>
              <w:rPr>
                <w:rFonts w:ascii="Times New Roman" w:hAnsi="Times New Roman"/>
                <w:i/>
                <w:iCs/>
                <w:color w:val="000000"/>
                <w:sz w:val="28"/>
                <w:szCs w:val="28"/>
              </w:rPr>
              <w:t>γ</w:t>
            </w:r>
            <w:r>
              <w:rPr>
                <w:rFonts w:hint="eastAsia" w:ascii="Times New Roman" w:hAnsi="Times New Roman"/>
                <w:color w:val="000000"/>
                <w:vertAlign w:val="subscript"/>
              </w:rPr>
              <w:t>0</w:t>
            </w:r>
          </w:p>
        </w:tc>
        <w:tc>
          <w:tcPr>
            <w:tcW w:w="709" w:type="dxa"/>
            <w:vAlign w:val="center"/>
          </w:tcPr>
          <w:p>
            <w:pPr>
              <w:adjustRightInd/>
              <w:spacing w:line="240" w:lineRule="auto"/>
              <w:jc w:val="center"/>
              <w:textAlignment w:val="center"/>
              <w:rPr>
                <w:rFonts w:ascii="Times New Roman" w:hAnsi="Times New Roman"/>
              </w:rPr>
            </w:pPr>
            <w:r>
              <w:rPr>
                <w:rFonts w:ascii="Times New Roman" w:hAnsi="Times New Roman"/>
              </w:rPr>
              <w:t>——</w:t>
            </w:r>
          </w:p>
        </w:tc>
        <w:tc>
          <w:tcPr>
            <w:tcW w:w="7768" w:type="dxa"/>
            <w:vAlign w:val="center"/>
          </w:tcPr>
          <w:p>
            <w:pPr>
              <w:snapToGrid w:val="0"/>
              <w:spacing w:line="240" w:lineRule="auto"/>
              <w:rPr>
                <w:rFonts w:ascii="Times New Roman" w:hAnsi="Times New Roman"/>
                <w:color w:val="000000"/>
              </w:rPr>
            </w:pPr>
            <w:r>
              <w:rPr>
                <w:rFonts w:ascii="Times New Roman" w:hAnsi="Times New Roman"/>
                <w:color w:val="000000"/>
              </w:rPr>
              <w:t>结构的重要性系数；</w:t>
            </w:r>
          </w:p>
        </w:tc>
      </w:tr>
      <w:tr>
        <w:tblPrEx>
          <w:tblCellMar>
            <w:top w:w="0" w:type="dxa"/>
            <w:left w:w="108" w:type="dxa"/>
            <w:bottom w:w="0" w:type="dxa"/>
            <w:right w:w="108" w:type="dxa"/>
          </w:tblCellMar>
        </w:tblPrEx>
        <w:trPr>
          <w:trHeight w:val="20" w:hRule="atLeast"/>
        </w:trPr>
        <w:tc>
          <w:tcPr>
            <w:tcW w:w="682" w:type="dxa"/>
            <w:vAlign w:val="center"/>
          </w:tcPr>
          <w:p>
            <w:pPr>
              <w:snapToGrid w:val="0"/>
              <w:spacing w:line="240" w:lineRule="auto"/>
              <w:jc w:val="center"/>
              <w:rPr>
                <w:rFonts w:ascii="Times New Roman" w:hAnsi="Times New Roman"/>
              </w:rPr>
            </w:pPr>
            <w:r>
              <w:rPr>
                <w:rFonts w:ascii="Times New Roman" w:hAnsi="Times New Roman"/>
                <w:i/>
                <w:iCs/>
                <w:color w:val="000000"/>
                <w:sz w:val="28"/>
                <w:szCs w:val="28"/>
              </w:rPr>
              <w:t>γ</w:t>
            </w:r>
            <w:r>
              <w:rPr>
                <w:rFonts w:ascii="Times New Roman" w:hAnsi="Times New Roman"/>
                <w:color w:val="000000"/>
                <w:vertAlign w:val="subscript"/>
              </w:rPr>
              <w:t>Eh</w:t>
            </w:r>
          </w:p>
        </w:tc>
        <w:tc>
          <w:tcPr>
            <w:tcW w:w="709" w:type="dxa"/>
            <w:vAlign w:val="center"/>
          </w:tcPr>
          <w:p>
            <w:pPr>
              <w:adjustRightInd/>
              <w:spacing w:line="240" w:lineRule="auto"/>
              <w:ind w:left="53" w:hanging="52" w:hangingChars="25"/>
              <w:jc w:val="center"/>
              <w:textAlignment w:val="center"/>
              <w:outlineLvl w:val="2"/>
              <w:rPr>
                <w:rFonts w:ascii="Times New Roman" w:hAnsi="Times New Roman"/>
              </w:rPr>
            </w:pPr>
            <w:bookmarkStart w:id="64" w:name="_Toc142923571"/>
            <w:r>
              <w:rPr>
                <w:rFonts w:ascii="Times New Roman" w:hAnsi="Times New Roman"/>
              </w:rPr>
              <w:t>——</w:t>
            </w:r>
            <w:bookmarkEnd w:id="64"/>
          </w:p>
        </w:tc>
        <w:tc>
          <w:tcPr>
            <w:tcW w:w="7768" w:type="dxa"/>
            <w:vAlign w:val="center"/>
          </w:tcPr>
          <w:p>
            <w:pPr>
              <w:snapToGrid w:val="0"/>
              <w:spacing w:line="240" w:lineRule="auto"/>
              <w:rPr>
                <w:rFonts w:ascii="Times New Roman" w:hAnsi="Times New Roman"/>
                <w:color w:val="000000"/>
              </w:rPr>
            </w:pPr>
            <w:r>
              <w:rPr>
                <w:rFonts w:ascii="Times New Roman" w:hAnsi="Times New Roman"/>
                <w:color w:val="000000"/>
              </w:rPr>
              <w:t>水平地震作用分项系数；</w:t>
            </w:r>
          </w:p>
        </w:tc>
      </w:tr>
      <w:tr>
        <w:tblPrEx>
          <w:tblCellMar>
            <w:top w:w="0" w:type="dxa"/>
            <w:left w:w="108" w:type="dxa"/>
            <w:bottom w:w="0" w:type="dxa"/>
            <w:right w:w="108" w:type="dxa"/>
          </w:tblCellMar>
        </w:tblPrEx>
        <w:trPr>
          <w:trHeight w:val="20" w:hRule="atLeast"/>
        </w:trPr>
        <w:tc>
          <w:tcPr>
            <w:tcW w:w="682" w:type="dxa"/>
            <w:vAlign w:val="center"/>
          </w:tcPr>
          <w:p>
            <w:pPr>
              <w:snapToGrid w:val="0"/>
              <w:spacing w:line="240" w:lineRule="auto"/>
              <w:jc w:val="center"/>
              <w:rPr>
                <w:rFonts w:ascii="Times New Roman" w:hAnsi="Times New Roman"/>
                <w:color w:val="000000"/>
                <w:position w:val="-12"/>
              </w:rPr>
            </w:pPr>
            <w:r>
              <w:rPr>
                <w:rFonts w:ascii="Times New Roman" w:hAnsi="Times New Roman"/>
                <w:i/>
                <w:iCs/>
                <w:color w:val="000000"/>
                <w:sz w:val="28"/>
                <w:szCs w:val="28"/>
              </w:rPr>
              <w:t>γ</w:t>
            </w:r>
            <w:r>
              <w:rPr>
                <w:rFonts w:ascii="Times New Roman" w:hAnsi="Times New Roman"/>
                <w:color w:val="000000"/>
                <w:vertAlign w:val="subscript"/>
              </w:rPr>
              <w:t>G</w:t>
            </w:r>
          </w:p>
        </w:tc>
        <w:tc>
          <w:tcPr>
            <w:tcW w:w="709" w:type="dxa"/>
            <w:vAlign w:val="center"/>
          </w:tcPr>
          <w:p>
            <w:pPr>
              <w:adjustRightInd/>
              <w:spacing w:line="240" w:lineRule="auto"/>
              <w:ind w:left="53" w:hanging="52" w:hangingChars="25"/>
              <w:jc w:val="center"/>
              <w:textAlignment w:val="center"/>
              <w:outlineLvl w:val="2"/>
              <w:rPr>
                <w:rFonts w:ascii="Times New Roman" w:hAnsi="Times New Roman"/>
              </w:rPr>
            </w:pPr>
            <w:bookmarkStart w:id="65" w:name="_Toc142923572"/>
            <w:r>
              <w:rPr>
                <w:rFonts w:ascii="Times New Roman" w:hAnsi="Times New Roman"/>
              </w:rPr>
              <w:t>——</w:t>
            </w:r>
            <w:bookmarkEnd w:id="65"/>
          </w:p>
        </w:tc>
        <w:tc>
          <w:tcPr>
            <w:tcW w:w="7768" w:type="dxa"/>
            <w:vAlign w:val="center"/>
          </w:tcPr>
          <w:p>
            <w:pPr>
              <w:snapToGrid w:val="0"/>
              <w:spacing w:line="240" w:lineRule="auto"/>
              <w:rPr>
                <w:rFonts w:ascii="Times New Roman" w:hAnsi="Times New Roman"/>
                <w:color w:val="000000"/>
              </w:rPr>
            </w:pPr>
            <w:r>
              <w:rPr>
                <w:rFonts w:ascii="Times New Roman" w:hAnsi="Times New Roman"/>
                <w:color w:val="000000"/>
              </w:rPr>
              <w:t xml:space="preserve">永久荷载分项系数； </w:t>
            </w:r>
          </w:p>
        </w:tc>
      </w:tr>
      <w:tr>
        <w:tblPrEx>
          <w:tblCellMar>
            <w:top w:w="0" w:type="dxa"/>
            <w:left w:w="108" w:type="dxa"/>
            <w:bottom w:w="0" w:type="dxa"/>
            <w:right w:w="108" w:type="dxa"/>
          </w:tblCellMar>
        </w:tblPrEx>
        <w:trPr>
          <w:trHeight w:val="20" w:hRule="atLeast"/>
        </w:trPr>
        <w:tc>
          <w:tcPr>
            <w:tcW w:w="682" w:type="dxa"/>
            <w:vAlign w:val="center"/>
          </w:tcPr>
          <w:p>
            <w:pPr>
              <w:snapToGrid w:val="0"/>
              <w:spacing w:line="240" w:lineRule="auto"/>
              <w:jc w:val="center"/>
              <w:rPr>
                <w:rFonts w:ascii="Times New Roman" w:hAnsi="Times New Roman"/>
              </w:rPr>
            </w:pPr>
            <w:r>
              <w:rPr>
                <w:rFonts w:ascii="Times New Roman" w:hAnsi="Times New Roman"/>
                <w:i/>
                <w:iCs/>
                <w:color w:val="000000"/>
                <w:sz w:val="28"/>
                <w:szCs w:val="28"/>
              </w:rPr>
              <w:t>γ</w:t>
            </w:r>
            <w:r>
              <w:rPr>
                <w:rFonts w:ascii="Times New Roman" w:hAnsi="Times New Roman"/>
                <w:color w:val="000000"/>
                <w:vertAlign w:val="subscript"/>
              </w:rPr>
              <w:t>G</w:t>
            </w:r>
            <w:r>
              <w:rPr>
                <w:rFonts w:ascii="Times New Roman" w:hAnsi="Times New Roman"/>
                <w:i/>
                <w:iCs/>
                <w:color w:val="000000"/>
                <w:vertAlign w:val="subscript"/>
              </w:rPr>
              <w:t>j</w:t>
            </w:r>
          </w:p>
        </w:tc>
        <w:tc>
          <w:tcPr>
            <w:tcW w:w="709" w:type="dxa"/>
            <w:vAlign w:val="center"/>
          </w:tcPr>
          <w:p>
            <w:pPr>
              <w:adjustRightInd/>
              <w:spacing w:line="240" w:lineRule="auto"/>
              <w:ind w:left="53" w:hanging="52" w:hangingChars="25"/>
              <w:jc w:val="center"/>
              <w:textAlignment w:val="center"/>
              <w:outlineLvl w:val="2"/>
              <w:rPr>
                <w:rFonts w:ascii="Times New Roman" w:hAnsi="Times New Roman"/>
              </w:rPr>
            </w:pPr>
            <w:bookmarkStart w:id="66" w:name="_Toc142923573"/>
            <w:r>
              <w:rPr>
                <w:rFonts w:ascii="Times New Roman" w:hAnsi="Times New Roman"/>
              </w:rPr>
              <w:t>——</w:t>
            </w:r>
            <w:bookmarkEnd w:id="66"/>
          </w:p>
        </w:tc>
        <w:tc>
          <w:tcPr>
            <w:tcW w:w="7768" w:type="dxa"/>
            <w:vAlign w:val="center"/>
          </w:tcPr>
          <w:p>
            <w:pPr>
              <w:snapToGrid w:val="0"/>
              <w:spacing w:line="240" w:lineRule="auto"/>
              <w:rPr>
                <w:rFonts w:ascii="Times New Roman" w:hAnsi="Times New Roman"/>
              </w:rPr>
            </w:pPr>
            <w:r>
              <w:rPr>
                <w:rFonts w:ascii="Times New Roman" w:hAnsi="Times New Roman"/>
                <w:color w:val="000000"/>
              </w:rPr>
              <w:t>第</w:t>
            </w:r>
            <w:r>
              <w:rPr>
                <w:rFonts w:ascii="Times New Roman" w:hAnsi="Times New Roman"/>
                <w:i/>
                <w:iCs/>
                <w:color w:val="000000"/>
              </w:rPr>
              <w:t>j</w:t>
            </w:r>
            <w:r>
              <w:rPr>
                <w:rFonts w:ascii="Times New Roman" w:hAnsi="Times New Roman"/>
                <w:color w:val="000000"/>
              </w:rPr>
              <w:t>个永久荷载的分项系数；</w:t>
            </w:r>
            <w:r>
              <w:rPr>
                <w:rFonts w:ascii="Times New Roman" w:hAnsi="Times New Roman"/>
                <w:i/>
                <w:iCs/>
                <w:color w:val="000000"/>
                <w:vertAlign w:val="subscript"/>
              </w:rPr>
              <w:t xml:space="preserve">  </w:t>
            </w:r>
          </w:p>
        </w:tc>
      </w:tr>
      <w:tr>
        <w:tblPrEx>
          <w:tblCellMar>
            <w:top w:w="0" w:type="dxa"/>
            <w:left w:w="108" w:type="dxa"/>
            <w:bottom w:w="0" w:type="dxa"/>
            <w:right w:w="108" w:type="dxa"/>
          </w:tblCellMar>
        </w:tblPrEx>
        <w:trPr>
          <w:trHeight w:val="587" w:hRule="atLeast"/>
        </w:trPr>
        <w:tc>
          <w:tcPr>
            <w:tcW w:w="682" w:type="dxa"/>
            <w:vAlign w:val="center"/>
          </w:tcPr>
          <w:p>
            <w:pPr>
              <w:snapToGrid w:val="0"/>
              <w:spacing w:line="240" w:lineRule="auto"/>
              <w:jc w:val="center"/>
              <w:rPr>
                <w:rFonts w:ascii="Times New Roman" w:hAnsi="Times New Roman"/>
              </w:rPr>
            </w:pPr>
            <w:r>
              <w:rPr>
                <w:rFonts w:ascii="Times New Roman" w:hAnsi="Times New Roman"/>
                <w:i/>
                <w:iCs/>
                <w:color w:val="000000"/>
                <w:sz w:val="28"/>
                <w:szCs w:val="28"/>
              </w:rPr>
              <w:t>γ</w:t>
            </w:r>
            <w:r>
              <w:rPr>
                <w:rFonts w:ascii="Times New Roman"/>
                <w:color w:val="000000"/>
                <w:vertAlign w:val="subscript"/>
              </w:rPr>
              <w:t>L</w:t>
            </w:r>
            <w:r>
              <w:rPr>
                <w:rFonts w:ascii="Times New Roman"/>
                <w:i/>
                <w:iCs/>
                <w:color w:val="000000"/>
                <w:vertAlign w:val="subscript"/>
              </w:rPr>
              <w:t>i</w:t>
            </w:r>
          </w:p>
        </w:tc>
        <w:tc>
          <w:tcPr>
            <w:tcW w:w="709" w:type="dxa"/>
            <w:vAlign w:val="center"/>
          </w:tcPr>
          <w:p>
            <w:pPr>
              <w:adjustRightInd/>
              <w:spacing w:line="240" w:lineRule="auto"/>
              <w:ind w:left="53" w:hanging="52" w:hangingChars="25"/>
              <w:jc w:val="center"/>
              <w:textAlignment w:val="center"/>
              <w:outlineLvl w:val="2"/>
              <w:rPr>
                <w:rFonts w:ascii="Times New Roman" w:hAnsi="Times New Roman"/>
              </w:rPr>
            </w:pPr>
            <w:bookmarkStart w:id="67" w:name="_Toc142923574"/>
            <w:r>
              <w:rPr>
                <w:rFonts w:ascii="Times New Roman" w:hAnsi="Times New Roman"/>
              </w:rPr>
              <w:t>——</w:t>
            </w:r>
            <w:bookmarkEnd w:id="67"/>
          </w:p>
        </w:tc>
        <w:tc>
          <w:tcPr>
            <w:tcW w:w="7768" w:type="dxa"/>
            <w:vAlign w:val="center"/>
          </w:tcPr>
          <w:p>
            <w:pPr>
              <w:pStyle w:val="58"/>
              <w:ind w:firstLine="0" w:firstLineChars="0"/>
              <w:rPr>
                <w:rFonts w:ascii="Times New Roman"/>
                <w:szCs w:val="21"/>
              </w:rPr>
            </w:pPr>
            <w:r>
              <w:t>第</w:t>
            </w:r>
            <w:r>
              <w:rPr>
                <w:rFonts w:ascii="Times New Roman"/>
                <w:i/>
                <w:iCs/>
                <w:color w:val="000000"/>
                <w:kern w:val="2"/>
                <w:szCs w:val="21"/>
              </w:rPr>
              <w:t>i</w:t>
            </w:r>
            <w:r>
              <w:t>个可变荷载考虑设计使用年限的调整系数，其中</w:t>
            </w:r>
            <w:r>
              <w:rPr>
                <w:rFonts w:ascii="Times New Roman"/>
                <w:i/>
                <w:iCs/>
              </w:rPr>
              <w:t>γ</w:t>
            </w:r>
            <w:r>
              <w:rPr>
                <w:rFonts w:ascii="Times New Roman"/>
                <w:vertAlign w:val="subscript"/>
              </w:rPr>
              <w:t>L</w:t>
            </w:r>
            <w:r>
              <w:rPr>
                <w:rFonts w:ascii="Times New Roman"/>
                <w:i/>
                <w:iCs/>
                <w:vertAlign w:val="subscript"/>
              </w:rPr>
              <w:t>i</w:t>
            </w:r>
            <w:r>
              <w:t>为主导可变荷载</w:t>
            </w:r>
            <w:r>
              <w:rPr>
                <w:rFonts w:hint="eastAsia" w:ascii="Times New Roman"/>
                <w:i/>
                <w:iCs/>
              </w:rPr>
              <w:t>Q</w:t>
            </w:r>
            <w:r>
              <w:rPr>
                <w:rFonts w:ascii="Times New Roman"/>
                <w:vertAlign w:val="subscript"/>
              </w:rPr>
              <w:t>1</w:t>
            </w:r>
            <w:r>
              <w:t>考虑设计使用年限的调整系数；</w:t>
            </w:r>
          </w:p>
        </w:tc>
      </w:tr>
      <w:tr>
        <w:tblPrEx>
          <w:tblCellMar>
            <w:top w:w="0" w:type="dxa"/>
            <w:left w:w="108" w:type="dxa"/>
            <w:bottom w:w="0" w:type="dxa"/>
            <w:right w:w="108" w:type="dxa"/>
          </w:tblCellMar>
        </w:tblPrEx>
        <w:trPr>
          <w:trHeight w:val="20" w:hRule="atLeast"/>
        </w:trPr>
        <w:tc>
          <w:tcPr>
            <w:tcW w:w="682" w:type="dxa"/>
            <w:vAlign w:val="center"/>
          </w:tcPr>
          <w:p>
            <w:pPr>
              <w:snapToGrid w:val="0"/>
              <w:spacing w:line="240" w:lineRule="auto"/>
              <w:jc w:val="center"/>
              <w:rPr>
                <w:rFonts w:ascii="Times New Roman" w:hAnsi="Times New Roman"/>
              </w:rPr>
            </w:pPr>
            <w:r>
              <w:rPr>
                <w:rFonts w:ascii="Times New Roman" w:hAnsi="Times New Roman"/>
                <w:i/>
                <w:iCs/>
                <w:color w:val="000000"/>
                <w:sz w:val="28"/>
                <w:szCs w:val="28"/>
              </w:rPr>
              <w:t>γ</w:t>
            </w:r>
            <w:r>
              <w:rPr>
                <w:rFonts w:ascii="Times New Roman" w:hAnsi="Times New Roman"/>
                <w:kern w:val="0"/>
                <w:szCs w:val="20"/>
                <w:vertAlign w:val="subscript"/>
              </w:rPr>
              <w:t>Q</w:t>
            </w:r>
          </w:p>
        </w:tc>
        <w:tc>
          <w:tcPr>
            <w:tcW w:w="709" w:type="dxa"/>
            <w:vAlign w:val="center"/>
          </w:tcPr>
          <w:p>
            <w:pPr>
              <w:adjustRightInd/>
              <w:spacing w:line="240" w:lineRule="auto"/>
              <w:ind w:left="53" w:hanging="52" w:hangingChars="25"/>
              <w:jc w:val="center"/>
              <w:textAlignment w:val="center"/>
              <w:outlineLvl w:val="2"/>
              <w:rPr>
                <w:rFonts w:ascii="Times New Roman" w:hAnsi="Times New Roman"/>
              </w:rPr>
            </w:pPr>
            <w:bookmarkStart w:id="68" w:name="_Toc142923575"/>
            <w:r>
              <w:rPr>
                <w:rFonts w:ascii="Times New Roman" w:hAnsi="Times New Roman"/>
              </w:rPr>
              <w:t>——</w:t>
            </w:r>
            <w:bookmarkEnd w:id="68"/>
          </w:p>
        </w:tc>
        <w:tc>
          <w:tcPr>
            <w:tcW w:w="7768" w:type="dxa"/>
            <w:vAlign w:val="center"/>
          </w:tcPr>
          <w:p>
            <w:pPr>
              <w:snapToGrid w:val="0"/>
              <w:spacing w:line="240" w:lineRule="auto"/>
              <w:rPr>
                <w:rFonts w:ascii="Times New Roman" w:hAnsi="Times New Roman"/>
              </w:rPr>
            </w:pPr>
            <w:r>
              <w:rPr>
                <w:rFonts w:ascii="Times New Roman" w:hAnsi="Times New Roman"/>
                <w:color w:val="000000"/>
              </w:rPr>
              <w:t>可变荷载分项系数；</w:t>
            </w:r>
          </w:p>
        </w:tc>
      </w:tr>
      <w:tr>
        <w:tblPrEx>
          <w:tblCellMar>
            <w:top w:w="0" w:type="dxa"/>
            <w:left w:w="108" w:type="dxa"/>
            <w:bottom w:w="0" w:type="dxa"/>
            <w:right w:w="108" w:type="dxa"/>
          </w:tblCellMar>
        </w:tblPrEx>
        <w:trPr>
          <w:trHeight w:val="20" w:hRule="atLeast"/>
        </w:trPr>
        <w:tc>
          <w:tcPr>
            <w:tcW w:w="682" w:type="dxa"/>
            <w:vAlign w:val="center"/>
          </w:tcPr>
          <w:p>
            <w:pPr>
              <w:snapToGrid w:val="0"/>
              <w:spacing w:line="240" w:lineRule="auto"/>
              <w:jc w:val="center"/>
              <w:rPr>
                <w:rFonts w:ascii="Times New Roman" w:hAnsi="Times New Roman"/>
              </w:rPr>
            </w:pPr>
            <w:r>
              <w:rPr>
                <w:rFonts w:ascii="Times New Roman" w:hAnsi="Times New Roman"/>
                <w:i/>
                <w:iCs/>
                <w:color w:val="000000"/>
                <w:sz w:val="28"/>
                <w:szCs w:val="28"/>
              </w:rPr>
              <w:t>γ</w:t>
            </w:r>
            <w:r>
              <w:rPr>
                <w:rFonts w:ascii="Times New Roman" w:hAnsi="Times New Roman"/>
                <w:kern w:val="0"/>
                <w:szCs w:val="20"/>
                <w:vertAlign w:val="subscript"/>
              </w:rPr>
              <w:t>Q</w:t>
            </w:r>
            <w:r>
              <w:rPr>
                <w:rFonts w:ascii="Times New Roman" w:hAnsi="Times New Roman"/>
                <w:i/>
                <w:iCs/>
                <w:kern w:val="0"/>
                <w:szCs w:val="20"/>
                <w:vertAlign w:val="subscript"/>
              </w:rPr>
              <w:t>i</w:t>
            </w:r>
          </w:p>
        </w:tc>
        <w:tc>
          <w:tcPr>
            <w:tcW w:w="709" w:type="dxa"/>
            <w:vAlign w:val="center"/>
          </w:tcPr>
          <w:p>
            <w:pPr>
              <w:adjustRightInd/>
              <w:spacing w:line="240" w:lineRule="auto"/>
              <w:ind w:left="53" w:hanging="52" w:hangingChars="25"/>
              <w:jc w:val="center"/>
              <w:textAlignment w:val="center"/>
              <w:outlineLvl w:val="2"/>
              <w:rPr>
                <w:rFonts w:ascii="Times New Roman" w:hAnsi="Times New Roman"/>
              </w:rPr>
            </w:pPr>
            <w:bookmarkStart w:id="69" w:name="_Toc142923576"/>
            <w:r>
              <w:rPr>
                <w:rFonts w:ascii="Times New Roman" w:hAnsi="Times New Roman"/>
              </w:rPr>
              <w:t>——</w:t>
            </w:r>
            <w:bookmarkEnd w:id="69"/>
          </w:p>
        </w:tc>
        <w:tc>
          <w:tcPr>
            <w:tcW w:w="7768" w:type="dxa"/>
            <w:vAlign w:val="center"/>
          </w:tcPr>
          <w:p>
            <w:pPr>
              <w:autoSpaceDE w:val="0"/>
              <w:adjustRightInd/>
              <w:spacing w:line="240" w:lineRule="auto"/>
              <w:textAlignment w:val="center"/>
              <w:rPr>
                <w:rFonts w:ascii="Times New Roman" w:hAnsi="Times New Roman"/>
                <w:color w:val="000000"/>
              </w:rPr>
            </w:pPr>
            <w:r>
              <w:rPr>
                <w:rFonts w:ascii="Times New Roman" w:hAnsi="Times New Roman"/>
                <w:color w:val="000000"/>
              </w:rPr>
              <w:t>第</w:t>
            </w:r>
            <w:r>
              <w:rPr>
                <w:rFonts w:ascii="Times New Roman" w:hAnsi="Times New Roman"/>
                <w:i/>
                <w:iCs/>
                <w:color w:val="000000"/>
              </w:rPr>
              <w:t>i</w:t>
            </w:r>
            <w:r>
              <w:rPr>
                <w:rFonts w:ascii="Times New Roman" w:hAnsi="Times New Roman"/>
                <w:color w:val="000000"/>
              </w:rPr>
              <w:t>个可变荷载的分项系数，其中</w:t>
            </w:r>
            <w:r>
              <w:rPr>
                <w:rFonts w:ascii="Times New Roman" w:hAnsi="Times New Roman"/>
                <w:i/>
                <w:iCs/>
                <w:color w:val="000000"/>
              </w:rPr>
              <w:t>γ</w:t>
            </w:r>
            <w:r>
              <w:rPr>
                <w:rFonts w:ascii="Times New Roman" w:hAnsi="Times New Roman"/>
                <w:kern w:val="0"/>
                <w:szCs w:val="20"/>
                <w:vertAlign w:val="subscript"/>
              </w:rPr>
              <w:t>Q</w:t>
            </w:r>
            <w:r>
              <w:rPr>
                <w:rFonts w:ascii="Times New Roman" w:hAnsi="Times New Roman"/>
                <w:i/>
                <w:iCs/>
                <w:kern w:val="0"/>
                <w:szCs w:val="20"/>
                <w:vertAlign w:val="subscript"/>
              </w:rPr>
              <w:t>i</w:t>
            </w:r>
            <w:r>
              <w:rPr>
                <w:rFonts w:ascii="Times New Roman" w:hAnsi="Times New Roman"/>
              </w:rPr>
              <w:t>为主导可变荷载</w:t>
            </w:r>
            <w:r>
              <w:rPr>
                <w:rFonts w:ascii="Times New Roman" w:hAnsi="Times New Roman"/>
                <w:i/>
                <w:iCs/>
                <w:color w:val="000000"/>
              </w:rPr>
              <w:t>Q</w:t>
            </w:r>
            <w:r>
              <w:rPr>
                <w:rFonts w:ascii="Times New Roman" w:hAnsi="Times New Roman"/>
                <w:color w:val="000000"/>
                <w:vertAlign w:val="subscript"/>
              </w:rPr>
              <w:t>1</w:t>
            </w:r>
            <w:r>
              <w:rPr>
                <w:rFonts w:ascii="Times New Roman" w:hAnsi="Times New Roman"/>
                <w:color w:val="000000"/>
              </w:rPr>
              <w:t>的分项系数；</w:t>
            </w:r>
          </w:p>
        </w:tc>
      </w:tr>
      <w:tr>
        <w:tblPrEx>
          <w:tblCellMar>
            <w:top w:w="0" w:type="dxa"/>
            <w:left w:w="108" w:type="dxa"/>
            <w:bottom w:w="0" w:type="dxa"/>
            <w:right w:w="108" w:type="dxa"/>
          </w:tblCellMar>
        </w:tblPrEx>
        <w:trPr>
          <w:trHeight w:val="20" w:hRule="atLeast"/>
        </w:trPr>
        <w:tc>
          <w:tcPr>
            <w:tcW w:w="682" w:type="dxa"/>
            <w:vAlign w:val="center"/>
          </w:tcPr>
          <w:p>
            <w:pPr>
              <w:snapToGrid w:val="0"/>
              <w:spacing w:line="240" w:lineRule="auto"/>
              <w:jc w:val="center"/>
              <w:rPr>
                <w:rFonts w:ascii="Times New Roman" w:hAnsi="Times New Roman"/>
              </w:rPr>
            </w:pPr>
            <w:r>
              <w:rPr>
                <w:rFonts w:ascii="Times New Roman" w:hAnsi="Times New Roman"/>
                <w:i/>
                <w:iCs/>
                <w:color w:val="000000"/>
                <w:sz w:val="28"/>
                <w:szCs w:val="28"/>
              </w:rPr>
              <w:t>γ</w:t>
            </w:r>
            <w:r>
              <w:rPr>
                <w:rFonts w:ascii="Times New Roman" w:hAnsi="Times New Roman"/>
                <w:color w:val="000000"/>
                <w:vertAlign w:val="subscript"/>
              </w:rPr>
              <w:t>RE</w:t>
            </w:r>
          </w:p>
        </w:tc>
        <w:tc>
          <w:tcPr>
            <w:tcW w:w="709" w:type="dxa"/>
            <w:vAlign w:val="center"/>
          </w:tcPr>
          <w:p>
            <w:pPr>
              <w:adjustRightInd/>
              <w:spacing w:line="240" w:lineRule="auto"/>
              <w:ind w:left="53" w:hanging="52" w:hangingChars="25"/>
              <w:jc w:val="center"/>
              <w:textAlignment w:val="center"/>
              <w:outlineLvl w:val="2"/>
              <w:rPr>
                <w:rFonts w:ascii="Times New Roman" w:hAnsi="Times New Roman"/>
              </w:rPr>
            </w:pPr>
            <w:bookmarkStart w:id="70" w:name="_Toc142923577"/>
            <w:r>
              <w:rPr>
                <w:rFonts w:ascii="Times New Roman" w:hAnsi="Times New Roman"/>
              </w:rPr>
              <w:t>——</w:t>
            </w:r>
            <w:bookmarkEnd w:id="70"/>
          </w:p>
        </w:tc>
        <w:tc>
          <w:tcPr>
            <w:tcW w:w="7768" w:type="dxa"/>
            <w:vAlign w:val="center"/>
          </w:tcPr>
          <w:p>
            <w:pPr>
              <w:snapToGrid w:val="0"/>
              <w:spacing w:line="240" w:lineRule="auto"/>
              <w:rPr>
                <w:rFonts w:ascii="Times New Roman" w:hAnsi="Times New Roman"/>
                <w:color w:val="000000"/>
              </w:rPr>
            </w:pPr>
            <w:r>
              <w:rPr>
                <w:rFonts w:ascii="Times New Roman" w:hAnsi="Times New Roman"/>
                <w:color w:val="000000"/>
              </w:rPr>
              <w:t>承载力抗震调整系数；</w:t>
            </w:r>
          </w:p>
        </w:tc>
      </w:tr>
      <w:tr>
        <w:tblPrEx>
          <w:tblCellMar>
            <w:top w:w="0" w:type="dxa"/>
            <w:left w:w="108" w:type="dxa"/>
            <w:bottom w:w="0" w:type="dxa"/>
            <w:right w:w="108" w:type="dxa"/>
          </w:tblCellMar>
        </w:tblPrEx>
        <w:trPr>
          <w:trHeight w:val="20" w:hRule="atLeast"/>
        </w:trPr>
        <w:tc>
          <w:tcPr>
            <w:tcW w:w="682" w:type="dxa"/>
            <w:vAlign w:val="center"/>
          </w:tcPr>
          <w:p>
            <w:pPr>
              <w:snapToGrid w:val="0"/>
              <w:spacing w:line="240" w:lineRule="auto"/>
              <w:jc w:val="center"/>
              <w:rPr>
                <w:rFonts w:ascii="Times New Roman" w:hAnsi="Times New Roman"/>
              </w:rPr>
            </w:pPr>
            <w:r>
              <w:rPr>
                <w:rFonts w:ascii="Times New Roman" w:hAnsi="Times New Roman"/>
                <w:i/>
                <w:iCs/>
                <w:color w:val="000000"/>
                <w:sz w:val="28"/>
                <w:szCs w:val="28"/>
              </w:rPr>
              <w:t>γ</w:t>
            </w:r>
            <w:r>
              <w:rPr>
                <w:rFonts w:ascii="Times New Roman" w:hAnsi="Times New Roman"/>
                <w:kern w:val="0"/>
                <w:szCs w:val="20"/>
                <w:vertAlign w:val="subscript"/>
              </w:rPr>
              <w:t>W</w:t>
            </w:r>
          </w:p>
        </w:tc>
        <w:tc>
          <w:tcPr>
            <w:tcW w:w="709" w:type="dxa"/>
            <w:vAlign w:val="center"/>
          </w:tcPr>
          <w:p>
            <w:pPr>
              <w:adjustRightInd/>
              <w:spacing w:line="240" w:lineRule="auto"/>
              <w:ind w:left="53" w:hanging="52" w:hangingChars="25"/>
              <w:jc w:val="center"/>
              <w:textAlignment w:val="center"/>
              <w:outlineLvl w:val="2"/>
              <w:rPr>
                <w:rFonts w:ascii="Times New Roman" w:hAnsi="Times New Roman"/>
              </w:rPr>
            </w:pPr>
            <w:bookmarkStart w:id="71" w:name="_Toc142923578"/>
            <w:r>
              <w:rPr>
                <w:rFonts w:ascii="Times New Roman" w:hAnsi="Times New Roman"/>
              </w:rPr>
              <w:t>——</w:t>
            </w:r>
            <w:bookmarkEnd w:id="71"/>
          </w:p>
        </w:tc>
        <w:tc>
          <w:tcPr>
            <w:tcW w:w="7768" w:type="dxa"/>
            <w:vAlign w:val="center"/>
          </w:tcPr>
          <w:p>
            <w:pPr>
              <w:snapToGrid w:val="0"/>
              <w:spacing w:line="240" w:lineRule="auto"/>
              <w:rPr>
                <w:rFonts w:ascii="Times New Roman" w:hAnsi="Times New Roman"/>
                <w:color w:val="000000"/>
              </w:rPr>
            </w:pPr>
            <w:r>
              <w:rPr>
                <w:rFonts w:ascii="Times New Roman" w:hAnsi="Times New Roman"/>
                <w:color w:val="000000"/>
              </w:rPr>
              <w:t>风荷载分项系数；</w:t>
            </w:r>
          </w:p>
        </w:tc>
      </w:tr>
      <w:tr>
        <w:tblPrEx>
          <w:tblCellMar>
            <w:top w:w="0" w:type="dxa"/>
            <w:left w:w="108" w:type="dxa"/>
            <w:bottom w:w="0" w:type="dxa"/>
            <w:right w:w="108" w:type="dxa"/>
          </w:tblCellMar>
        </w:tblPrEx>
        <w:trPr>
          <w:trHeight w:val="20" w:hRule="atLeast"/>
        </w:trPr>
        <w:tc>
          <w:tcPr>
            <w:tcW w:w="682" w:type="dxa"/>
            <w:vAlign w:val="center"/>
          </w:tcPr>
          <w:p>
            <w:pPr>
              <w:snapToGrid w:val="0"/>
              <w:spacing w:line="240" w:lineRule="auto"/>
              <w:jc w:val="center"/>
              <w:rPr>
                <w:rFonts w:ascii="Times New Roman" w:hAnsi="Times New Roman"/>
              </w:rPr>
            </w:pPr>
            <w:r>
              <w:rPr>
                <w:rFonts w:ascii="Times New Roman" w:hAnsi="Times New Roman"/>
                <w:i/>
                <w:iCs/>
                <w:color w:val="000000"/>
                <w:sz w:val="24"/>
                <w:szCs w:val="24"/>
              </w:rPr>
              <w:t>φ</w:t>
            </w:r>
            <w:r>
              <w:rPr>
                <w:rFonts w:ascii="Times New Roman" w:hAnsi="Times New Roman"/>
                <w:i/>
                <w:iCs/>
                <w:color w:val="000000"/>
                <w:vertAlign w:val="subscript"/>
              </w:rPr>
              <w:t>ci</w:t>
            </w:r>
          </w:p>
        </w:tc>
        <w:tc>
          <w:tcPr>
            <w:tcW w:w="709" w:type="dxa"/>
            <w:vAlign w:val="center"/>
          </w:tcPr>
          <w:p>
            <w:pPr>
              <w:adjustRightInd/>
              <w:spacing w:line="240" w:lineRule="auto"/>
              <w:ind w:left="53" w:hanging="52" w:hangingChars="25"/>
              <w:jc w:val="center"/>
              <w:textAlignment w:val="center"/>
              <w:outlineLvl w:val="2"/>
              <w:rPr>
                <w:rFonts w:ascii="Times New Roman" w:hAnsi="Times New Roman"/>
              </w:rPr>
            </w:pPr>
            <w:bookmarkStart w:id="72" w:name="_Toc142923579"/>
            <w:r>
              <w:rPr>
                <w:rFonts w:ascii="Times New Roman" w:hAnsi="Times New Roman"/>
              </w:rPr>
              <w:t>——</w:t>
            </w:r>
            <w:bookmarkEnd w:id="72"/>
          </w:p>
        </w:tc>
        <w:tc>
          <w:tcPr>
            <w:tcW w:w="7768" w:type="dxa"/>
            <w:vAlign w:val="center"/>
          </w:tcPr>
          <w:p>
            <w:pPr>
              <w:snapToGrid w:val="0"/>
              <w:spacing w:line="240" w:lineRule="auto"/>
              <w:rPr>
                <w:rFonts w:ascii="Times New Roman" w:hAnsi="Times New Roman"/>
                <w:color w:val="000000"/>
              </w:rPr>
            </w:pPr>
            <w:r>
              <w:rPr>
                <w:rFonts w:ascii="Times New Roman" w:hAnsi="Times New Roman"/>
                <w:color w:val="000000"/>
              </w:rPr>
              <w:t>第</w:t>
            </w:r>
            <w:r>
              <w:rPr>
                <w:rFonts w:ascii="Times New Roman" w:hAnsi="Times New Roman"/>
                <w:i/>
                <w:iCs/>
                <w:color w:val="000000"/>
              </w:rPr>
              <w:t>i</w:t>
            </w:r>
            <w:r>
              <w:rPr>
                <w:rFonts w:ascii="Times New Roman" w:hAnsi="Times New Roman"/>
                <w:color w:val="000000"/>
              </w:rPr>
              <w:t>个可变荷载</w:t>
            </w:r>
            <w:r>
              <w:rPr>
                <w:rFonts w:ascii="Times New Roman" w:hAnsi="Times New Roman"/>
                <w:i/>
                <w:iCs/>
                <w:color w:val="000000"/>
              </w:rPr>
              <w:t>Q</w:t>
            </w:r>
            <w:r>
              <w:rPr>
                <w:rFonts w:ascii="Times New Roman" w:hAnsi="Times New Roman"/>
                <w:i/>
                <w:iCs/>
                <w:color w:val="000000"/>
                <w:vertAlign w:val="subscript"/>
              </w:rPr>
              <w:t>i</w:t>
            </w:r>
            <w:r>
              <w:rPr>
                <w:rFonts w:ascii="Times New Roman" w:hAnsi="Times New Roman"/>
                <w:color w:val="000000"/>
              </w:rPr>
              <w:t>的组合值系数；</w:t>
            </w:r>
          </w:p>
        </w:tc>
      </w:tr>
      <w:tr>
        <w:tblPrEx>
          <w:tblCellMar>
            <w:top w:w="0" w:type="dxa"/>
            <w:left w:w="108" w:type="dxa"/>
            <w:bottom w:w="0" w:type="dxa"/>
            <w:right w:w="108" w:type="dxa"/>
          </w:tblCellMar>
        </w:tblPrEx>
        <w:trPr>
          <w:trHeight w:val="20" w:hRule="atLeast"/>
        </w:trPr>
        <w:tc>
          <w:tcPr>
            <w:tcW w:w="682" w:type="dxa"/>
            <w:vAlign w:val="center"/>
          </w:tcPr>
          <w:p>
            <w:pPr>
              <w:snapToGrid w:val="0"/>
              <w:spacing w:line="240" w:lineRule="auto"/>
              <w:jc w:val="center"/>
              <w:rPr>
                <w:rFonts w:ascii="Times New Roman" w:hAnsi="Times New Roman"/>
              </w:rPr>
            </w:pPr>
            <w:r>
              <w:rPr>
                <w:rFonts w:ascii="Times New Roman" w:hAnsi="Times New Roman"/>
                <w:i/>
                <w:iCs/>
                <w:color w:val="000000"/>
                <w:sz w:val="24"/>
                <w:szCs w:val="24"/>
              </w:rPr>
              <w:t>φ</w:t>
            </w:r>
            <w:r>
              <w:rPr>
                <w:rFonts w:ascii="Times New Roman" w:hAnsi="Times New Roman"/>
                <w:i/>
                <w:iCs/>
                <w:color w:val="000000"/>
                <w:vertAlign w:val="subscript"/>
              </w:rPr>
              <w:t>qi</w:t>
            </w:r>
          </w:p>
        </w:tc>
        <w:tc>
          <w:tcPr>
            <w:tcW w:w="709" w:type="dxa"/>
            <w:vAlign w:val="center"/>
          </w:tcPr>
          <w:p>
            <w:pPr>
              <w:adjustRightInd/>
              <w:spacing w:line="240" w:lineRule="auto"/>
              <w:ind w:left="53" w:hanging="52" w:hangingChars="25"/>
              <w:jc w:val="center"/>
              <w:textAlignment w:val="center"/>
              <w:outlineLvl w:val="2"/>
              <w:rPr>
                <w:rFonts w:ascii="Times New Roman" w:hAnsi="Times New Roman"/>
              </w:rPr>
            </w:pPr>
            <w:bookmarkStart w:id="73" w:name="_Toc142923580"/>
            <w:r>
              <w:rPr>
                <w:rFonts w:ascii="Times New Roman" w:hAnsi="Times New Roman"/>
              </w:rPr>
              <w:t>——</w:t>
            </w:r>
            <w:bookmarkEnd w:id="73"/>
          </w:p>
        </w:tc>
        <w:tc>
          <w:tcPr>
            <w:tcW w:w="7768" w:type="dxa"/>
            <w:vAlign w:val="center"/>
          </w:tcPr>
          <w:p>
            <w:pPr>
              <w:snapToGrid w:val="0"/>
              <w:spacing w:line="240" w:lineRule="auto"/>
              <w:rPr>
                <w:rFonts w:ascii="Times New Roman" w:hAnsi="Times New Roman"/>
                <w:color w:val="000000"/>
              </w:rPr>
            </w:pPr>
            <w:r>
              <w:rPr>
                <w:rFonts w:ascii="Times New Roman" w:hAnsi="Times New Roman"/>
                <w:color w:val="000000"/>
              </w:rPr>
              <w:t>可变荷载的准永久值系数；</w:t>
            </w:r>
            <w:r>
              <w:rPr>
                <w:rFonts w:hint="eastAsia" w:ascii="Times New Roman" w:hAnsi="Times New Roman"/>
                <w:color w:val="000000"/>
              </w:rPr>
              <w:t xml:space="preserve"> </w:t>
            </w:r>
            <w:r>
              <w:rPr>
                <w:rFonts w:ascii="Times New Roman" w:hAnsi="Times New Roman"/>
                <w:color w:val="000000"/>
              </w:rPr>
              <w:t xml:space="preserve"> </w:t>
            </w:r>
          </w:p>
        </w:tc>
      </w:tr>
      <w:tr>
        <w:tblPrEx>
          <w:tblCellMar>
            <w:top w:w="0" w:type="dxa"/>
            <w:left w:w="108" w:type="dxa"/>
            <w:bottom w:w="0" w:type="dxa"/>
            <w:right w:w="108" w:type="dxa"/>
          </w:tblCellMar>
        </w:tblPrEx>
        <w:trPr>
          <w:trHeight w:val="20" w:hRule="atLeast"/>
        </w:trPr>
        <w:tc>
          <w:tcPr>
            <w:tcW w:w="682" w:type="dxa"/>
            <w:vAlign w:val="center"/>
          </w:tcPr>
          <w:p>
            <w:pPr>
              <w:snapToGrid w:val="0"/>
              <w:spacing w:line="240" w:lineRule="auto"/>
              <w:jc w:val="center"/>
              <w:rPr>
                <w:rFonts w:ascii="Times New Roman" w:hAnsi="Times New Roman"/>
              </w:rPr>
            </w:pPr>
            <w:r>
              <w:rPr>
                <w:rFonts w:ascii="Times New Roman" w:hAnsi="Times New Roman"/>
                <w:i/>
                <w:iCs/>
                <w:color w:val="000000"/>
                <w:sz w:val="24"/>
                <w:szCs w:val="24"/>
              </w:rPr>
              <w:t>ψ</w:t>
            </w:r>
            <w:r>
              <w:rPr>
                <w:rFonts w:hint="eastAsia" w:ascii="Times New Roman" w:hAnsi="Times New Roman"/>
                <w:i/>
                <w:iCs/>
                <w:color w:val="000000"/>
                <w:vertAlign w:val="subscript"/>
              </w:rPr>
              <w:t>w</w:t>
            </w:r>
          </w:p>
        </w:tc>
        <w:tc>
          <w:tcPr>
            <w:tcW w:w="709" w:type="dxa"/>
            <w:vAlign w:val="center"/>
          </w:tcPr>
          <w:p>
            <w:pPr>
              <w:adjustRightInd/>
              <w:spacing w:line="240" w:lineRule="auto"/>
              <w:ind w:left="53" w:hanging="52" w:hangingChars="25"/>
              <w:jc w:val="center"/>
              <w:textAlignment w:val="center"/>
              <w:outlineLvl w:val="2"/>
              <w:rPr>
                <w:rFonts w:ascii="Times New Roman" w:hAnsi="Times New Roman"/>
              </w:rPr>
            </w:pPr>
            <w:bookmarkStart w:id="74" w:name="_Toc142923581"/>
            <w:r>
              <w:rPr>
                <w:rFonts w:ascii="Times New Roman" w:hAnsi="Times New Roman"/>
              </w:rPr>
              <w:t>——</w:t>
            </w:r>
            <w:bookmarkEnd w:id="74"/>
          </w:p>
        </w:tc>
        <w:tc>
          <w:tcPr>
            <w:tcW w:w="7768" w:type="dxa"/>
            <w:vAlign w:val="center"/>
          </w:tcPr>
          <w:p>
            <w:pPr>
              <w:snapToGrid w:val="0"/>
              <w:spacing w:line="240" w:lineRule="auto"/>
              <w:rPr>
                <w:rFonts w:ascii="Times New Roman" w:hAnsi="Times New Roman"/>
                <w:color w:val="000000"/>
              </w:rPr>
            </w:pPr>
            <w:r>
              <w:rPr>
                <w:rFonts w:ascii="Times New Roman" w:hAnsi="Times New Roman"/>
                <w:color w:val="000000"/>
              </w:rPr>
              <w:t>风荷载组合值系数。</w:t>
            </w:r>
            <w:r>
              <w:rPr>
                <w:rFonts w:hint="eastAsia" w:ascii="Times New Roman" w:hAnsi="Times New Roman"/>
                <w:color w:val="000000"/>
              </w:rPr>
              <w:t xml:space="preserve"> </w:t>
            </w:r>
          </w:p>
        </w:tc>
      </w:tr>
    </w:tbl>
    <w:p>
      <w:pPr>
        <w:pStyle w:val="106"/>
        <w:numPr>
          <w:ilvl w:val="0"/>
          <w:numId w:val="0"/>
        </w:numPr>
        <w:spacing w:before="312" w:after="312"/>
      </w:pPr>
      <w:bookmarkStart w:id="75" w:name="_Toc142923582"/>
      <w:r>
        <w:rPr>
          <w:rFonts w:hint="eastAsia"/>
        </w:rPr>
        <w:t>4 基本规定</w:t>
      </w:r>
      <w:bookmarkEnd w:id="48"/>
      <w:bookmarkEnd w:id="75"/>
    </w:p>
    <w:p>
      <w:pPr>
        <w:pStyle w:val="58"/>
        <w:spacing w:before="312" w:beforeLines="100" w:after="312" w:afterLines="100"/>
        <w:ind w:firstLine="0" w:firstLineChars="0"/>
        <w:outlineLvl w:val="1"/>
        <w:rPr>
          <w:rFonts w:ascii="黑体" w:hAnsi="黑体" w:eastAsia="黑体"/>
        </w:rPr>
      </w:pPr>
      <w:bookmarkStart w:id="76" w:name="_Toc142923583"/>
      <w:r>
        <w:rPr>
          <w:rFonts w:ascii="黑体" w:hAnsi="黑体" w:eastAsia="黑体"/>
        </w:rPr>
        <w:t>4</w:t>
      </w:r>
      <w:r>
        <w:rPr>
          <w:rFonts w:hint="eastAsia" w:ascii="黑体" w:hAnsi="黑体" w:eastAsia="黑体"/>
        </w:rPr>
        <w:t xml:space="preserve">.1 </w:t>
      </w:r>
      <w:r>
        <w:rPr>
          <w:rFonts w:ascii="黑体" w:hAnsi="黑体" w:eastAsia="黑体"/>
          <w:bCs/>
          <w:szCs w:val="21"/>
        </w:rPr>
        <w:t>一般规定</w:t>
      </w:r>
      <w:bookmarkEnd w:id="76"/>
    </w:p>
    <w:p>
      <w:pPr>
        <w:pStyle w:val="58"/>
        <w:ind w:firstLine="0" w:firstLineChars="0"/>
        <w:rPr>
          <w:rFonts w:hAnsi="黑体"/>
          <w:bCs/>
        </w:rPr>
      </w:pPr>
      <w:r>
        <w:rPr>
          <w:rFonts w:hint="eastAsia" w:ascii="黑体" w:hAnsi="黑体" w:eastAsia="黑体"/>
        </w:rPr>
        <w:t>4.1</w:t>
      </w:r>
      <w:r>
        <w:rPr>
          <w:rFonts w:ascii="黑体" w:hAnsi="黑体" w:eastAsia="黑体"/>
        </w:rPr>
        <w:t>.1</w:t>
      </w:r>
      <w:r>
        <w:rPr>
          <w:rFonts w:hint="eastAsia" w:ascii="黑体" w:hAnsi="黑体" w:eastAsia="黑体"/>
        </w:rPr>
        <w:t xml:space="preserve"> </w:t>
      </w:r>
      <w:r>
        <w:rPr>
          <w:rFonts w:hint="eastAsia" w:hAnsi="黑体"/>
          <w:bCs/>
        </w:rPr>
        <w:t>预制预应力混凝土装配整体式结构最大适用高度应满足表</w:t>
      </w:r>
      <w:r>
        <w:rPr>
          <w:rFonts w:hAnsi="黑体"/>
          <w:bCs/>
        </w:rPr>
        <w:t>1</w:t>
      </w:r>
      <w:r>
        <w:rPr>
          <w:rFonts w:hint="eastAsia" w:hAnsi="黑体"/>
          <w:bCs/>
        </w:rPr>
        <w:t>的要求。装配整体式剪力墙结构在规定的水平力作用下，当预制剪力墙构件底部承担的总剪力大于该层总剪力的50%时，其最大适用高度应适当降低；当预制剪力墙构件底部承担的总剪力大于该层总剪力的80%时，最大适用高度应取表</w:t>
      </w:r>
      <w:r>
        <w:rPr>
          <w:rFonts w:hAnsi="黑体"/>
          <w:bCs/>
        </w:rPr>
        <w:t>1</w:t>
      </w:r>
      <w:r>
        <w:rPr>
          <w:rFonts w:hint="eastAsia" w:hAnsi="黑体"/>
          <w:bCs/>
        </w:rPr>
        <w:t>中括号内的数值。</w:t>
      </w:r>
    </w:p>
    <w:p>
      <w:pPr>
        <w:pStyle w:val="58"/>
        <w:ind w:firstLine="0" w:firstLineChars="0"/>
        <w:rPr>
          <w:rFonts w:hAnsi="黑体"/>
          <w:bCs/>
        </w:rPr>
      </w:pPr>
    </w:p>
    <w:p>
      <w:pPr>
        <w:pStyle w:val="58"/>
        <w:ind w:firstLine="0" w:firstLineChars="0"/>
        <w:rPr>
          <w:rFonts w:hAnsi="黑体"/>
          <w:bCs/>
        </w:rPr>
      </w:pPr>
    </w:p>
    <w:p>
      <w:pPr>
        <w:pStyle w:val="58"/>
        <w:ind w:firstLine="0" w:firstLineChars="0"/>
        <w:rPr>
          <w:rFonts w:hAnsi="黑体"/>
          <w:bCs/>
        </w:rPr>
      </w:pPr>
    </w:p>
    <w:p>
      <w:pPr>
        <w:pStyle w:val="58"/>
        <w:ind w:firstLine="0" w:firstLineChars="0"/>
        <w:rPr>
          <w:rFonts w:hAnsi="黑体"/>
          <w:bCs/>
        </w:rPr>
      </w:pPr>
    </w:p>
    <w:p>
      <w:pPr>
        <w:pStyle w:val="58"/>
        <w:ind w:firstLine="0" w:firstLineChars="0"/>
        <w:rPr>
          <w:rFonts w:hAnsi="黑体"/>
          <w:bCs/>
        </w:rPr>
      </w:pPr>
    </w:p>
    <w:p>
      <w:pPr>
        <w:pStyle w:val="58"/>
        <w:spacing w:before="156" w:beforeLines="50" w:after="156" w:afterLines="50"/>
        <w:ind w:firstLine="0" w:firstLineChars="0"/>
        <w:jc w:val="center"/>
        <w:rPr>
          <w:rFonts w:ascii="黑体" w:hAnsi="黑体" w:eastAsia="黑体"/>
        </w:rPr>
      </w:pPr>
      <w:r>
        <w:rPr>
          <w:rFonts w:ascii="黑体" w:hAnsi="黑体" w:eastAsia="黑体"/>
        </w:rPr>
        <w:t xml:space="preserve">表1 </w:t>
      </w:r>
      <w:r>
        <w:rPr>
          <w:rFonts w:hint="eastAsia" w:ascii="黑体" w:hAnsi="黑体" w:eastAsia="黑体"/>
        </w:rPr>
        <w:t>预制预应力混凝土装配整体式结构适用的最大高度</w:t>
      </w:r>
    </w:p>
    <w:p>
      <w:pPr>
        <w:spacing w:line="240" w:lineRule="auto"/>
        <w:ind w:right="88"/>
        <w:jc w:val="right"/>
      </w:pPr>
      <w:r>
        <w:rPr>
          <w:rFonts w:hint="eastAsia" w:ascii="宋体" w:hAnsi="宋体"/>
          <w:sz w:val="18"/>
          <w:szCs w:val="18"/>
        </w:rPr>
        <w:t>单位为米</w:t>
      </w:r>
    </w:p>
    <w:tbl>
      <w:tblPr>
        <w:tblStyle w:val="27"/>
        <w:tblW w:w="9171"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4085"/>
        <w:gridCol w:w="1690"/>
        <w:gridCol w:w="1701"/>
        <w:gridCol w:w="1695"/>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085" w:type="dxa"/>
            <w:vMerge w:val="restart"/>
            <w:tcBorders>
              <w:top w:val="single" w:color="auto" w:sz="12" w:space="0"/>
              <w:bottom w:val="single" w:color="auto" w:sz="12"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结构类型</w:t>
            </w:r>
          </w:p>
        </w:tc>
        <w:tc>
          <w:tcPr>
            <w:tcW w:w="5086" w:type="dxa"/>
            <w:gridSpan w:val="3"/>
            <w:tcBorders>
              <w:top w:val="single" w:color="auto" w:sz="12" w:space="0"/>
              <w:bottom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抗震设防烈度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085" w:type="dxa"/>
            <w:vMerge w:val="continue"/>
            <w:tcBorders>
              <w:top w:val="single" w:color="auto" w:sz="4" w:space="0"/>
              <w:bottom w:val="single" w:color="auto" w:sz="12" w:space="0"/>
            </w:tcBorders>
            <w:vAlign w:val="center"/>
          </w:tcPr>
          <w:p>
            <w:pPr>
              <w:widowControl/>
              <w:adjustRightInd/>
              <w:spacing w:line="240" w:lineRule="auto"/>
              <w:jc w:val="left"/>
              <w:rPr>
                <w:rFonts w:ascii="宋体" w:hAnsi="宋体"/>
                <w:sz w:val="18"/>
                <w:szCs w:val="18"/>
              </w:rPr>
            </w:pPr>
          </w:p>
        </w:tc>
        <w:tc>
          <w:tcPr>
            <w:tcW w:w="1690" w:type="dxa"/>
            <w:tcBorders>
              <w:top w:val="single" w:color="auto" w:sz="4" w:space="0"/>
              <w:bottom w:val="single" w:color="auto" w:sz="12"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6度</w:t>
            </w:r>
          </w:p>
        </w:tc>
        <w:tc>
          <w:tcPr>
            <w:tcW w:w="1701" w:type="dxa"/>
            <w:tcBorders>
              <w:top w:val="single" w:color="auto" w:sz="4" w:space="0"/>
              <w:bottom w:val="single" w:color="auto" w:sz="12"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7度</w:t>
            </w:r>
          </w:p>
        </w:tc>
        <w:tc>
          <w:tcPr>
            <w:tcW w:w="1695" w:type="dxa"/>
            <w:tcBorders>
              <w:top w:val="single" w:color="auto" w:sz="4" w:space="0"/>
              <w:bottom w:val="single" w:color="auto" w:sz="12"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8度（0.20g）</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085" w:type="dxa"/>
            <w:tcBorders>
              <w:top w:val="single" w:color="auto" w:sz="12"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装配整体式框架结构</w:t>
            </w:r>
          </w:p>
        </w:tc>
        <w:tc>
          <w:tcPr>
            <w:tcW w:w="1690" w:type="dxa"/>
            <w:tcBorders>
              <w:top w:val="single" w:color="auto" w:sz="12"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60</w:t>
            </w:r>
          </w:p>
        </w:tc>
        <w:tc>
          <w:tcPr>
            <w:tcW w:w="1701" w:type="dxa"/>
            <w:tcBorders>
              <w:top w:val="single" w:color="auto" w:sz="12"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50</w:t>
            </w:r>
          </w:p>
        </w:tc>
        <w:tc>
          <w:tcPr>
            <w:tcW w:w="1695" w:type="dxa"/>
            <w:tcBorders>
              <w:top w:val="single" w:color="auto" w:sz="12"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40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085" w:type="dxa"/>
            <w:tcBorders>
              <w:bottom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装配整体式框架—现浇剪力墙结构</w:t>
            </w:r>
          </w:p>
        </w:tc>
        <w:tc>
          <w:tcPr>
            <w:tcW w:w="1690" w:type="dxa"/>
            <w:vAlign w:val="center"/>
          </w:tcPr>
          <w:p>
            <w:pPr>
              <w:autoSpaceDE w:val="0"/>
              <w:adjustRightInd/>
              <w:spacing w:line="240" w:lineRule="auto"/>
              <w:jc w:val="center"/>
              <w:rPr>
                <w:rFonts w:ascii="宋体" w:hAnsi="宋体"/>
                <w:sz w:val="18"/>
                <w:szCs w:val="18"/>
              </w:rPr>
            </w:pPr>
            <w:r>
              <w:rPr>
                <w:rFonts w:ascii="宋体" w:hAnsi="宋体"/>
                <w:sz w:val="18"/>
                <w:szCs w:val="18"/>
              </w:rPr>
              <w:t>130</w:t>
            </w:r>
          </w:p>
        </w:tc>
        <w:tc>
          <w:tcPr>
            <w:tcW w:w="1701" w:type="dxa"/>
            <w:vAlign w:val="center"/>
          </w:tcPr>
          <w:p>
            <w:pPr>
              <w:autoSpaceDE w:val="0"/>
              <w:adjustRightInd/>
              <w:spacing w:line="240" w:lineRule="auto"/>
              <w:jc w:val="center"/>
              <w:rPr>
                <w:rFonts w:ascii="宋体" w:hAnsi="宋体"/>
                <w:sz w:val="18"/>
                <w:szCs w:val="18"/>
              </w:rPr>
            </w:pPr>
            <w:r>
              <w:rPr>
                <w:rFonts w:ascii="宋体" w:hAnsi="宋体"/>
                <w:sz w:val="18"/>
                <w:szCs w:val="18"/>
              </w:rPr>
              <w:t>120</w:t>
            </w:r>
          </w:p>
        </w:tc>
        <w:tc>
          <w:tcPr>
            <w:tcW w:w="1695" w:type="dxa"/>
            <w:vAlign w:val="center"/>
          </w:tcPr>
          <w:p>
            <w:pPr>
              <w:autoSpaceDE w:val="0"/>
              <w:adjustRightInd/>
              <w:spacing w:line="240" w:lineRule="auto"/>
              <w:jc w:val="center"/>
              <w:rPr>
                <w:rFonts w:ascii="宋体" w:hAnsi="宋体"/>
                <w:sz w:val="18"/>
                <w:szCs w:val="18"/>
              </w:rPr>
            </w:pPr>
            <w:r>
              <w:rPr>
                <w:rFonts w:ascii="宋体" w:hAnsi="宋体"/>
                <w:sz w:val="18"/>
                <w:szCs w:val="18"/>
              </w:rPr>
              <w:t>100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55" w:hRule="atLeast"/>
          <w:jc w:val="center"/>
        </w:trPr>
        <w:tc>
          <w:tcPr>
            <w:tcW w:w="4085" w:type="dxa"/>
            <w:tcBorders>
              <w:top w:val="single" w:color="auto" w:sz="4" w:space="0"/>
              <w:bottom w:val="single" w:color="auto" w:sz="12"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装配整体式剪力墙结构</w:t>
            </w:r>
          </w:p>
        </w:tc>
        <w:tc>
          <w:tcPr>
            <w:tcW w:w="1690" w:type="dxa"/>
            <w:tcBorders>
              <w:bottom w:val="single" w:color="auto" w:sz="12"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130</w:t>
            </w:r>
          </w:p>
          <w:p>
            <w:pPr>
              <w:autoSpaceDE w:val="0"/>
              <w:adjustRightInd/>
              <w:spacing w:line="240" w:lineRule="auto"/>
              <w:jc w:val="center"/>
              <w:rPr>
                <w:rFonts w:ascii="宋体" w:hAnsi="宋体"/>
                <w:sz w:val="18"/>
                <w:szCs w:val="18"/>
              </w:rPr>
            </w:pPr>
            <w:r>
              <w:rPr>
                <w:rFonts w:ascii="宋体" w:hAnsi="宋体"/>
                <w:sz w:val="18"/>
                <w:szCs w:val="18"/>
              </w:rPr>
              <w:t>（120）</w:t>
            </w:r>
          </w:p>
        </w:tc>
        <w:tc>
          <w:tcPr>
            <w:tcW w:w="1701" w:type="dxa"/>
            <w:tcBorders>
              <w:bottom w:val="single" w:color="auto" w:sz="12"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110</w:t>
            </w:r>
          </w:p>
          <w:p>
            <w:pPr>
              <w:autoSpaceDE w:val="0"/>
              <w:adjustRightInd/>
              <w:spacing w:line="240" w:lineRule="auto"/>
              <w:jc w:val="center"/>
              <w:rPr>
                <w:rFonts w:ascii="宋体" w:hAnsi="宋体"/>
                <w:sz w:val="18"/>
                <w:szCs w:val="18"/>
              </w:rPr>
            </w:pPr>
            <w:r>
              <w:rPr>
                <w:rFonts w:ascii="宋体" w:hAnsi="宋体"/>
                <w:sz w:val="18"/>
                <w:szCs w:val="18"/>
              </w:rPr>
              <w:t>（100）</w:t>
            </w:r>
          </w:p>
        </w:tc>
        <w:tc>
          <w:tcPr>
            <w:tcW w:w="1695" w:type="dxa"/>
            <w:tcBorders>
              <w:bottom w:val="single" w:color="auto" w:sz="12" w:space="0"/>
            </w:tcBorders>
            <w:vAlign w:val="center"/>
          </w:tcPr>
          <w:p>
            <w:pPr>
              <w:autoSpaceDE w:val="0"/>
              <w:adjustRightInd/>
              <w:spacing w:line="240" w:lineRule="auto"/>
              <w:jc w:val="center"/>
              <w:rPr>
                <w:rFonts w:ascii="Times New Roman" w:hAnsi="Times New Roman"/>
                <w:sz w:val="18"/>
                <w:szCs w:val="18"/>
              </w:rPr>
            </w:pPr>
            <w:r>
              <w:rPr>
                <w:rFonts w:ascii="Times New Roman" w:hAnsi="Times New Roman"/>
                <w:sz w:val="18"/>
                <w:szCs w:val="18"/>
              </w:rPr>
              <w:t>——</w:t>
            </w:r>
          </w:p>
        </w:tc>
      </w:tr>
    </w:tbl>
    <w:p>
      <w:pPr>
        <w:snapToGrid w:val="0"/>
        <w:spacing w:line="240" w:lineRule="auto"/>
        <w:rPr>
          <w:rFonts w:ascii="黑体" w:hAnsi="黑体" w:eastAsia="黑体"/>
          <w:kern w:val="0"/>
        </w:rPr>
      </w:pPr>
    </w:p>
    <w:p>
      <w:pPr>
        <w:pStyle w:val="58"/>
        <w:ind w:firstLine="0" w:firstLineChars="0"/>
        <w:rPr>
          <w:rFonts w:hAnsi="黑体"/>
          <w:bCs/>
        </w:rPr>
      </w:pPr>
      <w:r>
        <w:rPr>
          <w:rFonts w:hint="eastAsia" w:ascii="黑体" w:hAnsi="黑体" w:eastAsia="黑体"/>
        </w:rPr>
        <w:t>4.1</w:t>
      </w:r>
      <w:r>
        <w:rPr>
          <w:rFonts w:ascii="黑体" w:hAnsi="黑体" w:eastAsia="黑体"/>
        </w:rPr>
        <w:t>.2</w:t>
      </w:r>
      <w:r>
        <w:rPr>
          <w:rFonts w:hint="eastAsia" w:ascii="黑体" w:hAnsi="黑体" w:eastAsia="黑体"/>
        </w:rPr>
        <w:t xml:space="preserve"> </w:t>
      </w:r>
      <w:r>
        <w:rPr>
          <w:rFonts w:hint="eastAsia" w:hAnsi="黑体"/>
          <w:bCs/>
        </w:rPr>
        <w:t>高层装配整体式混凝土结构的高宽比不宜超过表</w:t>
      </w:r>
      <w:r>
        <w:rPr>
          <w:rFonts w:hAnsi="黑体"/>
          <w:bCs/>
        </w:rPr>
        <w:t>2</w:t>
      </w:r>
      <w:r>
        <w:rPr>
          <w:rFonts w:hint="eastAsia" w:hAnsi="黑体"/>
          <w:bCs/>
        </w:rPr>
        <w:t>的数值。</w:t>
      </w:r>
    </w:p>
    <w:p>
      <w:pPr>
        <w:pStyle w:val="58"/>
        <w:spacing w:before="156" w:beforeLines="50" w:after="156" w:afterLines="50"/>
        <w:ind w:firstLine="0" w:firstLineChars="0"/>
        <w:jc w:val="center"/>
        <w:rPr>
          <w:rFonts w:ascii="黑体" w:hAnsi="黑体" w:eastAsia="黑体"/>
        </w:rPr>
      </w:pPr>
      <w:r>
        <w:rPr>
          <w:rFonts w:ascii="黑体" w:hAnsi="黑体" w:eastAsia="黑体"/>
        </w:rPr>
        <w:t xml:space="preserve">表2 </w:t>
      </w:r>
      <w:r>
        <w:rPr>
          <w:rFonts w:hint="eastAsia" w:ascii="黑体" w:hAnsi="黑体" w:eastAsia="黑体"/>
        </w:rPr>
        <w:t>高层装配整体式混凝土结构适用的最大高宽比</w:t>
      </w:r>
    </w:p>
    <w:tbl>
      <w:tblPr>
        <w:tblStyle w:val="27"/>
        <w:tblW w:w="9214"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
      <w:tblGrid>
        <w:gridCol w:w="3355"/>
        <w:gridCol w:w="2529"/>
        <w:gridCol w:w="3330"/>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3355" w:type="dxa"/>
            <w:vMerge w:val="restart"/>
            <w:tcBorders>
              <w:top w:val="single" w:color="000000" w:sz="12" w:space="0"/>
              <w:left w:val="single" w:color="000000" w:sz="12" w:space="0"/>
              <w:bottom w:val="single" w:color="000000" w:sz="4" w:space="0"/>
              <w:right w:val="single" w:color="000000" w:sz="4" w:space="0"/>
            </w:tcBorders>
            <w:vAlign w:val="center"/>
          </w:tcPr>
          <w:p>
            <w:pPr>
              <w:autoSpaceDE w:val="0"/>
              <w:spacing w:line="240" w:lineRule="auto"/>
              <w:jc w:val="center"/>
              <w:rPr>
                <w:rFonts w:ascii="宋体" w:hAnsi="宋体"/>
                <w:sz w:val="18"/>
                <w:szCs w:val="18"/>
              </w:rPr>
            </w:pPr>
            <w:r>
              <w:rPr>
                <w:rFonts w:ascii="宋体" w:hAnsi="宋体"/>
                <w:sz w:val="18"/>
                <w:szCs w:val="18"/>
              </w:rPr>
              <w:t>结构类型</w:t>
            </w:r>
          </w:p>
        </w:tc>
        <w:tc>
          <w:tcPr>
            <w:tcW w:w="5859" w:type="dxa"/>
            <w:gridSpan w:val="2"/>
            <w:tcBorders>
              <w:top w:val="single" w:color="000000" w:sz="12" w:space="0"/>
              <w:left w:val="single" w:color="000000" w:sz="4" w:space="0"/>
              <w:bottom w:val="single" w:color="000000" w:sz="4" w:space="0"/>
              <w:right w:val="single" w:color="000000" w:sz="12" w:space="0"/>
            </w:tcBorders>
            <w:vAlign w:val="center"/>
          </w:tcPr>
          <w:p>
            <w:pPr>
              <w:autoSpaceDE w:val="0"/>
              <w:spacing w:line="240" w:lineRule="auto"/>
              <w:jc w:val="center"/>
              <w:rPr>
                <w:rFonts w:ascii="宋体" w:hAnsi="宋体"/>
                <w:sz w:val="18"/>
                <w:szCs w:val="18"/>
              </w:rPr>
            </w:pPr>
            <w:r>
              <w:rPr>
                <w:rFonts w:ascii="宋体" w:hAnsi="宋体"/>
                <w:sz w:val="18"/>
                <w:szCs w:val="18"/>
              </w:rPr>
              <w:t>抗震设防烈度</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3355" w:type="dxa"/>
            <w:vMerge w:val="continue"/>
            <w:tcBorders>
              <w:top w:val="single" w:color="000000" w:sz="12" w:space="0"/>
              <w:left w:val="single" w:color="000000" w:sz="12" w:space="0"/>
              <w:bottom w:val="single" w:color="000000" w:sz="4" w:space="0"/>
              <w:right w:val="single" w:color="000000" w:sz="4" w:space="0"/>
            </w:tcBorders>
            <w:vAlign w:val="center"/>
          </w:tcPr>
          <w:p>
            <w:pPr>
              <w:widowControl/>
              <w:spacing w:line="240" w:lineRule="auto"/>
              <w:jc w:val="left"/>
              <w:rPr>
                <w:rFonts w:ascii="宋体" w:hAnsi="宋体"/>
                <w:sz w:val="18"/>
                <w:szCs w:val="18"/>
              </w:rPr>
            </w:pPr>
          </w:p>
        </w:tc>
        <w:tc>
          <w:tcPr>
            <w:tcW w:w="2529" w:type="dxa"/>
            <w:tcBorders>
              <w:top w:val="single" w:color="000000" w:sz="4" w:space="0"/>
              <w:left w:val="single" w:color="000000" w:sz="4" w:space="0"/>
              <w:bottom w:val="single" w:color="000000" w:sz="4" w:space="0"/>
              <w:right w:val="single" w:color="000000" w:sz="4" w:space="0"/>
            </w:tcBorders>
            <w:vAlign w:val="center"/>
          </w:tcPr>
          <w:p>
            <w:pPr>
              <w:autoSpaceDE w:val="0"/>
              <w:spacing w:line="240" w:lineRule="auto"/>
              <w:jc w:val="center"/>
              <w:rPr>
                <w:rFonts w:ascii="宋体" w:hAnsi="宋体"/>
                <w:sz w:val="18"/>
                <w:szCs w:val="18"/>
              </w:rPr>
            </w:pPr>
            <w:r>
              <w:rPr>
                <w:rFonts w:ascii="宋体" w:hAnsi="宋体"/>
                <w:sz w:val="18"/>
                <w:szCs w:val="18"/>
              </w:rPr>
              <w:t>6度、7度</w:t>
            </w:r>
          </w:p>
        </w:tc>
        <w:tc>
          <w:tcPr>
            <w:tcW w:w="3330" w:type="dxa"/>
            <w:tcBorders>
              <w:top w:val="single" w:color="000000" w:sz="4" w:space="0"/>
              <w:left w:val="single" w:color="000000" w:sz="4" w:space="0"/>
              <w:bottom w:val="single" w:color="000000" w:sz="4" w:space="0"/>
              <w:right w:val="single" w:color="000000" w:sz="12" w:space="0"/>
            </w:tcBorders>
            <w:vAlign w:val="center"/>
          </w:tcPr>
          <w:p>
            <w:pPr>
              <w:autoSpaceDE w:val="0"/>
              <w:spacing w:line="240" w:lineRule="auto"/>
              <w:jc w:val="center"/>
              <w:rPr>
                <w:rFonts w:ascii="宋体" w:hAnsi="宋体"/>
                <w:sz w:val="18"/>
                <w:szCs w:val="18"/>
              </w:rPr>
            </w:pPr>
            <w:r>
              <w:rPr>
                <w:rFonts w:ascii="宋体" w:hAnsi="宋体"/>
                <w:sz w:val="18"/>
                <w:szCs w:val="18"/>
              </w:rPr>
              <w:t>8度</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3355" w:type="dxa"/>
            <w:tcBorders>
              <w:top w:val="single" w:color="000000" w:sz="4" w:space="0"/>
              <w:left w:val="single" w:color="000000" w:sz="12" w:space="0"/>
              <w:bottom w:val="single" w:color="000000" w:sz="4" w:space="0"/>
              <w:right w:val="single" w:color="000000" w:sz="4" w:space="0"/>
            </w:tcBorders>
            <w:vAlign w:val="center"/>
          </w:tcPr>
          <w:p>
            <w:pPr>
              <w:autoSpaceDE w:val="0"/>
              <w:spacing w:line="240" w:lineRule="auto"/>
              <w:jc w:val="center"/>
              <w:rPr>
                <w:rFonts w:ascii="宋体" w:hAnsi="宋体"/>
                <w:sz w:val="18"/>
                <w:szCs w:val="18"/>
              </w:rPr>
            </w:pPr>
            <w:r>
              <w:rPr>
                <w:rFonts w:ascii="宋体" w:hAnsi="宋体"/>
                <w:sz w:val="18"/>
                <w:szCs w:val="18"/>
              </w:rPr>
              <w:t>装配整体式框架结构</w:t>
            </w:r>
          </w:p>
        </w:tc>
        <w:tc>
          <w:tcPr>
            <w:tcW w:w="2529" w:type="dxa"/>
            <w:tcBorders>
              <w:top w:val="single" w:color="000000" w:sz="4" w:space="0"/>
              <w:left w:val="single" w:color="000000" w:sz="4" w:space="0"/>
              <w:bottom w:val="single" w:color="000000" w:sz="4" w:space="0"/>
              <w:right w:val="single" w:color="000000" w:sz="4" w:space="0"/>
            </w:tcBorders>
            <w:vAlign w:val="center"/>
          </w:tcPr>
          <w:p>
            <w:pPr>
              <w:autoSpaceDE w:val="0"/>
              <w:spacing w:line="240" w:lineRule="auto"/>
              <w:jc w:val="center"/>
              <w:rPr>
                <w:rFonts w:ascii="宋体" w:hAnsi="宋体"/>
                <w:sz w:val="18"/>
                <w:szCs w:val="18"/>
              </w:rPr>
            </w:pPr>
            <w:r>
              <w:rPr>
                <w:rFonts w:ascii="宋体" w:hAnsi="宋体"/>
                <w:sz w:val="18"/>
                <w:szCs w:val="18"/>
              </w:rPr>
              <w:t>4</w:t>
            </w:r>
          </w:p>
        </w:tc>
        <w:tc>
          <w:tcPr>
            <w:tcW w:w="3330" w:type="dxa"/>
            <w:tcBorders>
              <w:top w:val="single" w:color="000000" w:sz="4" w:space="0"/>
              <w:left w:val="single" w:color="000000" w:sz="4" w:space="0"/>
              <w:bottom w:val="single" w:color="000000" w:sz="4" w:space="0"/>
              <w:right w:val="single" w:color="000000" w:sz="12" w:space="0"/>
            </w:tcBorders>
            <w:vAlign w:val="center"/>
          </w:tcPr>
          <w:p>
            <w:pPr>
              <w:autoSpaceDE w:val="0"/>
              <w:spacing w:line="240" w:lineRule="auto"/>
              <w:jc w:val="center"/>
              <w:rPr>
                <w:rFonts w:ascii="宋体" w:hAnsi="宋体"/>
                <w:sz w:val="18"/>
                <w:szCs w:val="18"/>
              </w:rPr>
            </w:pPr>
            <w:r>
              <w:rPr>
                <w:rFonts w:ascii="宋体" w:hAnsi="宋体"/>
                <w:sz w:val="18"/>
                <w:szCs w:val="18"/>
              </w:rPr>
              <w:t>3</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3355" w:type="dxa"/>
            <w:tcBorders>
              <w:top w:val="single" w:color="000000" w:sz="4" w:space="0"/>
              <w:left w:val="single" w:color="000000" w:sz="12" w:space="0"/>
              <w:bottom w:val="single" w:color="000000" w:sz="4" w:space="0"/>
              <w:right w:val="single" w:color="000000" w:sz="4" w:space="0"/>
            </w:tcBorders>
            <w:vAlign w:val="center"/>
          </w:tcPr>
          <w:p>
            <w:pPr>
              <w:autoSpaceDE w:val="0"/>
              <w:spacing w:line="240" w:lineRule="auto"/>
              <w:jc w:val="center"/>
              <w:rPr>
                <w:rFonts w:ascii="宋体" w:hAnsi="宋体"/>
                <w:sz w:val="18"/>
                <w:szCs w:val="18"/>
              </w:rPr>
            </w:pPr>
            <w:r>
              <w:rPr>
                <w:rFonts w:ascii="宋体" w:hAnsi="宋体"/>
                <w:sz w:val="18"/>
                <w:szCs w:val="18"/>
              </w:rPr>
              <w:t>装配整体式框架-现浇剪力墙结构</w:t>
            </w:r>
          </w:p>
        </w:tc>
        <w:tc>
          <w:tcPr>
            <w:tcW w:w="2529" w:type="dxa"/>
            <w:tcBorders>
              <w:top w:val="single" w:color="000000" w:sz="4" w:space="0"/>
              <w:left w:val="single" w:color="000000" w:sz="4" w:space="0"/>
              <w:bottom w:val="single" w:color="000000" w:sz="4" w:space="0"/>
              <w:right w:val="single" w:color="000000" w:sz="4" w:space="0"/>
            </w:tcBorders>
            <w:vAlign w:val="center"/>
          </w:tcPr>
          <w:p>
            <w:pPr>
              <w:autoSpaceDE w:val="0"/>
              <w:spacing w:line="240" w:lineRule="auto"/>
              <w:jc w:val="center"/>
              <w:rPr>
                <w:rFonts w:ascii="宋体" w:hAnsi="宋体"/>
                <w:sz w:val="18"/>
                <w:szCs w:val="18"/>
              </w:rPr>
            </w:pPr>
            <w:r>
              <w:rPr>
                <w:rFonts w:ascii="宋体" w:hAnsi="宋体"/>
                <w:sz w:val="18"/>
                <w:szCs w:val="18"/>
              </w:rPr>
              <w:t>6</w:t>
            </w:r>
          </w:p>
        </w:tc>
        <w:tc>
          <w:tcPr>
            <w:tcW w:w="3330" w:type="dxa"/>
            <w:tcBorders>
              <w:top w:val="single" w:color="000000" w:sz="4" w:space="0"/>
              <w:left w:val="single" w:color="000000" w:sz="4" w:space="0"/>
              <w:bottom w:val="single" w:color="000000" w:sz="4" w:space="0"/>
              <w:right w:val="single" w:color="000000" w:sz="12" w:space="0"/>
            </w:tcBorders>
            <w:vAlign w:val="center"/>
          </w:tcPr>
          <w:p>
            <w:pPr>
              <w:autoSpaceDE w:val="0"/>
              <w:spacing w:line="240" w:lineRule="auto"/>
              <w:jc w:val="center"/>
              <w:rPr>
                <w:rFonts w:ascii="宋体" w:hAnsi="宋体"/>
                <w:sz w:val="18"/>
                <w:szCs w:val="18"/>
              </w:rPr>
            </w:pPr>
            <w:r>
              <w:rPr>
                <w:rFonts w:ascii="宋体" w:hAnsi="宋体"/>
                <w:sz w:val="18"/>
                <w:szCs w:val="18"/>
              </w:rPr>
              <w:t>5</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3355" w:type="dxa"/>
            <w:tcBorders>
              <w:top w:val="single" w:color="000000" w:sz="4" w:space="0"/>
              <w:left w:val="single" w:color="000000" w:sz="12" w:space="0"/>
              <w:bottom w:val="single" w:color="000000" w:sz="12" w:space="0"/>
              <w:right w:val="single" w:color="000000" w:sz="4" w:space="0"/>
            </w:tcBorders>
            <w:vAlign w:val="center"/>
          </w:tcPr>
          <w:p>
            <w:pPr>
              <w:autoSpaceDE w:val="0"/>
              <w:spacing w:line="240" w:lineRule="auto"/>
              <w:jc w:val="center"/>
              <w:rPr>
                <w:rFonts w:ascii="宋体" w:hAnsi="宋体"/>
                <w:sz w:val="18"/>
                <w:szCs w:val="18"/>
              </w:rPr>
            </w:pPr>
            <w:r>
              <w:rPr>
                <w:rFonts w:ascii="宋体" w:hAnsi="宋体"/>
                <w:sz w:val="18"/>
                <w:szCs w:val="18"/>
              </w:rPr>
              <w:t>装配整体式剪力墙结构</w:t>
            </w:r>
          </w:p>
        </w:tc>
        <w:tc>
          <w:tcPr>
            <w:tcW w:w="2529" w:type="dxa"/>
            <w:tcBorders>
              <w:top w:val="single" w:color="000000" w:sz="4" w:space="0"/>
              <w:left w:val="single" w:color="000000" w:sz="4" w:space="0"/>
              <w:bottom w:val="single" w:color="000000" w:sz="12" w:space="0"/>
              <w:right w:val="single" w:color="000000" w:sz="4" w:space="0"/>
            </w:tcBorders>
            <w:vAlign w:val="center"/>
          </w:tcPr>
          <w:p>
            <w:pPr>
              <w:autoSpaceDE w:val="0"/>
              <w:spacing w:line="240" w:lineRule="auto"/>
              <w:jc w:val="center"/>
              <w:rPr>
                <w:rFonts w:ascii="宋体" w:hAnsi="宋体"/>
                <w:sz w:val="18"/>
                <w:szCs w:val="18"/>
              </w:rPr>
            </w:pPr>
            <w:r>
              <w:rPr>
                <w:rFonts w:ascii="宋体" w:hAnsi="宋体"/>
                <w:sz w:val="18"/>
                <w:szCs w:val="18"/>
              </w:rPr>
              <w:t>6</w:t>
            </w:r>
          </w:p>
        </w:tc>
        <w:tc>
          <w:tcPr>
            <w:tcW w:w="3330" w:type="dxa"/>
            <w:tcBorders>
              <w:top w:val="single" w:color="000000" w:sz="4" w:space="0"/>
              <w:left w:val="single" w:color="000000" w:sz="4" w:space="0"/>
              <w:bottom w:val="single" w:color="000000" w:sz="12" w:space="0"/>
              <w:right w:val="single" w:color="000000" w:sz="12" w:space="0"/>
            </w:tcBorders>
            <w:vAlign w:val="center"/>
          </w:tcPr>
          <w:p>
            <w:pPr>
              <w:autoSpaceDE w:val="0"/>
              <w:spacing w:line="240" w:lineRule="auto"/>
              <w:jc w:val="center"/>
              <w:rPr>
                <w:rFonts w:ascii="Times New Roman" w:hAnsi="Times New Roman"/>
                <w:sz w:val="18"/>
                <w:szCs w:val="18"/>
              </w:rPr>
            </w:pPr>
            <w:r>
              <w:rPr>
                <w:rFonts w:ascii="Times New Roman" w:hAnsi="Times New Roman"/>
                <w:sz w:val="18"/>
                <w:szCs w:val="18"/>
              </w:rPr>
              <w:t>——</w:t>
            </w:r>
          </w:p>
        </w:tc>
      </w:tr>
    </w:tbl>
    <w:p>
      <w:pPr>
        <w:spacing w:line="240" w:lineRule="auto"/>
        <w:jc w:val="center"/>
        <w:rPr>
          <w:rFonts w:ascii="黑体" w:hAnsi="黑体" w:eastAsia="黑体"/>
        </w:rPr>
      </w:pPr>
    </w:p>
    <w:p>
      <w:pPr>
        <w:pStyle w:val="58"/>
        <w:ind w:firstLine="0" w:firstLineChars="0"/>
        <w:rPr>
          <w:rFonts w:hAnsi="黑体"/>
          <w:bCs/>
        </w:rPr>
      </w:pPr>
      <w:r>
        <w:rPr>
          <w:rFonts w:hint="eastAsia" w:ascii="黑体" w:hAnsi="黑体" w:eastAsia="黑体"/>
        </w:rPr>
        <w:t>4</w:t>
      </w:r>
      <w:r>
        <w:rPr>
          <w:rFonts w:ascii="黑体" w:hAnsi="黑体" w:eastAsia="黑体"/>
        </w:rPr>
        <w:t xml:space="preserve">.1.3 </w:t>
      </w:r>
      <w:r>
        <w:rPr>
          <w:rFonts w:hint="eastAsia" w:hAnsi="黑体"/>
          <w:bCs/>
        </w:rPr>
        <w:t>预制预应力混凝土装配整体式结构应根据设防类别、设防烈度、结构类型和房屋高度采用不同的抗震等级，并应符合相应的内力调整和抗震构造措施要求。抗震等级应符合下列规定：</w:t>
      </w:r>
    </w:p>
    <w:p>
      <w:pPr>
        <w:pStyle w:val="58"/>
        <w:ind w:left="840" w:leftChars="200" w:hanging="420" w:hangingChars="200"/>
        <w:rPr>
          <w:rFonts w:hint="eastAsia" w:eastAsia="宋体"/>
          <w:bCs/>
          <w:szCs w:val="21"/>
          <w:lang w:eastAsia="zh-CN"/>
        </w:rPr>
      </w:pPr>
      <w:r>
        <w:t>a</w:t>
      </w:r>
      <w:r>
        <w:rPr>
          <w:rFonts w:hint="eastAsia"/>
        </w:rPr>
        <w:t>)</w:t>
      </w:r>
      <w:r>
        <w:tab/>
      </w:r>
      <w:r>
        <w:rPr>
          <w:rFonts w:hint="eastAsia"/>
          <w:bCs/>
          <w:szCs w:val="21"/>
        </w:rPr>
        <w:t>丙类建筑的抗震等级应按表3确定</w:t>
      </w:r>
      <w:r>
        <w:rPr>
          <w:rFonts w:hint="eastAsia"/>
          <w:bCs/>
          <w:szCs w:val="21"/>
          <w:lang w:eastAsia="zh-CN"/>
        </w:rPr>
        <w:t>；</w:t>
      </w:r>
    </w:p>
    <w:p>
      <w:pPr>
        <w:pStyle w:val="58"/>
        <w:spacing w:before="156" w:beforeLines="50" w:after="156" w:afterLines="50"/>
        <w:ind w:firstLine="0" w:firstLineChars="0"/>
        <w:jc w:val="center"/>
        <w:rPr>
          <w:rFonts w:ascii="黑体" w:hAnsi="黑体" w:eastAsia="黑体"/>
        </w:rPr>
      </w:pPr>
      <w:r>
        <w:rPr>
          <w:rFonts w:ascii="黑体" w:hAnsi="黑体" w:eastAsia="黑体"/>
        </w:rPr>
        <w:t xml:space="preserve">表3 </w:t>
      </w:r>
      <w:r>
        <w:rPr>
          <w:rFonts w:hint="eastAsia" w:ascii="黑体" w:hAnsi="黑体" w:eastAsia="黑体"/>
        </w:rPr>
        <w:t>丙类预制预应力混凝土装配整体式结构的抗震等级</w:t>
      </w:r>
    </w:p>
    <w:tbl>
      <w:tblPr>
        <w:tblStyle w:val="27"/>
        <w:tblW w:w="9072"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334"/>
        <w:gridCol w:w="1305"/>
        <w:gridCol w:w="622"/>
        <w:gridCol w:w="947"/>
        <w:gridCol w:w="643"/>
        <w:gridCol w:w="542"/>
        <w:gridCol w:w="244"/>
        <w:gridCol w:w="33"/>
        <w:gridCol w:w="851"/>
        <w:gridCol w:w="709"/>
        <w:gridCol w:w="101"/>
        <w:gridCol w:w="749"/>
        <w:gridCol w:w="992"/>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39" w:type="dxa"/>
            <w:gridSpan w:val="2"/>
            <w:vMerge w:val="restart"/>
            <w:tcBorders>
              <w:top w:val="single" w:color="auto" w:sz="12" w:space="0"/>
              <w:left w:val="single" w:color="auto" w:sz="12" w:space="0"/>
              <w:bottom w:val="single" w:color="auto" w:sz="12"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结构类型</w:t>
            </w:r>
          </w:p>
        </w:tc>
        <w:tc>
          <w:tcPr>
            <w:tcW w:w="6433" w:type="dxa"/>
            <w:gridSpan w:val="11"/>
            <w:tcBorders>
              <w:top w:val="single" w:color="auto" w:sz="12" w:space="0"/>
              <w:left w:val="single" w:color="auto" w:sz="4" w:space="0"/>
              <w:bottom w:val="single" w:color="auto" w:sz="4" w:space="0"/>
              <w:right w:val="single" w:color="auto" w:sz="12" w:space="0"/>
            </w:tcBorders>
            <w:vAlign w:val="center"/>
          </w:tcPr>
          <w:p>
            <w:pPr>
              <w:autoSpaceDE w:val="0"/>
              <w:adjustRightInd/>
              <w:spacing w:line="240" w:lineRule="auto"/>
              <w:jc w:val="center"/>
              <w:rPr>
                <w:rFonts w:ascii="宋体" w:hAnsi="宋体"/>
                <w:sz w:val="18"/>
                <w:szCs w:val="18"/>
              </w:rPr>
            </w:pPr>
            <w:r>
              <w:rPr>
                <w:rFonts w:hint="eastAsia" w:ascii="宋体" w:hAnsi="宋体"/>
                <w:sz w:val="18"/>
                <w:szCs w:val="18"/>
              </w:rPr>
              <w:t>抗震设防</w:t>
            </w:r>
            <w:r>
              <w:rPr>
                <w:rFonts w:ascii="宋体" w:hAnsi="宋体"/>
                <w:sz w:val="18"/>
                <w:szCs w:val="18"/>
              </w:rPr>
              <w:t>烈度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39" w:type="dxa"/>
            <w:gridSpan w:val="2"/>
            <w:vMerge w:val="continue"/>
            <w:tcBorders>
              <w:top w:val="single" w:color="auto" w:sz="12" w:space="0"/>
              <w:left w:val="single" w:color="auto" w:sz="12" w:space="0"/>
              <w:bottom w:val="single" w:color="auto" w:sz="12" w:space="0"/>
              <w:right w:val="single" w:color="auto" w:sz="4" w:space="0"/>
            </w:tcBorders>
            <w:vAlign w:val="center"/>
          </w:tcPr>
          <w:p>
            <w:pPr>
              <w:widowControl/>
              <w:adjustRightInd/>
              <w:spacing w:line="240" w:lineRule="auto"/>
              <w:jc w:val="left"/>
              <w:rPr>
                <w:rFonts w:ascii="宋体" w:hAnsi="宋体"/>
                <w:sz w:val="18"/>
                <w:szCs w:val="18"/>
              </w:rPr>
            </w:pPr>
          </w:p>
        </w:tc>
        <w:tc>
          <w:tcPr>
            <w:tcW w:w="1569" w:type="dxa"/>
            <w:gridSpan w:val="2"/>
            <w:tcBorders>
              <w:top w:val="single" w:color="auto" w:sz="4" w:space="0"/>
              <w:left w:val="single" w:color="auto" w:sz="4" w:space="0"/>
              <w:bottom w:val="single" w:color="auto" w:sz="12"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6度</w:t>
            </w:r>
          </w:p>
        </w:tc>
        <w:tc>
          <w:tcPr>
            <w:tcW w:w="2313" w:type="dxa"/>
            <w:gridSpan w:val="5"/>
            <w:tcBorders>
              <w:top w:val="single" w:color="auto" w:sz="4" w:space="0"/>
              <w:left w:val="single" w:color="auto" w:sz="4" w:space="0"/>
              <w:bottom w:val="single" w:color="auto" w:sz="12"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7度</w:t>
            </w:r>
          </w:p>
        </w:tc>
        <w:tc>
          <w:tcPr>
            <w:tcW w:w="2551" w:type="dxa"/>
            <w:gridSpan w:val="4"/>
            <w:tcBorders>
              <w:top w:val="single" w:color="auto" w:sz="4" w:space="0"/>
              <w:left w:val="single" w:color="auto" w:sz="4" w:space="0"/>
              <w:bottom w:val="single" w:color="auto" w:sz="12" w:space="0"/>
              <w:right w:val="single" w:color="auto" w:sz="12"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8度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34" w:type="dxa"/>
            <w:vMerge w:val="restart"/>
            <w:tcBorders>
              <w:top w:val="single" w:color="auto" w:sz="12" w:space="0"/>
              <w:left w:val="single" w:color="auto" w:sz="12" w:space="0"/>
              <w:bottom w:val="single" w:color="auto" w:sz="4"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装配整体式框架结构</w:t>
            </w:r>
          </w:p>
        </w:tc>
        <w:tc>
          <w:tcPr>
            <w:tcW w:w="1305" w:type="dxa"/>
            <w:tcBorders>
              <w:top w:val="single" w:color="auto" w:sz="12" w:space="0"/>
              <w:left w:val="single" w:color="auto" w:sz="4" w:space="0"/>
              <w:bottom w:val="single" w:color="auto" w:sz="4"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高度(m)</w:t>
            </w:r>
          </w:p>
        </w:tc>
        <w:tc>
          <w:tcPr>
            <w:tcW w:w="622" w:type="dxa"/>
            <w:tcBorders>
              <w:top w:val="single" w:color="auto" w:sz="12" w:space="0"/>
              <w:left w:val="single" w:color="auto" w:sz="4" w:space="0"/>
              <w:bottom w:val="single" w:color="auto" w:sz="4" w:space="0"/>
              <w:right w:val="single" w:color="auto" w:sz="4" w:space="0"/>
            </w:tcBorders>
            <w:vAlign w:val="center"/>
          </w:tcPr>
          <w:p>
            <w:pPr>
              <w:autoSpaceDE w:val="0"/>
              <w:adjustRightInd/>
              <w:spacing w:line="240" w:lineRule="auto"/>
              <w:jc w:val="center"/>
              <w:rPr>
                <w:rFonts w:ascii="宋体" w:hAnsi="宋体"/>
                <w:sz w:val="18"/>
                <w:szCs w:val="18"/>
              </w:rPr>
            </w:pPr>
            <w:r>
              <w:rPr>
                <w:rFonts w:hint="eastAsia" w:ascii="宋体" w:hAnsi="宋体"/>
                <w:sz w:val="18"/>
                <w:szCs w:val="18"/>
              </w:rPr>
              <w:t>≤</w:t>
            </w:r>
            <w:r>
              <w:rPr>
                <w:rFonts w:ascii="宋体" w:hAnsi="宋体"/>
                <w:sz w:val="18"/>
                <w:szCs w:val="18"/>
              </w:rPr>
              <w:t>24</w:t>
            </w:r>
          </w:p>
        </w:tc>
        <w:tc>
          <w:tcPr>
            <w:tcW w:w="947" w:type="dxa"/>
            <w:tcBorders>
              <w:top w:val="single" w:color="auto" w:sz="12" w:space="0"/>
              <w:left w:val="single" w:color="auto" w:sz="4" w:space="0"/>
              <w:bottom w:val="single" w:color="auto" w:sz="4"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25</w:t>
            </w:r>
            <w:r>
              <w:rPr>
                <w:rFonts w:hint="eastAsia" w:ascii="宋体" w:hAnsi="宋体"/>
                <w:sz w:val="18"/>
                <w:szCs w:val="18"/>
              </w:rPr>
              <w:t>～</w:t>
            </w:r>
            <w:r>
              <w:rPr>
                <w:rFonts w:ascii="宋体" w:hAnsi="宋体"/>
                <w:sz w:val="18"/>
                <w:szCs w:val="18"/>
              </w:rPr>
              <w:t>60</w:t>
            </w:r>
          </w:p>
        </w:tc>
        <w:tc>
          <w:tcPr>
            <w:tcW w:w="1185" w:type="dxa"/>
            <w:gridSpan w:val="2"/>
            <w:tcBorders>
              <w:top w:val="single" w:color="auto" w:sz="12" w:space="0"/>
              <w:left w:val="single" w:color="auto" w:sz="4" w:space="0"/>
              <w:bottom w:val="single" w:color="auto" w:sz="4" w:space="0"/>
              <w:right w:val="single" w:color="auto" w:sz="4" w:space="0"/>
            </w:tcBorders>
            <w:vAlign w:val="center"/>
          </w:tcPr>
          <w:p>
            <w:pPr>
              <w:autoSpaceDE w:val="0"/>
              <w:adjustRightInd/>
              <w:spacing w:line="240" w:lineRule="auto"/>
              <w:jc w:val="center"/>
              <w:rPr>
                <w:rFonts w:ascii="宋体" w:hAnsi="宋体"/>
                <w:sz w:val="18"/>
                <w:szCs w:val="18"/>
              </w:rPr>
            </w:pPr>
            <w:r>
              <w:rPr>
                <w:rFonts w:hint="eastAsia" w:ascii="宋体" w:hAnsi="宋体"/>
                <w:sz w:val="18"/>
                <w:szCs w:val="18"/>
              </w:rPr>
              <w:t>≤</w:t>
            </w:r>
            <w:r>
              <w:rPr>
                <w:rFonts w:ascii="宋体" w:hAnsi="宋体"/>
                <w:sz w:val="18"/>
                <w:szCs w:val="18"/>
              </w:rPr>
              <w:t>24</w:t>
            </w:r>
          </w:p>
        </w:tc>
        <w:tc>
          <w:tcPr>
            <w:tcW w:w="1128" w:type="dxa"/>
            <w:gridSpan w:val="3"/>
            <w:tcBorders>
              <w:top w:val="single" w:color="auto" w:sz="12" w:space="0"/>
              <w:left w:val="single" w:color="auto" w:sz="4" w:space="0"/>
              <w:bottom w:val="single" w:color="auto" w:sz="4"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25</w:t>
            </w:r>
            <w:r>
              <w:rPr>
                <w:rFonts w:hint="eastAsia" w:ascii="宋体" w:hAnsi="宋体"/>
                <w:sz w:val="18"/>
                <w:szCs w:val="18"/>
              </w:rPr>
              <w:t>～</w:t>
            </w:r>
            <w:r>
              <w:rPr>
                <w:rFonts w:ascii="宋体" w:hAnsi="宋体"/>
                <w:sz w:val="18"/>
                <w:szCs w:val="18"/>
              </w:rPr>
              <w:t>50</w:t>
            </w:r>
          </w:p>
        </w:tc>
        <w:tc>
          <w:tcPr>
            <w:tcW w:w="810" w:type="dxa"/>
            <w:gridSpan w:val="2"/>
            <w:tcBorders>
              <w:top w:val="single" w:color="auto" w:sz="12" w:space="0"/>
              <w:left w:val="single" w:color="auto" w:sz="4" w:space="0"/>
              <w:bottom w:val="single" w:color="auto" w:sz="4" w:space="0"/>
              <w:right w:val="single" w:color="auto" w:sz="4" w:space="0"/>
            </w:tcBorders>
            <w:vAlign w:val="center"/>
          </w:tcPr>
          <w:p>
            <w:pPr>
              <w:autoSpaceDE w:val="0"/>
              <w:adjustRightInd/>
              <w:spacing w:line="240" w:lineRule="auto"/>
              <w:jc w:val="center"/>
              <w:rPr>
                <w:rFonts w:ascii="宋体" w:hAnsi="宋体"/>
                <w:sz w:val="18"/>
                <w:szCs w:val="18"/>
              </w:rPr>
            </w:pPr>
            <w:r>
              <w:rPr>
                <w:rFonts w:hint="eastAsia" w:ascii="宋体" w:hAnsi="宋体"/>
                <w:sz w:val="18"/>
                <w:szCs w:val="18"/>
              </w:rPr>
              <w:t>≤</w:t>
            </w:r>
            <w:r>
              <w:rPr>
                <w:rFonts w:ascii="宋体" w:hAnsi="宋体"/>
                <w:sz w:val="18"/>
                <w:szCs w:val="18"/>
              </w:rPr>
              <w:t>24</w:t>
            </w:r>
          </w:p>
        </w:tc>
        <w:tc>
          <w:tcPr>
            <w:tcW w:w="1741" w:type="dxa"/>
            <w:gridSpan w:val="2"/>
            <w:tcBorders>
              <w:top w:val="single" w:color="auto" w:sz="12" w:space="0"/>
              <w:left w:val="single" w:color="auto" w:sz="4" w:space="0"/>
              <w:bottom w:val="single" w:color="auto" w:sz="4" w:space="0"/>
              <w:right w:val="single" w:color="auto" w:sz="12"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25</w:t>
            </w:r>
            <w:r>
              <w:rPr>
                <w:rFonts w:hint="eastAsia" w:ascii="宋体" w:hAnsi="宋体"/>
                <w:sz w:val="18"/>
                <w:szCs w:val="18"/>
              </w:rPr>
              <w:t>～</w:t>
            </w:r>
            <w:r>
              <w:rPr>
                <w:rFonts w:ascii="宋体" w:hAnsi="宋体"/>
                <w:sz w:val="18"/>
                <w:szCs w:val="18"/>
              </w:rPr>
              <w:t>40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34" w:type="dxa"/>
            <w:vMerge w:val="continue"/>
            <w:tcBorders>
              <w:top w:val="single" w:color="auto" w:sz="4" w:space="0"/>
              <w:left w:val="single" w:color="auto" w:sz="12" w:space="0"/>
              <w:bottom w:val="single" w:color="auto" w:sz="4" w:space="0"/>
              <w:right w:val="single" w:color="auto" w:sz="4" w:space="0"/>
            </w:tcBorders>
            <w:vAlign w:val="center"/>
          </w:tcPr>
          <w:p>
            <w:pPr>
              <w:widowControl/>
              <w:adjustRightInd/>
              <w:spacing w:line="240" w:lineRule="auto"/>
              <w:jc w:val="left"/>
              <w:rPr>
                <w:rFonts w:ascii="宋体" w:hAnsi="宋体"/>
                <w:sz w:val="18"/>
                <w:szCs w:val="18"/>
              </w:rPr>
            </w:pPr>
          </w:p>
        </w:tc>
        <w:tc>
          <w:tcPr>
            <w:tcW w:w="1305" w:type="dxa"/>
            <w:tcBorders>
              <w:top w:val="single" w:color="auto" w:sz="4" w:space="0"/>
              <w:left w:val="single" w:color="auto" w:sz="4" w:space="0"/>
              <w:bottom w:val="single" w:color="auto" w:sz="4"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框架</w:t>
            </w:r>
          </w:p>
        </w:tc>
        <w:tc>
          <w:tcPr>
            <w:tcW w:w="622" w:type="dxa"/>
            <w:tcBorders>
              <w:top w:val="single" w:color="auto" w:sz="4" w:space="0"/>
              <w:left w:val="single" w:color="auto" w:sz="4" w:space="0"/>
              <w:bottom w:val="single" w:color="auto" w:sz="4"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四</w:t>
            </w:r>
          </w:p>
        </w:tc>
        <w:tc>
          <w:tcPr>
            <w:tcW w:w="947" w:type="dxa"/>
            <w:tcBorders>
              <w:top w:val="single" w:color="auto" w:sz="4" w:space="0"/>
              <w:left w:val="single" w:color="auto" w:sz="4" w:space="0"/>
              <w:bottom w:val="single" w:color="auto" w:sz="4"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三</w:t>
            </w:r>
          </w:p>
        </w:tc>
        <w:tc>
          <w:tcPr>
            <w:tcW w:w="1185" w:type="dxa"/>
            <w:gridSpan w:val="2"/>
            <w:tcBorders>
              <w:top w:val="single" w:color="auto" w:sz="4" w:space="0"/>
              <w:left w:val="single" w:color="auto" w:sz="4" w:space="0"/>
              <w:bottom w:val="single" w:color="auto" w:sz="4"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三</w:t>
            </w:r>
          </w:p>
        </w:tc>
        <w:tc>
          <w:tcPr>
            <w:tcW w:w="1128" w:type="dxa"/>
            <w:gridSpan w:val="3"/>
            <w:tcBorders>
              <w:top w:val="single" w:color="auto" w:sz="4" w:space="0"/>
              <w:left w:val="single" w:color="auto" w:sz="4" w:space="0"/>
              <w:bottom w:val="single" w:color="auto" w:sz="4"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二</w:t>
            </w:r>
          </w:p>
        </w:tc>
        <w:tc>
          <w:tcPr>
            <w:tcW w:w="810" w:type="dxa"/>
            <w:gridSpan w:val="2"/>
            <w:tcBorders>
              <w:top w:val="single" w:color="auto" w:sz="4" w:space="0"/>
              <w:left w:val="single" w:color="auto" w:sz="4" w:space="0"/>
              <w:bottom w:val="single" w:color="auto" w:sz="4"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二</w:t>
            </w:r>
          </w:p>
        </w:tc>
        <w:tc>
          <w:tcPr>
            <w:tcW w:w="1741" w:type="dxa"/>
            <w:gridSpan w:val="2"/>
            <w:tcBorders>
              <w:top w:val="single" w:color="auto" w:sz="4" w:space="0"/>
              <w:left w:val="single" w:color="auto" w:sz="4" w:space="0"/>
              <w:bottom w:val="single" w:color="auto" w:sz="4" w:space="0"/>
              <w:right w:val="single" w:color="auto" w:sz="12"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一</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34" w:type="dxa"/>
            <w:vMerge w:val="continue"/>
            <w:tcBorders>
              <w:top w:val="single" w:color="auto" w:sz="4" w:space="0"/>
              <w:left w:val="single" w:color="auto" w:sz="12" w:space="0"/>
              <w:bottom w:val="single" w:color="auto" w:sz="4" w:space="0"/>
              <w:right w:val="single" w:color="auto" w:sz="4" w:space="0"/>
            </w:tcBorders>
            <w:vAlign w:val="center"/>
          </w:tcPr>
          <w:p>
            <w:pPr>
              <w:widowControl/>
              <w:adjustRightInd/>
              <w:spacing w:line="240" w:lineRule="auto"/>
              <w:jc w:val="left"/>
              <w:rPr>
                <w:rFonts w:ascii="宋体" w:hAnsi="宋体"/>
                <w:sz w:val="18"/>
                <w:szCs w:val="18"/>
              </w:rPr>
            </w:pPr>
          </w:p>
        </w:tc>
        <w:tc>
          <w:tcPr>
            <w:tcW w:w="1305" w:type="dxa"/>
            <w:tcBorders>
              <w:top w:val="single" w:color="auto" w:sz="4" w:space="0"/>
              <w:left w:val="single" w:color="auto" w:sz="4" w:space="0"/>
              <w:bottom w:val="single" w:color="auto" w:sz="4"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跨度</w:t>
            </w:r>
            <w:r>
              <w:rPr>
                <w:rFonts w:hint="eastAsia" w:ascii="宋体" w:hAnsi="宋体"/>
                <w:sz w:val="18"/>
                <w:szCs w:val="18"/>
              </w:rPr>
              <w:t>不小于1</w:t>
            </w:r>
            <w:r>
              <w:rPr>
                <w:rFonts w:ascii="宋体" w:hAnsi="宋体"/>
                <w:sz w:val="18"/>
                <w:szCs w:val="18"/>
              </w:rPr>
              <w:t>8</w:t>
            </w:r>
            <w:r>
              <w:rPr>
                <w:rFonts w:hint="eastAsia" w:ascii="宋体" w:hAnsi="宋体"/>
                <w:sz w:val="18"/>
                <w:szCs w:val="18"/>
              </w:rPr>
              <w:t>m的</w:t>
            </w:r>
            <w:r>
              <w:rPr>
                <w:rFonts w:ascii="宋体" w:hAnsi="宋体"/>
                <w:sz w:val="18"/>
                <w:szCs w:val="18"/>
              </w:rPr>
              <w:t>框架</w:t>
            </w:r>
          </w:p>
        </w:tc>
        <w:tc>
          <w:tcPr>
            <w:tcW w:w="1569" w:type="dxa"/>
            <w:gridSpan w:val="2"/>
            <w:tcBorders>
              <w:top w:val="single" w:color="auto" w:sz="4" w:space="0"/>
              <w:left w:val="single" w:color="auto" w:sz="4" w:space="0"/>
              <w:bottom w:val="single" w:color="auto" w:sz="4"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三</w:t>
            </w:r>
          </w:p>
        </w:tc>
        <w:tc>
          <w:tcPr>
            <w:tcW w:w="2313" w:type="dxa"/>
            <w:gridSpan w:val="5"/>
            <w:tcBorders>
              <w:top w:val="single" w:color="auto" w:sz="4" w:space="0"/>
              <w:left w:val="single" w:color="auto" w:sz="4" w:space="0"/>
              <w:bottom w:val="single" w:color="auto" w:sz="4"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二</w:t>
            </w:r>
          </w:p>
        </w:tc>
        <w:tc>
          <w:tcPr>
            <w:tcW w:w="2551" w:type="dxa"/>
            <w:gridSpan w:val="4"/>
            <w:tcBorders>
              <w:top w:val="single" w:color="auto" w:sz="4" w:space="0"/>
              <w:left w:val="single" w:color="auto" w:sz="4" w:space="0"/>
              <w:bottom w:val="single" w:color="auto" w:sz="4" w:space="0"/>
              <w:right w:val="single" w:color="auto" w:sz="12"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一</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34" w:type="dxa"/>
            <w:vMerge w:val="restart"/>
            <w:tcBorders>
              <w:top w:val="single" w:color="auto" w:sz="4" w:space="0"/>
              <w:left w:val="single" w:color="auto" w:sz="12" w:space="0"/>
              <w:bottom w:val="single" w:color="auto" w:sz="4"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装配整体式框架-现浇剪力墙结构</w:t>
            </w:r>
          </w:p>
        </w:tc>
        <w:tc>
          <w:tcPr>
            <w:tcW w:w="1305" w:type="dxa"/>
            <w:tcBorders>
              <w:top w:val="single" w:color="auto" w:sz="4" w:space="0"/>
              <w:left w:val="single" w:color="auto" w:sz="4" w:space="0"/>
              <w:bottom w:val="single" w:color="auto" w:sz="4"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高度(m)</w:t>
            </w:r>
          </w:p>
        </w:tc>
        <w:tc>
          <w:tcPr>
            <w:tcW w:w="622" w:type="dxa"/>
            <w:tcBorders>
              <w:top w:val="single" w:color="auto" w:sz="4" w:space="0"/>
              <w:left w:val="single" w:color="auto" w:sz="4" w:space="0"/>
              <w:bottom w:val="single" w:color="auto" w:sz="4" w:space="0"/>
              <w:right w:val="single" w:color="auto" w:sz="4" w:space="0"/>
            </w:tcBorders>
            <w:vAlign w:val="center"/>
          </w:tcPr>
          <w:p>
            <w:pPr>
              <w:autoSpaceDE w:val="0"/>
              <w:adjustRightInd/>
              <w:spacing w:line="240" w:lineRule="auto"/>
              <w:jc w:val="center"/>
              <w:rPr>
                <w:rFonts w:ascii="宋体" w:hAnsi="宋体"/>
                <w:sz w:val="18"/>
                <w:szCs w:val="18"/>
              </w:rPr>
            </w:pPr>
            <w:r>
              <w:rPr>
                <w:rFonts w:hint="eastAsia" w:ascii="宋体" w:hAnsi="宋体"/>
                <w:sz w:val="18"/>
                <w:szCs w:val="18"/>
              </w:rPr>
              <w:t>≤</w:t>
            </w:r>
            <w:r>
              <w:rPr>
                <w:rFonts w:ascii="宋体" w:hAnsi="宋体"/>
                <w:sz w:val="18"/>
                <w:szCs w:val="18"/>
              </w:rPr>
              <w:t>60</w:t>
            </w:r>
          </w:p>
        </w:tc>
        <w:tc>
          <w:tcPr>
            <w:tcW w:w="947" w:type="dxa"/>
            <w:tcBorders>
              <w:top w:val="single" w:color="auto" w:sz="4" w:space="0"/>
              <w:left w:val="single" w:color="auto" w:sz="4" w:space="0"/>
              <w:bottom w:val="single" w:color="auto" w:sz="4"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61</w:t>
            </w:r>
            <w:r>
              <w:rPr>
                <w:rFonts w:hint="eastAsia" w:ascii="宋体" w:hAnsi="宋体"/>
                <w:sz w:val="18"/>
                <w:szCs w:val="18"/>
              </w:rPr>
              <w:t>～</w:t>
            </w:r>
            <w:r>
              <w:rPr>
                <w:rFonts w:ascii="宋体" w:hAnsi="宋体"/>
                <w:sz w:val="18"/>
                <w:szCs w:val="18"/>
              </w:rPr>
              <w:t>130</w:t>
            </w:r>
          </w:p>
        </w:tc>
        <w:tc>
          <w:tcPr>
            <w:tcW w:w="643" w:type="dxa"/>
            <w:tcBorders>
              <w:top w:val="single" w:color="auto" w:sz="4" w:space="0"/>
              <w:left w:val="single" w:color="auto" w:sz="4" w:space="0"/>
              <w:bottom w:val="single" w:color="auto" w:sz="4" w:space="0"/>
              <w:right w:val="single" w:color="auto" w:sz="4" w:space="0"/>
            </w:tcBorders>
            <w:vAlign w:val="center"/>
          </w:tcPr>
          <w:p>
            <w:pPr>
              <w:autoSpaceDE w:val="0"/>
              <w:adjustRightInd/>
              <w:spacing w:line="240" w:lineRule="auto"/>
              <w:jc w:val="center"/>
              <w:rPr>
                <w:rFonts w:ascii="宋体" w:hAnsi="宋体"/>
                <w:sz w:val="18"/>
                <w:szCs w:val="18"/>
              </w:rPr>
            </w:pPr>
            <w:r>
              <w:rPr>
                <w:rFonts w:hint="eastAsia" w:ascii="宋体" w:hAnsi="宋体"/>
                <w:sz w:val="18"/>
                <w:szCs w:val="18"/>
              </w:rPr>
              <w:t>≤</w:t>
            </w:r>
            <w:r>
              <w:rPr>
                <w:rFonts w:ascii="宋体" w:hAnsi="宋体"/>
                <w:sz w:val="18"/>
                <w:szCs w:val="18"/>
              </w:rPr>
              <w:t>24</w:t>
            </w:r>
          </w:p>
        </w:tc>
        <w:tc>
          <w:tcPr>
            <w:tcW w:w="786" w:type="dxa"/>
            <w:gridSpan w:val="2"/>
            <w:tcBorders>
              <w:top w:val="single" w:color="auto" w:sz="4" w:space="0"/>
              <w:left w:val="single" w:color="auto" w:sz="4" w:space="0"/>
              <w:bottom w:val="single" w:color="auto" w:sz="4"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25</w:t>
            </w:r>
            <w:r>
              <w:rPr>
                <w:rFonts w:hint="eastAsia" w:ascii="宋体" w:hAnsi="宋体"/>
                <w:sz w:val="18"/>
                <w:szCs w:val="18"/>
              </w:rPr>
              <w:t>～</w:t>
            </w:r>
            <w:r>
              <w:rPr>
                <w:rFonts w:ascii="宋体" w:hAnsi="宋体"/>
                <w:sz w:val="18"/>
                <w:szCs w:val="18"/>
              </w:rPr>
              <w:t>60</w:t>
            </w:r>
          </w:p>
        </w:tc>
        <w:tc>
          <w:tcPr>
            <w:tcW w:w="884" w:type="dxa"/>
            <w:gridSpan w:val="2"/>
            <w:tcBorders>
              <w:top w:val="single" w:color="auto" w:sz="4" w:space="0"/>
              <w:left w:val="single" w:color="auto" w:sz="4" w:space="0"/>
              <w:bottom w:val="single" w:color="auto" w:sz="4"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61</w:t>
            </w:r>
            <w:r>
              <w:rPr>
                <w:rFonts w:hint="eastAsia" w:ascii="宋体" w:hAnsi="宋体"/>
                <w:sz w:val="18"/>
                <w:szCs w:val="18"/>
              </w:rPr>
              <w:t>～</w:t>
            </w:r>
            <w:r>
              <w:rPr>
                <w:rFonts w:ascii="宋体" w:hAnsi="宋体"/>
                <w:sz w:val="18"/>
                <w:szCs w:val="18"/>
              </w:rPr>
              <w:t>120</w:t>
            </w:r>
          </w:p>
        </w:tc>
        <w:tc>
          <w:tcPr>
            <w:tcW w:w="709" w:type="dxa"/>
            <w:tcBorders>
              <w:top w:val="single" w:color="auto" w:sz="4" w:space="0"/>
              <w:left w:val="single" w:color="auto" w:sz="4" w:space="0"/>
              <w:bottom w:val="single" w:color="auto" w:sz="4" w:space="0"/>
              <w:right w:val="single" w:color="auto" w:sz="4" w:space="0"/>
            </w:tcBorders>
            <w:vAlign w:val="center"/>
          </w:tcPr>
          <w:p>
            <w:pPr>
              <w:autoSpaceDE w:val="0"/>
              <w:adjustRightInd/>
              <w:spacing w:line="240" w:lineRule="auto"/>
              <w:jc w:val="center"/>
              <w:rPr>
                <w:rFonts w:ascii="宋体" w:hAnsi="宋体"/>
                <w:sz w:val="18"/>
                <w:szCs w:val="18"/>
              </w:rPr>
            </w:pPr>
            <w:r>
              <w:rPr>
                <w:rFonts w:hint="eastAsia" w:ascii="宋体" w:hAnsi="宋体"/>
                <w:sz w:val="18"/>
                <w:szCs w:val="18"/>
              </w:rPr>
              <w:t>≤</w:t>
            </w:r>
            <w:r>
              <w:rPr>
                <w:rFonts w:ascii="宋体" w:hAnsi="宋体"/>
                <w:sz w:val="18"/>
                <w:szCs w:val="18"/>
              </w:rPr>
              <w:t>24</w:t>
            </w:r>
          </w:p>
        </w:tc>
        <w:tc>
          <w:tcPr>
            <w:tcW w:w="850" w:type="dxa"/>
            <w:gridSpan w:val="2"/>
            <w:tcBorders>
              <w:top w:val="single" w:color="auto" w:sz="4" w:space="0"/>
              <w:left w:val="single" w:color="auto" w:sz="4" w:space="0"/>
              <w:bottom w:val="single" w:color="auto" w:sz="4"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25</w:t>
            </w:r>
            <w:r>
              <w:rPr>
                <w:rFonts w:hint="eastAsia" w:ascii="宋体" w:hAnsi="宋体"/>
                <w:sz w:val="18"/>
                <w:szCs w:val="18"/>
              </w:rPr>
              <w:t>～</w:t>
            </w:r>
            <w:r>
              <w:rPr>
                <w:rFonts w:ascii="宋体" w:hAnsi="宋体"/>
                <w:sz w:val="18"/>
                <w:szCs w:val="18"/>
              </w:rPr>
              <w:t>60</w:t>
            </w:r>
          </w:p>
        </w:tc>
        <w:tc>
          <w:tcPr>
            <w:tcW w:w="992" w:type="dxa"/>
            <w:tcBorders>
              <w:top w:val="single" w:color="auto" w:sz="4" w:space="0"/>
              <w:left w:val="single" w:color="auto" w:sz="4" w:space="0"/>
              <w:bottom w:val="single" w:color="auto" w:sz="4" w:space="0"/>
              <w:right w:val="single" w:color="auto" w:sz="12"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61</w:t>
            </w:r>
            <w:r>
              <w:rPr>
                <w:rFonts w:hint="eastAsia" w:ascii="宋体" w:hAnsi="宋体"/>
                <w:sz w:val="18"/>
                <w:szCs w:val="18"/>
              </w:rPr>
              <w:t>～</w:t>
            </w:r>
            <w:r>
              <w:rPr>
                <w:rFonts w:ascii="宋体" w:hAnsi="宋体"/>
                <w:sz w:val="18"/>
                <w:szCs w:val="18"/>
              </w:rPr>
              <w:t>100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34" w:type="dxa"/>
            <w:vMerge w:val="continue"/>
            <w:tcBorders>
              <w:top w:val="single" w:color="auto" w:sz="4" w:space="0"/>
              <w:left w:val="single" w:color="auto" w:sz="12" w:space="0"/>
              <w:bottom w:val="single" w:color="auto" w:sz="4" w:space="0"/>
              <w:right w:val="single" w:color="auto" w:sz="4" w:space="0"/>
            </w:tcBorders>
            <w:vAlign w:val="center"/>
          </w:tcPr>
          <w:p>
            <w:pPr>
              <w:widowControl/>
              <w:adjustRightInd/>
              <w:spacing w:line="240" w:lineRule="auto"/>
              <w:jc w:val="left"/>
              <w:rPr>
                <w:rFonts w:ascii="宋体" w:hAnsi="宋体"/>
                <w:sz w:val="18"/>
                <w:szCs w:val="18"/>
              </w:rPr>
            </w:pPr>
          </w:p>
        </w:tc>
        <w:tc>
          <w:tcPr>
            <w:tcW w:w="1305" w:type="dxa"/>
            <w:tcBorders>
              <w:top w:val="single" w:color="auto" w:sz="4" w:space="0"/>
              <w:left w:val="single" w:color="auto" w:sz="4" w:space="0"/>
              <w:bottom w:val="single" w:color="auto" w:sz="4"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框架</w:t>
            </w:r>
          </w:p>
        </w:tc>
        <w:tc>
          <w:tcPr>
            <w:tcW w:w="622" w:type="dxa"/>
            <w:tcBorders>
              <w:top w:val="single" w:color="auto" w:sz="4" w:space="0"/>
              <w:left w:val="single" w:color="auto" w:sz="4" w:space="0"/>
              <w:bottom w:val="single" w:color="auto" w:sz="4"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四</w:t>
            </w:r>
          </w:p>
        </w:tc>
        <w:tc>
          <w:tcPr>
            <w:tcW w:w="947" w:type="dxa"/>
            <w:tcBorders>
              <w:top w:val="single" w:color="auto" w:sz="4" w:space="0"/>
              <w:left w:val="single" w:color="auto" w:sz="4" w:space="0"/>
              <w:bottom w:val="single" w:color="auto" w:sz="4"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三</w:t>
            </w:r>
          </w:p>
        </w:tc>
        <w:tc>
          <w:tcPr>
            <w:tcW w:w="643" w:type="dxa"/>
            <w:tcBorders>
              <w:top w:val="single" w:color="auto" w:sz="4" w:space="0"/>
              <w:left w:val="single" w:color="auto" w:sz="4" w:space="0"/>
              <w:bottom w:val="single" w:color="auto" w:sz="4"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四</w:t>
            </w:r>
          </w:p>
        </w:tc>
        <w:tc>
          <w:tcPr>
            <w:tcW w:w="786" w:type="dxa"/>
            <w:gridSpan w:val="2"/>
            <w:tcBorders>
              <w:top w:val="single" w:color="auto" w:sz="4" w:space="0"/>
              <w:left w:val="single" w:color="auto" w:sz="4" w:space="0"/>
              <w:bottom w:val="single" w:color="auto" w:sz="4"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三</w:t>
            </w:r>
          </w:p>
        </w:tc>
        <w:tc>
          <w:tcPr>
            <w:tcW w:w="884" w:type="dxa"/>
            <w:gridSpan w:val="2"/>
            <w:tcBorders>
              <w:top w:val="single" w:color="auto" w:sz="4" w:space="0"/>
              <w:left w:val="single" w:color="auto" w:sz="4" w:space="0"/>
              <w:bottom w:val="single" w:color="auto" w:sz="4"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二</w:t>
            </w:r>
          </w:p>
        </w:tc>
        <w:tc>
          <w:tcPr>
            <w:tcW w:w="709" w:type="dxa"/>
            <w:tcBorders>
              <w:top w:val="single" w:color="auto" w:sz="4" w:space="0"/>
              <w:left w:val="single" w:color="auto" w:sz="4" w:space="0"/>
              <w:bottom w:val="single" w:color="auto" w:sz="4"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三</w:t>
            </w:r>
          </w:p>
        </w:tc>
        <w:tc>
          <w:tcPr>
            <w:tcW w:w="850" w:type="dxa"/>
            <w:gridSpan w:val="2"/>
            <w:tcBorders>
              <w:top w:val="single" w:color="auto" w:sz="4" w:space="0"/>
              <w:left w:val="single" w:color="auto" w:sz="4" w:space="0"/>
              <w:bottom w:val="single" w:color="auto" w:sz="4"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二</w:t>
            </w:r>
          </w:p>
        </w:tc>
        <w:tc>
          <w:tcPr>
            <w:tcW w:w="992" w:type="dxa"/>
            <w:tcBorders>
              <w:top w:val="single" w:color="auto" w:sz="4" w:space="0"/>
              <w:left w:val="single" w:color="auto" w:sz="4" w:space="0"/>
              <w:bottom w:val="single" w:color="auto" w:sz="4" w:space="0"/>
              <w:right w:val="single" w:color="auto" w:sz="12"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一</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34" w:type="dxa"/>
            <w:vMerge w:val="continue"/>
            <w:tcBorders>
              <w:top w:val="single" w:color="auto" w:sz="4" w:space="0"/>
              <w:left w:val="single" w:color="auto" w:sz="12" w:space="0"/>
              <w:bottom w:val="single" w:color="auto" w:sz="4" w:space="0"/>
              <w:right w:val="single" w:color="auto" w:sz="4" w:space="0"/>
            </w:tcBorders>
            <w:vAlign w:val="center"/>
          </w:tcPr>
          <w:p>
            <w:pPr>
              <w:widowControl/>
              <w:adjustRightInd/>
              <w:spacing w:line="240" w:lineRule="auto"/>
              <w:jc w:val="left"/>
              <w:rPr>
                <w:rFonts w:ascii="宋体" w:hAnsi="宋体"/>
                <w:sz w:val="18"/>
                <w:szCs w:val="18"/>
              </w:rPr>
            </w:pPr>
          </w:p>
        </w:tc>
        <w:tc>
          <w:tcPr>
            <w:tcW w:w="1305" w:type="dxa"/>
            <w:tcBorders>
              <w:top w:val="single" w:color="auto" w:sz="4" w:space="0"/>
              <w:left w:val="single" w:color="auto" w:sz="4" w:space="0"/>
              <w:bottom w:val="single" w:color="auto" w:sz="4"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剪力墙</w:t>
            </w:r>
          </w:p>
        </w:tc>
        <w:tc>
          <w:tcPr>
            <w:tcW w:w="1569" w:type="dxa"/>
            <w:gridSpan w:val="2"/>
            <w:tcBorders>
              <w:top w:val="single" w:color="auto" w:sz="4" w:space="0"/>
              <w:left w:val="single" w:color="auto" w:sz="4" w:space="0"/>
              <w:bottom w:val="single" w:color="auto" w:sz="4"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三</w:t>
            </w:r>
          </w:p>
        </w:tc>
        <w:tc>
          <w:tcPr>
            <w:tcW w:w="643" w:type="dxa"/>
            <w:tcBorders>
              <w:top w:val="single" w:color="auto" w:sz="4" w:space="0"/>
              <w:left w:val="single" w:color="auto" w:sz="4" w:space="0"/>
              <w:bottom w:val="single" w:color="auto" w:sz="4"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三</w:t>
            </w:r>
          </w:p>
        </w:tc>
        <w:tc>
          <w:tcPr>
            <w:tcW w:w="1670" w:type="dxa"/>
            <w:gridSpan w:val="4"/>
            <w:tcBorders>
              <w:top w:val="single" w:color="auto" w:sz="4" w:space="0"/>
              <w:left w:val="single" w:color="auto" w:sz="4" w:space="0"/>
              <w:bottom w:val="single" w:color="auto" w:sz="4"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二</w:t>
            </w:r>
          </w:p>
        </w:tc>
        <w:tc>
          <w:tcPr>
            <w:tcW w:w="709" w:type="dxa"/>
            <w:tcBorders>
              <w:top w:val="single" w:color="auto" w:sz="4" w:space="0"/>
              <w:left w:val="single" w:color="auto" w:sz="4" w:space="0"/>
              <w:bottom w:val="single" w:color="auto" w:sz="4"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二</w:t>
            </w:r>
          </w:p>
        </w:tc>
        <w:tc>
          <w:tcPr>
            <w:tcW w:w="1842" w:type="dxa"/>
            <w:gridSpan w:val="3"/>
            <w:tcBorders>
              <w:top w:val="single" w:color="auto" w:sz="4" w:space="0"/>
              <w:left w:val="single" w:color="auto" w:sz="4" w:space="0"/>
              <w:bottom w:val="single" w:color="auto" w:sz="4" w:space="0"/>
              <w:right w:val="single" w:color="auto" w:sz="12"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一</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34" w:type="dxa"/>
            <w:vMerge w:val="restart"/>
            <w:tcBorders>
              <w:top w:val="single" w:color="auto" w:sz="4" w:space="0"/>
              <w:left w:val="single" w:color="auto" w:sz="12" w:space="0"/>
              <w:right w:val="single" w:color="auto" w:sz="4" w:space="0"/>
            </w:tcBorders>
            <w:vAlign w:val="center"/>
          </w:tcPr>
          <w:p>
            <w:pPr>
              <w:widowControl/>
              <w:adjustRightInd/>
              <w:spacing w:line="240" w:lineRule="auto"/>
              <w:jc w:val="center"/>
              <w:rPr>
                <w:rFonts w:ascii="宋体" w:hAnsi="宋体"/>
                <w:sz w:val="18"/>
                <w:szCs w:val="18"/>
              </w:rPr>
            </w:pPr>
            <w:r>
              <w:rPr>
                <w:rFonts w:ascii="宋体" w:hAnsi="宋体"/>
                <w:color w:val="000000"/>
                <w:sz w:val="18"/>
                <w:szCs w:val="18"/>
              </w:rPr>
              <w:t>装配整体式剪力墙结构</w:t>
            </w:r>
          </w:p>
        </w:tc>
        <w:tc>
          <w:tcPr>
            <w:tcW w:w="1305" w:type="dxa"/>
            <w:tcBorders>
              <w:top w:val="single" w:color="auto" w:sz="4" w:space="0"/>
              <w:left w:val="single" w:color="auto" w:sz="4" w:space="0"/>
              <w:bottom w:val="single" w:color="auto" w:sz="4"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高度(m)</w:t>
            </w:r>
          </w:p>
        </w:tc>
        <w:tc>
          <w:tcPr>
            <w:tcW w:w="622" w:type="dxa"/>
            <w:tcBorders>
              <w:top w:val="single" w:color="auto" w:sz="4" w:space="0"/>
              <w:left w:val="single" w:color="auto" w:sz="4" w:space="0"/>
              <w:bottom w:val="single" w:color="auto" w:sz="4" w:space="0"/>
              <w:right w:val="single" w:color="auto" w:sz="4" w:space="0"/>
            </w:tcBorders>
            <w:vAlign w:val="center"/>
          </w:tcPr>
          <w:p>
            <w:pPr>
              <w:autoSpaceDE w:val="0"/>
              <w:adjustRightInd/>
              <w:spacing w:line="240" w:lineRule="auto"/>
              <w:jc w:val="center"/>
              <w:rPr>
                <w:rFonts w:ascii="宋体" w:hAnsi="宋体"/>
                <w:sz w:val="18"/>
                <w:szCs w:val="18"/>
              </w:rPr>
            </w:pPr>
            <w:r>
              <w:rPr>
                <w:rFonts w:hint="eastAsia" w:ascii="宋体" w:hAnsi="宋体"/>
                <w:sz w:val="18"/>
                <w:szCs w:val="18"/>
              </w:rPr>
              <w:t>≤</w:t>
            </w:r>
            <w:r>
              <w:rPr>
                <w:rFonts w:ascii="宋体" w:hAnsi="宋体"/>
                <w:sz w:val="18"/>
                <w:szCs w:val="18"/>
              </w:rPr>
              <w:t>80</w:t>
            </w:r>
          </w:p>
        </w:tc>
        <w:tc>
          <w:tcPr>
            <w:tcW w:w="947" w:type="dxa"/>
            <w:tcBorders>
              <w:top w:val="single" w:color="auto" w:sz="4" w:space="0"/>
              <w:left w:val="single" w:color="auto" w:sz="4" w:space="0"/>
              <w:bottom w:val="single" w:color="auto" w:sz="4"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81</w:t>
            </w:r>
            <w:r>
              <w:rPr>
                <w:rFonts w:hint="eastAsia" w:ascii="宋体" w:hAnsi="宋体"/>
                <w:sz w:val="18"/>
                <w:szCs w:val="18"/>
              </w:rPr>
              <w:t>～</w:t>
            </w:r>
            <w:r>
              <w:rPr>
                <w:rFonts w:ascii="宋体" w:hAnsi="宋体"/>
                <w:sz w:val="18"/>
                <w:szCs w:val="18"/>
              </w:rPr>
              <w:t>1</w:t>
            </w:r>
            <w:r>
              <w:rPr>
                <w:rFonts w:hint="eastAsia" w:ascii="宋体" w:hAnsi="宋体"/>
                <w:sz w:val="18"/>
                <w:szCs w:val="18"/>
              </w:rPr>
              <w:t>3</w:t>
            </w:r>
            <w:r>
              <w:rPr>
                <w:rFonts w:ascii="宋体" w:hAnsi="宋体"/>
                <w:sz w:val="18"/>
                <w:szCs w:val="18"/>
              </w:rPr>
              <w:t>0</w:t>
            </w:r>
          </w:p>
        </w:tc>
        <w:tc>
          <w:tcPr>
            <w:tcW w:w="643" w:type="dxa"/>
            <w:tcBorders>
              <w:top w:val="single" w:color="auto" w:sz="4" w:space="0"/>
              <w:left w:val="single" w:color="auto" w:sz="4" w:space="0"/>
              <w:bottom w:val="single" w:color="auto" w:sz="4" w:space="0"/>
              <w:right w:val="single" w:color="auto" w:sz="4" w:space="0"/>
            </w:tcBorders>
            <w:vAlign w:val="center"/>
          </w:tcPr>
          <w:p>
            <w:pPr>
              <w:autoSpaceDE w:val="0"/>
              <w:adjustRightInd/>
              <w:spacing w:line="240" w:lineRule="auto"/>
              <w:jc w:val="center"/>
              <w:rPr>
                <w:rFonts w:ascii="宋体" w:hAnsi="宋体"/>
                <w:sz w:val="18"/>
                <w:szCs w:val="18"/>
              </w:rPr>
            </w:pPr>
            <w:r>
              <w:rPr>
                <w:rFonts w:hint="eastAsia" w:ascii="宋体" w:hAnsi="宋体"/>
                <w:sz w:val="18"/>
                <w:szCs w:val="18"/>
              </w:rPr>
              <w:t>≤</w:t>
            </w:r>
            <w:r>
              <w:rPr>
                <w:rFonts w:ascii="宋体" w:hAnsi="宋体"/>
                <w:sz w:val="18"/>
                <w:szCs w:val="18"/>
              </w:rPr>
              <w:t>24</w:t>
            </w:r>
          </w:p>
        </w:tc>
        <w:tc>
          <w:tcPr>
            <w:tcW w:w="819" w:type="dxa"/>
            <w:gridSpan w:val="3"/>
            <w:tcBorders>
              <w:top w:val="single" w:color="auto" w:sz="4" w:space="0"/>
              <w:left w:val="single" w:color="auto" w:sz="4" w:space="0"/>
              <w:bottom w:val="single" w:color="auto" w:sz="4"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25</w:t>
            </w:r>
            <w:r>
              <w:rPr>
                <w:rFonts w:hint="eastAsia" w:ascii="宋体" w:hAnsi="宋体"/>
                <w:sz w:val="18"/>
                <w:szCs w:val="18"/>
              </w:rPr>
              <w:t>～</w:t>
            </w:r>
            <w:r>
              <w:rPr>
                <w:rFonts w:ascii="宋体" w:hAnsi="宋体"/>
                <w:sz w:val="18"/>
                <w:szCs w:val="18"/>
              </w:rPr>
              <w:t>80</w:t>
            </w:r>
          </w:p>
        </w:tc>
        <w:tc>
          <w:tcPr>
            <w:tcW w:w="851" w:type="dxa"/>
            <w:tcBorders>
              <w:top w:val="single" w:color="auto" w:sz="4" w:space="0"/>
              <w:left w:val="single" w:color="auto" w:sz="4" w:space="0"/>
              <w:bottom w:val="single" w:color="auto" w:sz="4"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81</w:t>
            </w:r>
            <w:r>
              <w:rPr>
                <w:rFonts w:hint="eastAsia" w:ascii="宋体" w:hAnsi="宋体"/>
                <w:sz w:val="18"/>
                <w:szCs w:val="18"/>
              </w:rPr>
              <w:t>～</w:t>
            </w:r>
            <w:r>
              <w:rPr>
                <w:rFonts w:ascii="宋体" w:hAnsi="宋体"/>
                <w:sz w:val="18"/>
                <w:szCs w:val="18"/>
              </w:rPr>
              <w:t>1</w:t>
            </w:r>
            <w:r>
              <w:rPr>
                <w:rFonts w:hint="eastAsia" w:ascii="宋体" w:hAnsi="宋体"/>
                <w:sz w:val="18"/>
                <w:szCs w:val="18"/>
              </w:rPr>
              <w:t>1</w:t>
            </w:r>
            <w:r>
              <w:rPr>
                <w:rFonts w:ascii="宋体" w:hAnsi="宋体"/>
                <w:sz w:val="18"/>
                <w:szCs w:val="18"/>
              </w:rPr>
              <w:t>0</w:t>
            </w:r>
          </w:p>
        </w:tc>
        <w:tc>
          <w:tcPr>
            <w:tcW w:w="2551" w:type="dxa"/>
            <w:gridSpan w:val="4"/>
            <w:vMerge w:val="restart"/>
            <w:tcBorders>
              <w:top w:val="single" w:color="auto" w:sz="4" w:space="0"/>
              <w:left w:val="single" w:color="auto" w:sz="4" w:space="0"/>
              <w:bottom w:val="single" w:color="auto" w:sz="12" w:space="0"/>
              <w:right w:val="single" w:color="auto" w:sz="12" w:space="0"/>
              <w:tr2bl w:val="single" w:color="auto" w:sz="4" w:space="0"/>
            </w:tcBorders>
            <w:vAlign w:val="center"/>
          </w:tcPr>
          <w:p>
            <w:pPr>
              <w:adjustRightInd/>
              <w:spacing w:line="240" w:lineRule="auto"/>
              <w:jc w:val="center"/>
              <w:rPr>
                <w:rFonts w:ascii="宋体" w:hAnsi="宋体"/>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34" w:type="dxa"/>
            <w:vMerge w:val="continue"/>
            <w:tcBorders>
              <w:left w:val="single" w:color="auto" w:sz="12" w:space="0"/>
              <w:bottom w:val="single" w:color="auto" w:sz="12" w:space="0"/>
              <w:right w:val="single" w:color="auto" w:sz="4" w:space="0"/>
            </w:tcBorders>
            <w:vAlign w:val="center"/>
          </w:tcPr>
          <w:p>
            <w:pPr>
              <w:widowControl/>
              <w:adjustRightInd/>
              <w:spacing w:line="240" w:lineRule="auto"/>
              <w:jc w:val="left"/>
              <w:rPr>
                <w:rFonts w:ascii="宋体" w:hAnsi="宋体"/>
                <w:sz w:val="18"/>
                <w:szCs w:val="18"/>
              </w:rPr>
            </w:pPr>
          </w:p>
        </w:tc>
        <w:tc>
          <w:tcPr>
            <w:tcW w:w="1305" w:type="dxa"/>
            <w:tcBorders>
              <w:top w:val="single" w:color="auto" w:sz="4" w:space="0"/>
              <w:left w:val="single" w:color="auto" w:sz="4" w:space="0"/>
              <w:bottom w:val="single" w:color="auto" w:sz="12"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剪力墙</w:t>
            </w:r>
          </w:p>
        </w:tc>
        <w:tc>
          <w:tcPr>
            <w:tcW w:w="622" w:type="dxa"/>
            <w:tcBorders>
              <w:top w:val="single" w:color="auto" w:sz="4" w:space="0"/>
              <w:left w:val="single" w:color="auto" w:sz="4" w:space="0"/>
              <w:bottom w:val="single" w:color="auto" w:sz="12"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四</w:t>
            </w:r>
          </w:p>
        </w:tc>
        <w:tc>
          <w:tcPr>
            <w:tcW w:w="947" w:type="dxa"/>
            <w:tcBorders>
              <w:top w:val="single" w:color="auto" w:sz="4" w:space="0"/>
              <w:left w:val="single" w:color="auto" w:sz="4" w:space="0"/>
              <w:bottom w:val="single" w:color="auto" w:sz="12"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三</w:t>
            </w:r>
          </w:p>
        </w:tc>
        <w:tc>
          <w:tcPr>
            <w:tcW w:w="643" w:type="dxa"/>
            <w:tcBorders>
              <w:top w:val="single" w:color="auto" w:sz="4" w:space="0"/>
              <w:left w:val="single" w:color="auto" w:sz="4" w:space="0"/>
              <w:bottom w:val="single" w:color="auto" w:sz="12"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四</w:t>
            </w:r>
          </w:p>
        </w:tc>
        <w:tc>
          <w:tcPr>
            <w:tcW w:w="819" w:type="dxa"/>
            <w:gridSpan w:val="3"/>
            <w:tcBorders>
              <w:top w:val="single" w:color="auto" w:sz="4" w:space="0"/>
              <w:left w:val="single" w:color="auto" w:sz="4" w:space="0"/>
              <w:bottom w:val="single" w:color="auto" w:sz="12"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三</w:t>
            </w:r>
          </w:p>
        </w:tc>
        <w:tc>
          <w:tcPr>
            <w:tcW w:w="851" w:type="dxa"/>
            <w:tcBorders>
              <w:top w:val="single" w:color="auto" w:sz="4" w:space="0"/>
              <w:left w:val="single" w:color="auto" w:sz="4" w:space="0"/>
              <w:bottom w:val="single" w:color="auto" w:sz="12"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二</w:t>
            </w:r>
          </w:p>
        </w:tc>
        <w:tc>
          <w:tcPr>
            <w:tcW w:w="2551" w:type="dxa"/>
            <w:gridSpan w:val="4"/>
            <w:vMerge w:val="continue"/>
            <w:tcBorders>
              <w:top w:val="single" w:color="auto" w:sz="4" w:space="0"/>
              <w:left w:val="single" w:color="auto" w:sz="4" w:space="0"/>
              <w:bottom w:val="single" w:color="auto" w:sz="12" w:space="0"/>
              <w:right w:val="single" w:color="auto" w:sz="12" w:space="0"/>
              <w:tr2bl w:val="single" w:color="auto" w:sz="4" w:space="0"/>
            </w:tcBorders>
            <w:vAlign w:val="center"/>
          </w:tcPr>
          <w:p>
            <w:pPr>
              <w:autoSpaceDE w:val="0"/>
              <w:adjustRightInd/>
              <w:spacing w:line="240" w:lineRule="auto"/>
              <w:jc w:val="center"/>
              <w:rPr>
                <w:rFonts w:ascii="宋体" w:hAnsi="宋体"/>
                <w:sz w:val="18"/>
                <w:szCs w:val="18"/>
              </w:rPr>
            </w:pPr>
          </w:p>
        </w:tc>
      </w:tr>
    </w:tbl>
    <w:p>
      <w:pPr>
        <w:pStyle w:val="58"/>
        <w:ind w:left="840" w:leftChars="200" w:hanging="420" w:hangingChars="200"/>
      </w:pPr>
    </w:p>
    <w:p>
      <w:pPr>
        <w:pStyle w:val="58"/>
        <w:ind w:left="840" w:leftChars="200" w:hanging="420" w:hangingChars="200"/>
        <w:rPr>
          <w:rFonts w:hint="eastAsia" w:eastAsia="宋体"/>
          <w:bCs/>
          <w:szCs w:val="21"/>
          <w:lang w:eastAsia="zh-CN"/>
        </w:rPr>
      </w:pPr>
      <w:r>
        <w:t>b</w:t>
      </w:r>
      <w:r>
        <w:rPr>
          <w:rFonts w:hint="eastAsia"/>
        </w:rPr>
        <w:t>)</w:t>
      </w:r>
      <w:r>
        <w:tab/>
      </w:r>
      <w:r>
        <w:rPr>
          <w:rFonts w:hint="eastAsia"/>
          <w:bCs/>
          <w:szCs w:val="21"/>
        </w:rPr>
        <w:t>甲、乙类建筑，结构体系应具有足够的牢固性和抗震冗余度；楼、屋面应具有足够的面内刚度和整体性。采用装配整体式楼、屋面时，应采取措施保证楼、屋面的整体性及其与竖向抗侧力构件的连接；基础应具有良好的整体性和抗转动能力，避免地震时基础转动加重建筑震害；构件连接的设计与构造应能保证节点或锚固件的破坏不先于构件或连接件的破坏</w:t>
      </w:r>
      <w:r>
        <w:rPr>
          <w:rFonts w:hint="eastAsia"/>
          <w:bCs/>
          <w:szCs w:val="21"/>
          <w:lang w:eastAsia="zh-CN"/>
        </w:rPr>
        <w:t>；</w:t>
      </w:r>
    </w:p>
    <w:p>
      <w:pPr>
        <w:pStyle w:val="58"/>
        <w:ind w:left="840" w:leftChars="200" w:hanging="420" w:hangingChars="200"/>
      </w:pPr>
      <w:r>
        <w:t>c</w:t>
      </w:r>
      <w:r>
        <w:rPr>
          <w:rFonts w:hint="eastAsia"/>
        </w:rPr>
        <w:t>)</w:t>
      </w:r>
      <w:r>
        <w:t xml:space="preserve">  </w:t>
      </w:r>
      <w:r>
        <w:rPr>
          <w:rFonts w:hint="eastAsia"/>
        </w:rPr>
        <w:t>当房屋高度接近或等于表</w:t>
      </w:r>
      <w:r>
        <w:t>3</w:t>
      </w:r>
      <w:r>
        <w:rPr>
          <w:rFonts w:hint="eastAsia"/>
        </w:rPr>
        <w:t>的高度分界时，应结合房屋不规则程度及场地、地基条件确定抗震等级。</w:t>
      </w:r>
    </w:p>
    <w:p>
      <w:pPr>
        <w:pStyle w:val="58"/>
        <w:ind w:firstLine="0" w:firstLineChars="0"/>
        <w:rPr>
          <w:rFonts w:hAnsi="黑体"/>
          <w:bCs/>
        </w:rPr>
      </w:pPr>
      <w:r>
        <w:rPr>
          <w:rFonts w:hint="eastAsia" w:ascii="黑体" w:hAnsi="黑体" w:eastAsia="黑体"/>
        </w:rPr>
        <w:t>4</w:t>
      </w:r>
      <w:r>
        <w:rPr>
          <w:rFonts w:ascii="黑体" w:hAnsi="黑体" w:eastAsia="黑体"/>
        </w:rPr>
        <w:t xml:space="preserve">.1.4 </w:t>
      </w:r>
      <w:r>
        <w:rPr>
          <w:rFonts w:hint="eastAsia" w:hAnsi="黑体"/>
          <w:bCs/>
        </w:rPr>
        <w:t>高层预制预应力混凝土装配整体式框架结构的首层柱宜采用现浇混凝土。高层装配整体式剪力墙结构底部加强部位及以下部位宜采用现浇混凝土。</w:t>
      </w:r>
    </w:p>
    <w:p>
      <w:pPr>
        <w:pStyle w:val="58"/>
        <w:ind w:firstLine="0" w:firstLineChars="0"/>
        <w:rPr>
          <w:rFonts w:hAnsi="黑体"/>
          <w:bCs/>
        </w:rPr>
      </w:pPr>
      <w:r>
        <w:rPr>
          <w:rFonts w:ascii="黑体" w:hAnsi="黑体" w:eastAsia="黑体"/>
        </w:rPr>
        <w:t>4</w:t>
      </w:r>
      <w:r>
        <w:rPr>
          <w:rFonts w:hint="eastAsia" w:ascii="黑体" w:hAnsi="黑体" w:eastAsia="黑体"/>
        </w:rPr>
        <w:t>.1.5</w:t>
      </w:r>
      <w:r>
        <w:rPr>
          <w:rFonts w:hint="eastAsia" w:hAnsi="黑体"/>
          <w:bCs/>
        </w:rPr>
        <w:t xml:space="preserve"> 抗震设计时，高层装配整体式剪力墙结构不应全部采用短肢剪力墙。当采用具有较多短肢剪力墙的剪力墙结构时，应符合下列规定：</w:t>
      </w:r>
    </w:p>
    <w:p>
      <w:pPr>
        <w:pStyle w:val="58"/>
        <w:ind w:left="840" w:leftChars="200" w:hanging="420" w:hangingChars="200"/>
        <w:rPr>
          <w:rFonts w:hint="eastAsia" w:eastAsia="宋体"/>
          <w:lang w:eastAsia="zh-CN"/>
        </w:rPr>
      </w:pPr>
      <w:r>
        <w:t>a</w:t>
      </w:r>
      <w:r>
        <w:rPr>
          <w:rFonts w:hint="eastAsia"/>
        </w:rPr>
        <w:t>)</w:t>
      </w:r>
      <w:r>
        <w:t xml:space="preserve">  </w:t>
      </w:r>
      <w:r>
        <w:rPr>
          <w:rFonts w:hint="eastAsia"/>
        </w:rPr>
        <w:t>在规定的水平力作用下，短肢剪力墙承担的底部倾覆力矩不应大于结构底部总地震倾覆力矩的50%</w:t>
      </w:r>
      <w:r>
        <w:rPr>
          <w:rFonts w:hint="eastAsia"/>
          <w:lang w:eastAsia="zh-CN"/>
        </w:rPr>
        <w:t>；</w:t>
      </w:r>
    </w:p>
    <w:p>
      <w:pPr>
        <w:pStyle w:val="58"/>
        <w:ind w:left="840" w:leftChars="200" w:hanging="420" w:hangingChars="200"/>
      </w:pPr>
      <w:r>
        <w:t>b</w:t>
      </w:r>
      <w:r>
        <w:rPr>
          <w:rFonts w:hint="eastAsia"/>
        </w:rPr>
        <w:t>)</w:t>
      </w:r>
      <w:r>
        <w:t xml:space="preserve">  </w:t>
      </w:r>
      <w:r>
        <w:rPr>
          <w:rFonts w:hint="eastAsia"/>
        </w:rPr>
        <w:t>房屋适用高度应比本规程表</w:t>
      </w:r>
      <w:r>
        <w:t>1</w:t>
      </w:r>
      <w:r>
        <w:rPr>
          <w:rFonts w:hint="eastAsia"/>
        </w:rPr>
        <w:t>规定的装配整体式剪力墙结构的最大适用高度适当降低，抗震设防烈度为7度时不应大于90m。</w:t>
      </w:r>
    </w:p>
    <w:p>
      <w:pPr>
        <w:pStyle w:val="58"/>
        <w:ind w:firstLine="0" w:firstLineChars="0"/>
        <w:rPr>
          <w:rFonts w:hAnsi="黑体"/>
          <w:bCs/>
        </w:rPr>
      </w:pPr>
      <w:r>
        <w:rPr>
          <w:rFonts w:ascii="黑体" w:hAnsi="黑体" w:eastAsia="黑体"/>
        </w:rPr>
        <w:t>4</w:t>
      </w:r>
      <w:r>
        <w:rPr>
          <w:rFonts w:hint="eastAsia" w:ascii="黑体" w:hAnsi="黑体" w:eastAsia="黑体"/>
        </w:rPr>
        <w:t>.1.6</w:t>
      </w:r>
      <w:r>
        <w:rPr>
          <w:rFonts w:hint="eastAsia" w:hAnsi="黑体"/>
          <w:bCs/>
        </w:rPr>
        <w:t xml:space="preserve"> 预制预应力混凝土装配整体式结构的平面布置宜规则、对称，并应具有良好的整体性；建筑的立面和竖向剖面宜规则，结构的侧向刚度宜均匀变化，竖向抗侧力构件的截面尺寸和材料强度宜自下而上逐渐减小。</w:t>
      </w:r>
    </w:p>
    <w:p>
      <w:pPr>
        <w:pStyle w:val="58"/>
        <w:ind w:firstLine="0" w:firstLineChars="0"/>
        <w:rPr>
          <w:rFonts w:hAnsi="黑体"/>
          <w:bCs/>
        </w:rPr>
      </w:pPr>
      <w:r>
        <w:rPr>
          <w:rFonts w:ascii="黑体" w:hAnsi="黑体" w:eastAsia="黑体"/>
        </w:rPr>
        <w:t>4</w:t>
      </w:r>
      <w:r>
        <w:rPr>
          <w:rFonts w:hint="eastAsia" w:ascii="黑体" w:hAnsi="黑体" w:eastAsia="黑体"/>
        </w:rPr>
        <w:t>.1.7</w:t>
      </w:r>
      <w:r>
        <w:rPr>
          <w:rFonts w:hint="eastAsia" w:hAnsi="黑体"/>
          <w:bCs/>
        </w:rPr>
        <w:t xml:space="preserve"> 楼梯间的布置不应导致结构平面显著不规则，应根据实际工作状况，考虑楼梯构件的影响。</w:t>
      </w:r>
    </w:p>
    <w:p>
      <w:pPr>
        <w:pStyle w:val="58"/>
        <w:spacing w:before="312" w:beforeLines="100" w:after="312" w:afterLines="100"/>
        <w:ind w:firstLine="0" w:firstLineChars="0"/>
        <w:outlineLvl w:val="1"/>
        <w:rPr>
          <w:rFonts w:ascii="黑体" w:hAnsi="黑体" w:eastAsia="黑体"/>
        </w:rPr>
      </w:pPr>
      <w:bookmarkStart w:id="77" w:name="_Toc142923584"/>
      <w:r>
        <w:rPr>
          <w:rFonts w:ascii="黑体" w:hAnsi="黑体" w:eastAsia="黑体"/>
        </w:rPr>
        <w:t>4</w:t>
      </w:r>
      <w:r>
        <w:rPr>
          <w:rFonts w:hint="eastAsia" w:ascii="黑体" w:hAnsi="黑体" w:eastAsia="黑体"/>
        </w:rPr>
        <w:t>.</w:t>
      </w:r>
      <w:r>
        <w:rPr>
          <w:rFonts w:ascii="黑体" w:hAnsi="黑体" w:eastAsia="黑体"/>
        </w:rPr>
        <w:t>2</w:t>
      </w:r>
      <w:r>
        <w:rPr>
          <w:rFonts w:hint="eastAsia" w:ascii="黑体" w:hAnsi="黑体" w:eastAsia="黑体"/>
        </w:rPr>
        <w:t xml:space="preserve"> 材料</w:t>
      </w:r>
      <w:bookmarkEnd w:id="77"/>
    </w:p>
    <w:p>
      <w:pPr>
        <w:pStyle w:val="58"/>
        <w:ind w:firstLine="0" w:firstLineChars="0"/>
        <w:rPr>
          <w:rFonts w:hAnsi="黑体"/>
          <w:bCs/>
        </w:rPr>
      </w:pPr>
      <w:r>
        <w:rPr>
          <w:rFonts w:hint="eastAsia" w:ascii="黑体" w:hAnsi="黑体" w:eastAsia="黑体"/>
        </w:rPr>
        <w:t>4.</w:t>
      </w:r>
      <w:r>
        <w:rPr>
          <w:rFonts w:ascii="黑体" w:hAnsi="黑体" w:eastAsia="黑体"/>
        </w:rPr>
        <w:t>2.1</w:t>
      </w:r>
      <w:r>
        <w:rPr>
          <w:rFonts w:hint="eastAsia" w:ascii="黑体" w:hAnsi="黑体" w:eastAsia="黑体"/>
        </w:rPr>
        <w:t xml:space="preserve"> </w:t>
      </w:r>
      <w:r>
        <w:rPr>
          <w:rFonts w:hint="eastAsia" w:hAnsi="黑体"/>
          <w:bCs/>
        </w:rPr>
        <w:t>预制预应力混凝土装配整体式结构的混凝土强度等级应符合表</w:t>
      </w:r>
      <w:r>
        <w:rPr>
          <w:rFonts w:hAnsi="黑体"/>
          <w:bCs/>
        </w:rPr>
        <w:t>4</w:t>
      </w:r>
      <w:r>
        <w:rPr>
          <w:rFonts w:hint="eastAsia" w:hAnsi="黑体"/>
          <w:bCs/>
        </w:rPr>
        <w:t>的规定：</w:t>
      </w:r>
    </w:p>
    <w:p>
      <w:pPr>
        <w:pStyle w:val="58"/>
        <w:spacing w:before="156" w:beforeLines="50" w:after="156" w:afterLines="50"/>
        <w:ind w:firstLine="0" w:firstLineChars="0"/>
        <w:jc w:val="center"/>
        <w:rPr>
          <w:rFonts w:ascii="黑体" w:hAnsi="黑体" w:eastAsia="黑体"/>
        </w:rPr>
      </w:pPr>
      <w:r>
        <w:rPr>
          <w:rFonts w:ascii="黑体" w:hAnsi="黑体" w:eastAsia="黑体"/>
        </w:rPr>
        <w:t xml:space="preserve">表4 </w:t>
      </w:r>
      <w:r>
        <w:rPr>
          <w:rFonts w:hint="eastAsia" w:ascii="黑体" w:hAnsi="黑体" w:eastAsia="黑体"/>
        </w:rPr>
        <w:t>预制预应力混凝土装配整体式结构的混凝土强度等级</w:t>
      </w:r>
    </w:p>
    <w:tbl>
      <w:tblPr>
        <w:tblStyle w:val="27"/>
        <w:tblW w:w="9147"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031"/>
        <w:gridCol w:w="1134"/>
        <w:gridCol w:w="1134"/>
        <w:gridCol w:w="1055"/>
        <w:gridCol w:w="1072"/>
        <w:gridCol w:w="1275"/>
        <w:gridCol w:w="1134"/>
        <w:gridCol w:w="1312"/>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1031" w:type="dxa"/>
            <w:vMerge w:val="restart"/>
            <w:tcBorders>
              <w:top w:val="single" w:color="auto" w:sz="12" w:space="0"/>
              <w:left w:val="single" w:color="auto" w:sz="12" w:space="0"/>
              <w:bottom w:val="single" w:color="auto" w:sz="12" w:space="0"/>
              <w:right w:val="single" w:color="auto" w:sz="4" w:space="0"/>
            </w:tcBorders>
            <w:vAlign w:val="center"/>
          </w:tcPr>
          <w:p>
            <w:pPr>
              <w:autoSpaceDE w:val="0"/>
              <w:adjustRightInd/>
              <w:spacing w:line="240" w:lineRule="auto"/>
              <w:jc w:val="center"/>
              <w:rPr>
                <w:rFonts w:ascii="宋体" w:hAnsi="宋体"/>
                <w:sz w:val="18"/>
                <w:szCs w:val="18"/>
              </w:rPr>
            </w:pPr>
            <w:r>
              <w:rPr>
                <w:rFonts w:hint="eastAsia" w:ascii="宋体" w:hAnsi="宋体"/>
                <w:sz w:val="18"/>
                <w:szCs w:val="18"/>
              </w:rPr>
              <w:t>名称</w:t>
            </w:r>
          </w:p>
        </w:tc>
        <w:tc>
          <w:tcPr>
            <w:tcW w:w="2268" w:type="dxa"/>
            <w:gridSpan w:val="2"/>
            <w:tcBorders>
              <w:top w:val="single" w:color="auto" w:sz="12" w:space="0"/>
              <w:left w:val="single" w:color="auto" w:sz="4" w:space="0"/>
              <w:bottom w:val="single" w:color="auto" w:sz="4"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叠合板</w:t>
            </w:r>
          </w:p>
        </w:tc>
        <w:tc>
          <w:tcPr>
            <w:tcW w:w="2127" w:type="dxa"/>
            <w:gridSpan w:val="2"/>
            <w:tcBorders>
              <w:top w:val="single" w:color="auto" w:sz="12" w:space="0"/>
              <w:left w:val="single" w:color="auto" w:sz="4" w:space="0"/>
              <w:bottom w:val="single" w:color="auto" w:sz="4"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叠合梁</w:t>
            </w:r>
          </w:p>
        </w:tc>
        <w:tc>
          <w:tcPr>
            <w:tcW w:w="1275" w:type="dxa"/>
            <w:vMerge w:val="restart"/>
            <w:tcBorders>
              <w:top w:val="single" w:color="auto" w:sz="12" w:space="0"/>
              <w:left w:val="single" w:color="auto" w:sz="4" w:space="0"/>
              <w:bottom w:val="single" w:color="auto" w:sz="12"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预制柱、预制剪力墙</w:t>
            </w:r>
          </w:p>
        </w:tc>
        <w:tc>
          <w:tcPr>
            <w:tcW w:w="1134" w:type="dxa"/>
            <w:vMerge w:val="restart"/>
            <w:tcBorders>
              <w:top w:val="single" w:color="auto" w:sz="12" w:space="0"/>
              <w:left w:val="single" w:color="auto" w:sz="4" w:space="0"/>
              <w:bottom w:val="single" w:color="auto" w:sz="12"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节点凹槽以外部分</w:t>
            </w:r>
          </w:p>
        </w:tc>
        <w:tc>
          <w:tcPr>
            <w:tcW w:w="1312" w:type="dxa"/>
            <w:vMerge w:val="restart"/>
            <w:tcBorders>
              <w:top w:val="single" w:color="auto" w:sz="12" w:space="0"/>
              <w:left w:val="single" w:color="auto" w:sz="4" w:space="0"/>
              <w:bottom w:val="single" w:color="auto" w:sz="12" w:space="0"/>
              <w:right w:val="single" w:color="auto" w:sz="12"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现浇剪力墙、柱</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1031" w:type="dxa"/>
            <w:vMerge w:val="continue"/>
            <w:tcBorders>
              <w:top w:val="single" w:color="auto" w:sz="12" w:space="0"/>
              <w:left w:val="single" w:color="auto" w:sz="12" w:space="0"/>
              <w:bottom w:val="single" w:color="auto" w:sz="12" w:space="0"/>
              <w:right w:val="single" w:color="auto" w:sz="4" w:space="0"/>
            </w:tcBorders>
            <w:vAlign w:val="center"/>
          </w:tcPr>
          <w:p>
            <w:pPr>
              <w:widowControl/>
              <w:adjustRightInd/>
              <w:spacing w:line="240" w:lineRule="auto"/>
              <w:jc w:val="left"/>
              <w:rPr>
                <w:rFonts w:ascii="宋体" w:hAnsi="宋体"/>
                <w:sz w:val="18"/>
                <w:szCs w:val="18"/>
              </w:rPr>
            </w:pPr>
          </w:p>
        </w:tc>
        <w:tc>
          <w:tcPr>
            <w:tcW w:w="1134" w:type="dxa"/>
            <w:tcBorders>
              <w:top w:val="single" w:color="auto" w:sz="4" w:space="0"/>
              <w:left w:val="single" w:color="auto" w:sz="4" w:space="0"/>
              <w:bottom w:val="single" w:color="auto" w:sz="12"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预制板</w:t>
            </w:r>
          </w:p>
        </w:tc>
        <w:tc>
          <w:tcPr>
            <w:tcW w:w="1134" w:type="dxa"/>
            <w:tcBorders>
              <w:top w:val="single" w:color="auto" w:sz="4" w:space="0"/>
              <w:left w:val="single" w:color="auto" w:sz="4" w:space="0"/>
              <w:bottom w:val="single" w:color="auto" w:sz="12"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叠合层</w:t>
            </w:r>
          </w:p>
        </w:tc>
        <w:tc>
          <w:tcPr>
            <w:tcW w:w="1055" w:type="dxa"/>
            <w:tcBorders>
              <w:top w:val="single" w:color="auto" w:sz="4" w:space="0"/>
              <w:left w:val="single" w:color="auto" w:sz="4" w:space="0"/>
              <w:bottom w:val="single" w:color="auto" w:sz="12"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预制梁</w:t>
            </w:r>
          </w:p>
        </w:tc>
        <w:tc>
          <w:tcPr>
            <w:tcW w:w="1072" w:type="dxa"/>
            <w:tcBorders>
              <w:top w:val="single" w:color="auto" w:sz="4" w:space="0"/>
              <w:left w:val="single" w:color="auto" w:sz="4" w:space="0"/>
              <w:bottom w:val="single" w:color="auto" w:sz="12"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叠合层</w:t>
            </w:r>
          </w:p>
        </w:tc>
        <w:tc>
          <w:tcPr>
            <w:tcW w:w="1275" w:type="dxa"/>
            <w:vMerge w:val="continue"/>
            <w:tcBorders>
              <w:top w:val="single" w:color="auto" w:sz="4" w:space="0"/>
              <w:left w:val="single" w:color="auto" w:sz="4" w:space="0"/>
              <w:bottom w:val="single" w:color="auto" w:sz="12" w:space="0"/>
              <w:right w:val="single" w:color="auto" w:sz="4" w:space="0"/>
            </w:tcBorders>
            <w:vAlign w:val="center"/>
          </w:tcPr>
          <w:p>
            <w:pPr>
              <w:widowControl/>
              <w:adjustRightInd/>
              <w:spacing w:line="240" w:lineRule="auto"/>
              <w:jc w:val="left"/>
              <w:rPr>
                <w:rFonts w:ascii="宋体" w:hAnsi="宋体"/>
                <w:sz w:val="18"/>
                <w:szCs w:val="18"/>
              </w:rPr>
            </w:pPr>
          </w:p>
        </w:tc>
        <w:tc>
          <w:tcPr>
            <w:tcW w:w="1134" w:type="dxa"/>
            <w:vMerge w:val="continue"/>
            <w:tcBorders>
              <w:top w:val="single" w:color="auto" w:sz="4" w:space="0"/>
              <w:left w:val="single" w:color="auto" w:sz="4" w:space="0"/>
              <w:bottom w:val="single" w:color="auto" w:sz="12" w:space="0"/>
              <w:right w:val="single" w:color="auto" w:sz="4" w:space="0"/>
            </w:tcBorders>
            <w:vAlign w:val="center"/>
          </w:tcPr>
          <w:p>
            <w:pPr>
              <w:widowControl/>
              <w:adjustRightInd/>
              <w:spacing w:line="240" w:lineRule="auto"/>
              <w:jc w:val="left"/>
              <w:rPr>
                <w:rFonts w:ascii="宋体" w:hAnsi="宋体"/>
                <w:sz w:val="18"/>
                <w:szCs w:val="18"/>
              </w:rPr>
            </w:pPr>
          </w:p>
        </w:tc>
        <w:tc>
          <w:tcPr>
            <w:tcW w:w="1312" w:type="dxa"/>
            <w:vMerge w:val="continue"/>
            <w:tcBorders>
              <w:top w:val="single" w:color="auto" w:sz="4" w:space="0"/>
              <w:left w:val="single" w:color="auto" w:sz="4" w:space="0"/>
              <w:bottom w:val="single" w:color="auto" w:sz="12" w:space="0"/>
              <w:right w:val="single" w:color="auto" w:sz="12" w:space="0"/>
            </w:tcBorders>
            <w:vAlign w:val="center"/>
          </w:tcPr>
          <w:p>
            <w:pPr>
              <w:widowControl/>
              <w:adjustRightInd/>
              <w:spacing w:line="240" w:lineRule="auto"/>
              <w:jc w:val="left"/>
              <w:rPr>
                <w:rFonts w:ascii="宋体" w:hAnsi="宋体"/>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1031" w:type="dxa"/>
            <w:tcBorders>
              <w:top w:val="single" w:color="auto" w:sz="12" w:space="0"/>
              <w:left w:val="single" w:color="auto" w:sz="12" w:space="0"/>
              <w:bottom w:val="single" w:color="auto" w:sz="12" w:space="0"/>
              <w:right w:val="single" w:color="auto" w:sz="4" w:space="0"/>
            </w:tcBorders>
            <w:vAlign w:val="center"/>
          </w:tcPr>
          <w:p>
            <w:pPr>
              <w:autoSpaceDE w:val="0"/>
              <w:adjustRightInd/>
              <w:spacing w:line="240" w:lineRule="auto"/>
              <w:jc w:val="center"/>
              <w:rPr>
                <w:rFonts w:ascii="宋体" w:hAnsi="宋体"/>
                <w:sz w:val="18"/>
                <w:szCs w:val="18"/>
              </w:rPr>
            </w:pPr>
            <w:r>
              <w:rPr>
                <w:rFonts w:hint="eastAsia" w:ascii="宋体" w:hAnsi="宋体"/>
                <w:sz w:val="18"/>
                <w:szCs w:val="18"/>
              </w:rPr>
              <w:t>混凝土</w:t>
            </w:r>
          </w:p>
          <w:p>
            <w:pPr>
              <w:autoSpaceDE w:val="0"/>
              <w:adjustRightInd/>
              <w:spacing w:line="240" w:lineRule="auto"/>
              <w:jc w:val="center"/>
              <w:rPr>
                <w:rFonts w:ascii="宋体" w:hAnsi="宋体"/>
                <w:sz w:val="18"/>
                <w:szCs w:val="18"/>
              </w:rPr>
            </w:pPr>
            <w:r>
              <w:rPr>
                <w:rFonts w:hint="eastAsia" w:ascii="宋体" w:hAnsi="宋体"/>
                <w:sz w:val="18"/>
                <w:szCs w:val="18"/>
              </w:rPr>
              <w:t>强度等级</w:t>
            </w:r>
          </w:p>
        </w:tc>
        <w:tc>
          <w:tcPr>
            <w:tcW w:w="1134" w:type="dxa"/>
            <w:tcBorders>
              <w:top w:val="single" w:color="auto" w:sz="12" w:space="0"/>
              <w:left w:val="single" w:color="auto" w:sz="4" w:space="0"/>
              <w:bottom w:val="single" w:color="auto" w:sz="12"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C40及以上</w:t>
            </w:r>
          </w:p>
        </w:tc>
        <w:tc>
          <w:tcPr>
            <w:tcW w:w="1134" w:type="dxa"/>
            <w:tcBorders>
              <w:top w:val="single" w:color="auto" w:sz="12" w:space="0"/>
              <w:left w:val="single" w:color="auto" w:sz="4" w:space="0"/>
              <w:bottom w:val="single" w:color="auto" w:sz="12"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C30及以上</w:t>
            </w:r>
          </w:p>
        </w:tc>
        <w:tc>
          <w:tcPr>
            <w:tcW w:w="1055" w:type="dxa"/>
            <w:tcBorders>
              <w:top w:val="single" w:color="auto" w:sz="12" w:space="0"/>
              <w:left w:val="single" w:color="auto" w:sz="4" w:space="0"/>
              <w:bottom w:val="single" w:color="auto" w:sz="12"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C40及以上</w:t>
            </w:r>
          </w:p>
        </w:tc>
        <w:tc>
          <w:tcPr>
            <w:tcW w:w="1072" w:type="dxa"/>
            <w:tcBorders>
              <w:top w:val="single" w:color="auto" w:sz="12" w:space="0"/>
              <w:left w:val="single" w:color="auto" w:sz="4" w:space="0"/>
              <w:bottom w:val="single" w:color="auto" w:sz="12"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C30及以上</w:t>
            </w:r>
          </w:p>
        </w:tc>
        <w:tc>
          <w:tcPr>
            <w:tcW w:w="1275" w:type="dxa"/>
            <w:tcBorders>
              <w:top w:val="single" w:color="auto" w:sz="12" w:space="0"/>
              <w:left w:val="single" w:color="auto" w:sz="4" w:space="0"/>
              <w:bottom w:val="single" w:color="auto" w:sz="12"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C30及以上</w:t>
            </w:r>
          </w:p>
        </w:tc>
        <w:tc>
          <w:tcPr>
            <w:tcW w:w="1134" w:type="dxa"/>
            <w:tcBorders>
              <w:top w:val="single" w:color="auto" w:sz="12" w:space="0"/>
              <w:left w:val="single" w:color="auto" w:sz="4" w:space="0"/>
              <w:bottom w:val="single" w:color="auto" w:sz="12"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C30及以上</w:t>
            </w:r>
          </w:p>
        </w:tc>
        <w:tc>
          <w:tcPr>
            <w:tcW w:w="1312" w:type="dxa"/>
            <w:tcBorders>
              <w:top w:val="single" w:color="auto" w:sz="12" w:space="0"/>
              <w:left w:val="single" w:color="auto" w:sz="4" w:space="0"/>
              <w:bottom w:val="single" w:color="auto" w:sz="12" w:space="0"/>
              <w:right w:val="single" w:color="auto" w:sz="12"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C30及以上</w:t>
            </w:r>
          </w:p>
        </w:tc>
      </w:tr>
    </w:tbl>
    <w:p>
      <w:pPr>
        <w:spacing w:line="240" w:lineRule="auto"/>
        <w:jc w:val="center"/>
        <w:rPr>
          <w:rFonts w:ascii="黑体" w:hAnsi="黑体" w:eastAsia="黑体"/>
        </w:rPr>
      </w:pPr>
    </w:p>
    <w:p>
      <w:pPr>
        <w:pStyle w:val="58"/>
        <w:ind w:firstLine="0" w:firstLineChars="0"/>
        <w:rPr>
          <w:rFonts w:hAnsi="黑体"/>
          <w:bCs/>
        </w:rPr>
      </w:pPr>
      <w:r>
        <w:rPr>
          <w:rFonts w:hint="eastAsia" w:ascii="黑体" w:hAnsi="黑体" w:eastAsia="黑体"/>
        </w:rPr>
        <w:t>4.</w:t>
      </w:r>
      <w:r>
        <w:rPr>
          <w:rFonts w:ascii="黑体" w:hAnsi="黑体" w:eastAsia="黑体"/>
        </w:rPr>
        <w:t>2.2</w:t>
      </w:r>
      <w:r>
        <w:rPr>
          <w:rFonts w:hint="eastAsia" w:ascii="黑体" w:hAnsi="黑体" w:eastAsia="黑体"/>
        </w:rPr>
        <w:t xml:space="preserve"> </w:t>
      </w:r>
      <w:r>
        <w:rPr>
          <w:rFonts w:hint="eastAsia" w:hAnsi="黑体"/>
          <w:bCs/>
        </w:rPr>
        <w:t>凹槽节点部分应采用比被连接构件混凝土强度等级高一级且不低于C45的无收缩细石混凝土填实。</w:t>
      </w:r>
    </w:p>
    <w:p>
      <w:pPr>
        <w:pStyle w:val="58"/>
        <w:ind w:firstLine="0" w:firstLineChars="0"/>
        <w:rPr>
          <w:rFonts w:hAnsi="黑体"/>
          <w:bCs/>
        </w:rPr>
      </w:pPr>
      <w:r>
        <w:rPr>
          <w:rFonts w:hint="eastAsia" w:ascii="黑体" w:hAnsi="黑体" w:eastAsia="黑体"/>
        </w:rPr>
        <w:t>4.</w:t>
      </w:r>
      <w:r>
        <w:rPr>
          <w:rFonts w:ascii="黑体" w:hAnsi="黑体" w:eastAsia="黑体"/>
        </w:rPr>
        <w:t>2.3</w:t>
      </w:r>
      <w:r>
        <w:rPr>
          <w:rFonts w:hint="eastAsia" w:ascii="黑体" w:hAnsi="黑体" w:eastAsia="黑体"/>
        </w:rPr>
        <w:t xml:space="preserve"> </w:t>
      </w:r>
      <w:r>
        <w:rPr>
          <w:rFonts w:hint="eastAsia" w:hAnsi="黑体"/>
          <w:bCs/>
        </w:rPr>
        <w:t>先张法预应力叠合梁的预应力筋宜采用强度标准值为1860MPa预应力钢绞线，其公称直径宜为12.7mm；先张法预应力叠合板的预应力筋宜采用强度标准值不低于1570MPa、直径5mm的预应力螺旋肋钢丝。</w:t>
      </w:r>
    </w:p>
    <w:p>
      <w:pPr>
        <w:pStyle w:val="58"/>
        <w:ind w:firstLine="0" w:firstLineChars="0"/>
        <w:rPr>
          <w:rFonts w:hAnsi="黑体"/>
          <w:bCs/>
        </w:rPr>
      </w:pPr>
      <w:r>
        <w:rPr>
          <w:rFonts w:hint="eastAsia" w:ascii="黑体" w:hAnsi="黑体" w:eastAsia="黑体"/>
        </w:rPr>
        <w:t>4.</w:t>
      </w:r>
      <w:r>
        <w:rPr>
          <w:rFonts w:ascii="黑体" w:hAnsi="黑体" w:eastAsia="黑体"/>
        </w:rPr>
        <w:t>2.4</w:t>
      </w:r>
      <w:r>
        <w:rPr>
          <w:rFonts w:hint="eastAsia" w:ascii="黑体" w:hAnsi="黑体" w:eastAsia="黑体"/>
        </w:rPr>
        <w:t xml:space="preserve"> </w:t>
      </w:r>
      <w:r>
        <w:rPr>
          <w:rFonts w:hint="eastAsia" w:hAnsi="黑体"/>
          <w:bCs/>
        </w:rPr>
        <w:t>预制预应力混凝土装配整体式结构的普通钢筋应采用热轧带肋钢筋，并应符合现行国家标准《混凝土结构设计规范》GB 50010的规定。</w:t>
      </w:r>
    </w:p>
    <w:p>
      <w:pPr>
        <w:pStyle w:val="58"/>
        <w:ind w:firstLine="0" w:firstLineChars="0"/>
        <w:rPr>
          <w:rFonts w:hAnsi="黑体"/>
          <w:bCs/>
        </w:rPr>
      </w:pPr>
      <w:r>
        <w:rPr>
          <w:rFonts w:hint="eastAsia" w:ascii="黑体" w:hAnsi="黑体" w:eastAsia="黑体"/>
        </w:rPr>
        <w:t>4.</w:t>
      </w:r>
      <w:r>
        <w:rPr>
          <w:rFonts w:ascii="黑体" w:hAnsi="黑体" w:eastAsia="黑体"/>
        </w:rPr>
        <w:t>2.5</w:t>
      </w:r>
      <w:r>
        <w:rPr>
          <w:rFonts w:hint="eastAsia" w:ascii="黑体" w:hAnsi="黑体" w:eastAsia="黑体"/>
        </w:rPr>
        <w:t xml:space="preserve"> </w:t>
      </w:r>
      <w:r>
        <w:rPr>
          <w:rFonts w:hint="eastAsia" w:hAnsi="黑体"/>
          <w:bCs/>
        </w:rPr>
        <w:t>钢筋套筒灌浆连接接头采用的套筒应符合现行行业标准《钢筋连接用灌浆套筒》JG/T 398的有关规定。</w:t>
      </w:r>
    </w:p>
    <w:p>
      <w:pPr>
        <w:pStyle w:val="58"/>
        <w:ind w:firstLine="0" w:firstLineChars="0"/>
        <w:rPr>
          <w:rFonts w:hAnsi="黑体"/>
          <w:bCs/>
        </w:rPr>
      </w:pPr>
      <w:r>
        <w:rPr>
          <w:rFonts w:hint="eastAsia" w:ascii="黑体" w:hAnsi="黑体" w:eastAsia="黑体"/>
        </w:rPr>
        <w:t>4.</w:t>
      </w:r>
      <w:r>
        <w:rPr>
          <w:rFonts w:ascii="黑体" w:hAnsi="黑体" w:eastAsia="黑体"/>
        </w:rPr>
        <w:t>2.6</w:t>
      </w:r>
      <w:r>
        <w:rPr>
          <w:rFonts w:hint="eastAsia" w:ascii="黑体" w:hAnsi="黑体" w:eastAsia="黑体"/>
        </w:rPr>
        <w:t xml:space="preserve"> </w:t>
      </w:r>
      <w:r>
        <w:rPr>
          <w:rFonts w:hint="eastAsia" w:hAnsi="黑体"/>
          <w:bCs/>
        </w:rPr>
        <w:t>钢筋套筒灌浆连接接头采用的灌浆料应符合现行行业标准《钢筋连接用套筒灌浆料》JG/T 408的有关规定。</w:t>
      </w:r>
    </w:p>
    <w:p>
      <w:pPr>
        <w:pStyle w:val="58"/>
        <w:ind w:firstLine="0" w:firstLineChars="0"/>
        <w:rPr>
          <w:rFonts w:hAnsi="黑体"/>
          <w:bCs/>
        </w:rPr>
      </w:pPr>
      <w:r>
        <w:rPr>
          <w:rFonts w:hint="eastAsia" w:ascii="黑体" w:hAnsi="黑体" w:eastAsia="黑体"/>
        </w:rPr>
        <w:t>4.</w:t>
      </w:r>
      <w:r>
        <w:rPr>
          <w:rFonts w:ascii="黑体" w:hAnsi="黑体" w:eastAsia="黑体"/>
        </w:rPr>
        <w:t>2.7</w:t>
      </w:r>
      <w:r>
        <w:rPr>
          <w:rFonts w:hint="eastAsia" w:ascii="黑体" w:hAnsi="黑体" w:eastAsia="黑体"/>
        </w:rPr>
        <w:t xml:space="preserve"> </w:t>
      </w:r>
      <w:r>
        <w:rPr>
          <w:rFonts w:hint="eastAsia" w:hAnsi="黑体"/>
          <w:bCs/>
        </w:rPr>
        <w:t>预制构件宜采用内埋式螺母、内埋式吊杆或预留吊装孔，并采用配套的专用吊具实现吊装，也可采用吊环吊装，吊环应采用HPB300钢筋或Q235B圆钢制作。内埋式螺母、内埋式吊杆或吊环的设计与构造应符合现行国家标准《混凝土结构设计规范》GB 50010的有关规定。</w:t>
      </w:r>
    </w:p>
    <w:p>
      <w:pPr>
        <w:pStyle w:val="58"/>
        <w:ind w:firstLine="0" w:firstLineChars="0"/>
        <w:rPr>
          <w:rFonts w:hAnsi="黑体"/>
          <w:bCs/>
        </w:rPr>
      </w:pPr>
      <w:r>
        <w:rPr>
          <w:rFonts w:hint="eastAsia" w:ascii="黑体" w:hAnsi="黑体" w:eastAsia="黑体"/>
        </w:rPr>
        <w:t>4.</w:t>
      </w:r>
      <w:r>
        <w:rPr>
          <w:rFonts w:ascii="黑体" w:hAnsi="黑体" w:eastAsia="黑体"/>
        </w:rPr>
        <w:t>2.8</w:t>
      </w:r>
      <w:r>
        <w:rPr>
          <w:rFonts w:hint="eastAsia" w:ascii="黑体" w:hAnsi="黑体" w:eastAsia="黑体"/>
        </w:rPr>
        <w:t xml:space="preserve"> </w:t>
      </w:r>
      <w:r>
        <w:rPr>
          <w:rFonts w:hint="eastAsia" w:hAnsi="黑体"/>
          <w:bCs/>
        </w:rPr>
        <w:t>集中约束搭接连接的灌浆材料应采用无收缩水泥基灌浆料，1d龄期的强度不宜低于25MPa，28d龄期的强度不应低于60MPa，其余条件应满足现行国家标准《水泥基灌浆材料应用技术规范》GB/T 50448中II类水泥基灌浆材料的要求。</w:t>
      </w:r>
    </w:p>
    <w:p>
      <w:pPr>
        <w:pStyle w:val="58"/>
        <w:ind w:firstLine="0" w:firstLineChars="0"/>
        <w:rPr>
          <w:rFonts w:hAnsi="黑体"/>
          <w:bCs/>
        </w:rPr>
      </w:pPr>
      <w:r>
        <w:rPr>
          <w:rFonts w:hint="eastAsia" w:ascii="黑体" w:hAnsi="黑体" w:eastAsia="黑体"/>
        </w:rPr>
        <w:t>4.</w:t>
      </w:r>
      <w:r>
        <w:rPr>
          <w:rFonts w:ascii="黑体" w:hAnsi="黑体" w:eastAsia="黑体"/>
        </w:rPr>
        <w:t>2.9</w:t>
      </w:r>
      <w:r>
        <w:rPr>
          <w:rFonts w:hint="eastAsia" w:ascii="黑体" w:hAnsi="黑体" w:eastAsia="黑体"/>
        </w:rPr>
        <w:t xml:space="preserve"> </w:t>
      </w:r>
      <w:r>
        <w:rPr>
          <w:rFonts w:hint="eastAsia" w:hAnsi="黑体"/>
          <w:bCs/>
        </w:rPr>
        <w:t>集中约束搭接连接的剪力墙的座浆材料宜采用无收缩水泥基灌浆料，1d龄期的强度不宜低于25MPa，28d龄期的强度不应低于60MPa，其余条件应满足现行国家标准《水泥基灌浆材料应用技术规范》GB/T 50448中II类水泥基灌浆材料的要求。</w:t>
      </w:r>
    </w:p>
    <w:p>
      <w:pPr>
        <w:pStyle w:val="58"/>
        <w:ind w:firstLine="0" w:firstLineChars="0"/>
        <w:rPr>
          <w:rFonts w:hAnsi="黑体"/>
          <w:bCs/>
        </w:rPr>
      </w:pPr>
      <w:r>
        <w:rPr>
          <w:rFonts w:hint="eastAsia" w:ascii="黑体" w:hAnsi="黑体" w:eastAsia="黑体"/>
        </w:rPr>
        <w:t>4.</w:t>
      </w:r>
      <w:r>
        <w:rPr>
          <w:rFonts w:ascii="黑体" w:hAnsi="黑体" w:eastAsia="黑体"/>
        </w:rPr>
        <w:t>2.10</w:t>
      </w:r>
      <w:r>
        <w:rPr>
          <w:rFonts w:hint="eastAsia" w:ascii="黑体" w:hAnsi="黑体" w:eastAsia="黑体"/>
        </w:rPr>
        <w:t xml:space="preserve"> </w:t>
      </w:r>
      <w:r>
        <w:rPr>
          <w:rFonts w:hint="eastAsia" w:hAnsi="黑体"/>
          <w:bCs/>
        </w:rPr>
        <w:t>集中约束搭接连接预留孔道采用的金属波纹管应符合现行行业标准《预应力混凝土用金属波纹管》JG/T 225的有关规定。镀锌金属波纹管的钢带厚度不宜小于0.3mm，波纹高度不应小于2.5mm。</w:t>
      </w:r>
    </w:p>
    <w:p>
      <w:pPr>
        <w:pStyle w:val="58"/>
        <w:spacing w:before="312" w:beforeLines="100" w:after="312" w:afterLines="100"/>
        <w:ind w:firstLine="0" w:firstLineChars="0"/>
        <w:outlineLvl w:val="1"/>
        <w:rPr>
          <w:rFonts w:ascii="黑体" w:hAnsi="黑体" w:eastAsia="黑体"/>
        </w:rPr>
      </w:pPr>
      <w:bookmarkStart w:id="78" w:name="_Toc142923585"/>
      <w:r>
        <w:rPr>
          <w:rFonts w:ascii="黑体" w:hAnsi="黑体" w:eastAsia="黑体"/>
        </w:rPr>
        <w:t>4</w:t>
      </w:r>
      <w:r>
        <w:rPr>
          <w:rFonts w:hint="eastAsia" w:ascii="黑体" w:hAnsi="黑体" w:eastAsia="黑体"/>
        </w:rPr>
        <w:t>.</w:t>
      </w:r>
      <w:r>
        <w:rPr>
          <w:rFonts w:ascii="黑体" w:hAnsi="黑体" w:eastAsia="黑体"/>
        </w:rPr>
        <w:t>3</w:t>
      </w:r>
      <w:r>
        <w:rPr>
          <w:rFonts w:hint="eastAsia" w:ascii="黑体" w:hAnsi="黑体" w:eastAsia="黑体"/>
        </w:rPr>
        <w:t xml:space="preserve"> </w:t>
      </w:r>
      <w:r>
        <w:rPr>
          <w:rFonts w:hint="eastAsia" w:ascii="黑体" w:hAnsi="黑体" w:eastAsia="黑体"/>
          <w:bCs/>
          <w:szCs w:val="21"/>
        </w:rPr>
        <w:t>构件</w:t>
      </w:r>
      <w:bookmarkEnd w:id="78"/>
    </w:p>
    <w:p>
      <w:pPr>
        <w:pStyle w:val="58"/>
        <w:ind w:firstLine="0" w:firstLineChars="0"/>
        <w:rPr>
          <w:rFonts w:hAnsi="黑体"/>
          <w:bCs/>
        </w:rPr>
      </w:pPr>
      <w:r>
        <w:rPr>
          <w:rFonts w:hint="eastAsia" w:ascii="黑体" w:hAnsi="黑体" w:eastAsia="黑体"/>
        </w:rPr>
        <w:t>4.</w:t>
      </w:r>
      <w:r>
        <w:rPr>
          <w:rFonts w:ascii="黑体" w:hAnsi="黑体" w:eastAsia="黑体"/>
        </w:rPr>
        <w:t>3.1</w:t>
      </w:r>
      <w:r>
        <w:rPr>
          <w:rFonts w:hint="eastAsia" w:ascii="黑体" w:hAnsi="黑体" w:eastAsia="黑体"/>
        </w:rPr>
        <w:t xml:space="preserve"> </w:t>
      </w:r>
      <w:r>
        <w:rPr>
          <w:rFonts w:hint="eastAsia" w:hAnsi="黑体"/>
          <w:bCs/>
        </w:rPr>
        <w:t>预制柱宜采用矩形截面，截面边长不宜小于400mm，且不宜小于同方向梁宽的1.5倍。一次成型的预制柱的长度不宜超过14m和4层层高的较小值。</w:t>
      </w:r>
    </w:p>
    <w:p>
      <w:pPr>
        <w:pStyle w:val="58"/>
        <w:ind w:firstLine="0" w:firstLineChars="0"/>
        <w:rPr>
          <w:rFonts w:hAnsi="黑体"/>
          <w:bCs/>
        </w:rPr>
      </w:pPr>
      <w:bookmarkStart w:id="79" w:name="_Hlk142548997"/>
      <w:r>
        <w:rPr>
          <w:rFonts w:hint="eastAsia" w:ascii="黑体" w:hAnsi="黑体" w:eastAsia="黑体"/>
        </w:rPr>
        <w:t>4.</w:t>
      </w:r>
      <w:r>
        <w:rPr>
          <w:rFonts w:ascii="黑体" w:hAnsi="黑体" w:eastAsia="黑体"/>
        </w:rPr>
        <w:t>3.2</w:t>
      </w:r>
      <w:r>
        <w:rPr>
          <w:rFonts w:hint="eastAsia" w:ascii="黑体" w:hAnsi="黑体" w:eastAsia="黑体"/>
        </w:rPr>
        <w:t xml:space="preserve"> </w:t>
      </w:r>
      <w:r>
        <w:rPr>
          <w:rFonts w:hint="eastAsia" w:hAnsi="黑体"/>
          <w:bCs/>
        </w:rPr>
        <w:t>预制梁的截面宽度不应小于200mm。预制框架梁端部可设凹槽，预制次梁端部可按缺口梁形式设置。</w:t>
      </w:r>
    </w:p>
    <w:bookmarkEnd w:id="79"/>
    <w:p>
      <w:pPr>
        <w:widowControl/>
        <w:autoSpaceDE w:val="0"/>
        <w:autoSpaceDN w:val="0"/>
        <w:adjustRightInd/>
        <w:spacing w:line="240" w:lineRule="auto"/>
        <w:rPr>
          <w:rFonts w:ascii="宋体" w:hAnsi="黑体"/>
          <w:bCs/>
          <w:kern w:val="0"/>
          <w:szCs w:val="20"/>
        </w:rPr>
      </w:pPr>
      <w:r>
        <w:rPr>
          <w:rFonts w:hint="eastAsia" w:ascii="黑体" w:hAnsi="黑体" w:eastAsia="黑体"/>
          <w:kern w:val="0"/>
          <w:szCs w:val="20"/>
        </w:rPr>
        <w:t>4.</w:t>
      </w:r>
      <w:r>
        <w:rPr>
          <w:rFonts w:ascii="黑体" w:hAnsi="黑体" w:eastAsia="黑体"/>
          <w:kern w:val="0"/>
          <w:szCs w:val="20"/>
        </w:rPr>
        <w:t>3.3</w:t>
      </w:r>
      <w:r>
        <w:rPr>
          <w:rFonts w:hint="eastAsia" w:ascii="黑体" w:hAnsi="黑体" w:eastAsia="黑体"/>
          <w:kern w:val="0"/>
          <w:szCs w:val="20"/>
        </w:rPr>
        <w:t xml:space="preserve"> </w:t>
      </w:r>
      <w:r>
        <w:rPr>
          <w:rFonts w:hint="eastAsia" w:ascii="宋体" w:hAnsi="黑体"/>
          <w:bCs/>
          <w:kern w:val="0"/>
          <w:szCs w:val="20"/>
        </w:rPr>
        <w:t>叠合板的预制板厚度不应小于50mm，且不应大于楼板总厚度的1/2。预制板的宽度不宜大于2500mm，且不宜小于600mm。</w:t>
      </w:r>
    </w:p>
    <w:p>
      <w:pPr>
        <w:widowControl/>
        <w:autoSpaceDE w:val="0"/>
        <w:autoSpaceDN w:val="0"/>
        <w:adjustRightInd/>
        <w:spacing w:line="240" w:lineRule="auto"/>
        <w:rPr>
          <w:rFonts w:ascii="宋体" w:hAnsi="黑体"/>
          <w:bCs/>
          <w:kern w:val="0"/>
          <w:szCs w:val="20"/>
        </w:rPr>
      </w:pPr>
      <w:r>
        <w:rPr>
          <w:rFonts w:hint="eastAsia" w:ascii="黑体" w:hAnsi="黑体" w:eastAsia="黑体"/>
          <w:kern w:val="0"/>
          <w:szCs w:val="20"/>
        </w:rPr>
        <w:t>4.</w:t>
      </w:r>
      <w:r>
        <w:rPr>
          <w:rFonts w:ascii="黑体" w:hAnsi="黑体" w:eastAsia="黑体"/>
          <w:kern w:val="0"/>
          <w:szCs w:val="20"/>
        </w:rPr>
        <w:t>3.4</w:t>
      </w:r>
      <w:r>
        <w:rPr>
          <w:rFonts w:hint="eastAsia" w:ascii="黑体" w:hAnsi="黑体" w:eastAsia="黑体"/>
          <w:kern w:val="0"/>
          <w:szCs w:val="20"/>
        </w:rPr>
        <w:t xml:space="preserve"> </w:t>
      </w:r>
      <w:r>
        <w:rPr>
          <w:rFonts w:hint="eastAsia" w:ascii="宋体" w:hAnsi="黑体"/>
          <w:bCs/>
          <w:kern w:val="0"/>
          <w:szCs w:val="20"/>
        </w:rPr>
        <w:t>预制剪力墙可采用一字形、L形、T形或U形。预制剪力墙的截面厚度不宜小于200mm，不宜大于300mm。</w:t>
      </w:r>
    </w:p>
    <w:p>
      <w:pPr>
        <w:pStyle w:val="58"/>
        <w:spacing w:before="312" w:beforeLines="100" w:after="312" w:afterLines="100"/>
        <w:ind w:firstLine="0" w:firstLineChars="0"/>
        <w:outlineLvl w:val="1"/>
        <w:rPr>
          <w:rFonts w:ascii="黑体" w:hAnsi="黑体" w:eastAsia="黑体"/>
        </w:rPr>
      </w:pPr>
      <w:bookmarkStart w:id="80" w:name="_Toc142923586"/>
      <w:r>
        <w:rPr>
          <w:rFonts w:ascii="黑体" w:hAnsi="黑体" w:eastAsia="黑体"/>
        </w:rPr>
        <w:t>4</w:t>
      </w:r>
      <w:r>
        <w:rPr>
          <w:rFonts w:hint="eastAsia" w:ascii="黑体" w:hAnsi="黑体" w:eastAsia="黑体"/>
        </w:rPr>
        <w:t>.</w:t>
      </w:r>
      <w:r>
        <w:rPr>
          <w:rFonts w:ascii="黑体" w:hAnsi="黑体" w:eastAsia="黑体"/>
        </w:rPr>
        <w:t>4</w:t>
      </w:r>
      <w:r>
        <w:rPr>
          <w:rFonts w:hint="eastAsia" w:ascii="黑体" w:hAnsi="黑体" w:eastAsia="黑体"/>
        </w:rPr>
        <w:t xml:space="preserve"> 作用与作用组合</w:t>
      </w:r>
      <w:bookmarkEnd w:id="80"/>
    </w:p>
    <w:p>
      <w:pPr>
        <w:pStyle w:val="58"/>
        <w:ind w:left="0" w:leftChars="0" w:firstLine="0" w:firstLineChars="0"/>
      </w:pPr>
      <w:r>
        <w:rPr>
          <w:rFonts w:hint="eastAsia" w:ascii="黑体" w:hAnsi="黑体" w:eastAsia="黑体"/>
        </w:rPr>
        <w:t>4.</w:t>
      </w:r>
      <w:r>
        <w:rPr>
          <w:rFonts w:ascii="黑体" w:hAnsi="黑体" w:eastAsia="黑体"/>
        </w:rPr>
        <w:t>4.1</w:t>
      </w:r>
      <w:r>
        <w:rPr>
          <w:rFonts w:hint="eastAsia" w:ascii="黑体" w:hAnsi="黑体" w:eastAsia="黑体"/>
        </w:rPr>
        <w:t xml:space="preserve"> </w:t>
      </w:r>
      <w:r>
        <w:rPr>
          <w:rFonts w:hint="eastAsia" w:hAnsi="黑体"/>
          <w:bCs/>
        </w:rPr>
        <w:t>预制预应力混凝土装配整体式结构或结构构件按承载能力极限状态设计时，</w:t>
      </w:r>
      <w:r>
        <w:rPr>
          <w:rFonts w:hint="eastAsia"/>
        </w:rPr>
        <w:t>结构或结构构件的破坏或过度变形的承载能力极限状态设计，应符合下式规定：</w:t>
      </w:r>
    </w:p>
    <w:p>
      <w:pPr>
        <w:spacing w:line="240" w:lineRule="auto"/>
        <w:jc w:val="center"/>
      </w:pPr>
      <w:r>
        <w:drawing>
          <wp:inline distT="0" distB="0" distL="0" distR="0">
            <wp:extent cx="714375" cy="29527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714375" cy="295275"/>
                    </a:xfrm>
                    <a:prstGeom prst="rect">
                      <a:avLst/>
                    </a:prstGeom>
                    <a:noFill/>
                    <a:ln>
                      <a:noFill/>
                    </a:ln>
                  </pic:spPr>
                </pic:pic>
              </a:graphicData>
            </a:graphic>
          </wp:inline>
        </w:drawing>
      </w:r>
    </w:p>
    <w:p>
      <w:pPr>
        <w:spacing w:line="240" w:lineRule="auto"/>
        <w:ind w:firstLine="420" w:firstLineChars="200"/>
      </w:pPr>
      <w:r>
        <w:rPr>
          <w:rFonts w:hint="eastAsia"/>
        </w:rPr>
        <w:t>式中：</w:t>
      </w:r>
    </w:p>
    <w:tbl>
      <w:tblPr>
        <w:tblStyle w:val="27"/>
        <w:tblW w:w="9329" w:type="dxa"/>
        <w:tblInd w:w="135" w:type="dxa"/>
        <w:tblLayout w:type="fixed"/>
        <w:tblCellMar>
          <w:top w:w="0" w:type="dxa"/>
          <w:left w:w="108" w:type="dxa"/>
          <w:bottom w:w="0" w:type="dxa"/>
          <w:right w:w="108" w:type="dxa"/>
        </w:tblCellMar>
      </w:tblPr>
      <w:tblGrid>
        <w:gridCol w:w="824"/>
        <w:gridCol w:w="850"/>
        <w:gridCol w:w="7655"/>
      </w:tblGrid>
      <w:tr>
        <w:tblPrEx>
          <w:tblCellMar>
            <w:top w:w="0" w:type="dxa"/>
            <w:left w:w="108" w:type="dxa"/>
            <w:bottom w:w="0" w:type="dxa"/>
            <w:right w:w="108" w:type="dxa"/>
          </w:tblCellMar>
        </w:tblPrEx>
        <w:trPr>
          <w:trHeight w:val="443" w:hRule="atLeast"/>
        </w:trPr>
        <w:tc>
          <w:tcPr>
            <w:tcW w:w="824" w:type="dxa"/>
            <w:vAlign w:val="center"/>
          </w:tcPr>
          <w:p>
            <w:pPr>
              <w:snapToGrid w:val="0"/>
              <w:spacing w:line="500" w:lineRule="exact"/>
              <w:ind w:right="40" w:rightChars="19"/>
              <w:jc w:val="right"/>
              <w:rPr>
                <w:rFonts w:ascii="Times New Roman" w:hAnsi="Times New Roman"/>
              </w:rPr>
            </w:pPr>
            <w:r>
              <w:rPr>
                <w:rFonts w:ascii="Times New Roman" w:hAnsi="Times New Roman"/>
              </w:rPr>
              <w:drawing>
                <wp:inline distT="0" distB="0" distL="0" distR="0">
                  <wp:extent cx="180975" cy="257175"/>
                  <wp:effectExtent l="0" t="0" r="9525"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180975" cy="257175"/>
                          </a:xfrm>
                          <a:prstGeom prst="rect">
                            <a:avLst/>
                          </a:prstGeom>
                          <a:noFill/>
                          <a:ln>
                            <a:noFill/>
                          </a:ln>
                        </pic:spPr>
                      </pic:pic>
                    </a:graphicData>
                  </a:graphic>
                </wp:inline>
              </w:drawing>
            </w:r>
          </w:p>
        </w:tc>
        <w:tc>
          <w:tcPr>
            <w:tcW w:w="850" w:type="dxa"/>
            <w:vAlign w:val="center"/>
          </w:tcPr>
          <w:p>
            <w:pPr>
              <w:snapToGrid w:val="0"/>
              <w:spacing w:line="500" w:lineRule="exact"/>
              <w:rPr>
                <w:rFonts w:ascii="Times New Roman" w:hAnsi="Times New Roman"/>
                <w:color w:val="000000"/>
                <w:sz w:val="28"/>
                <w:szCs w:val="28"/>
              </w:rPr>
            </w:pPr>
            <w:r>
              <w:rPr>
                <w:rFonts w:ascii="Times New Roman" w:hAnsi="Times New Roman"/>
                <w:color w:val="000000"/>
                <w:sz w:val="28"/>
                <w:szCs w:val="28"/>
              </w:rPr>
              <w:t>——</w:t>
            </w:r>
          </w:p>
        </w:tc>
        <w:tc>
          <w:tcPr>
            <w:tcW w:w="7655" w:type="dxa"/>
            <w:vAlign w:val="center"/>
          </w:tcPr>
          <w:p>
            <w:pPr>
              <w:autoSpaceDE w:val="0"/>
              <w:snapToGrid w:val="0"/>
              <w:spacing w:line="240" w:lineRule="auto"/>
              <w:rPr>
                <w:rFonts w:ascii="宋体" w:hAnsi="宋体"/>
                <w:color w:val="000000"/>
              </w:rPr>
            </w:pPr>
            <w:r>
              <w:rPr>
                <w:rFonts w:ascii="Times New Roman" w:hAnsi="Times New Roman"/>
              </w:rPr>
              <w:t>结构重要性系数，按现行国家标准</w:t>
            </w:r>
            <w:r>
              <w:rPr>
                <w:rFonts w:hint="eastAsia" w:ascii="Times New Roman" w:hAnsi="Times New Roman"/>
              </w:rPr>
              <w:t>《工程结构通用规范》GB 55001、</w:t>
            </w:r>
            <w:r>
              <w:rPr>
                <w:rFonts w:ascii="Times New Roman" w:hAnsi="Times New Roman"/>
              </w:rPr>
              <w:t>《建筑结构可靠性设计统一标准》</w:t>
            </w:r>
            <w:r>
              <w:rPr>
                <w:rFonts w:hint="eastAsia" w:ascii="宋体" w:hAnsi="宋体"/>
              </w:rPr>
              <w:t>GB 50068</w:t>
            </w:r>
            <w:r>
              <w:rPr>
                <w:rFonts w:ascii="Times New Roman" w:hAnsi="Times New Roman"/>
              </w:rPr>
              <w:t>的规定采用；</w:t>
            </w:r>
          </w:p>
        </w:tc>
      </w:tr>
      <w:tr>
        <w:tblPrEx>
          <w:tblCellMar>
            <w:top w:w="0" w:type="dxa"/>
            <w:left w:w="108" w:type="dxa"/>
            <w:bottom w:w="0" w:type="dxa"/>
            <w:right w:w="108" w:type="dxa"/>
          </w:tblCellMar>
        </w:tblPrEx>
        <w:trPr>
          <w:trHeight w:val="443" w:hRule="atLeast"/>
        </w:trPr>
        <w:tc>
          <w:tcPr>
            <w:tcW w:w="824" w:type="dxa"/>
            <w:vAlign w:val="center"/>
          </w:tcPr>
          <w:p>
            <w:pPr>
              <w:snapToGrid w:val="0"/>
              <w:spacing w:line="500" w:lineRule="exact"/>
              <w:jc w:val="right"/>
              <w:rPr>
                <w:rFonts w:ascii="Times New Roman" w:hAnsi="Times New Roman"/>
              </w:rPr>
            </w:pPr>
            <w:r>
              <w:rPr>
                <w:rFonts w:ascii="Times New Roman" w:hAnsi="Times New Roman"/>
              </w:rPr>
              <w:drawing>
                <wp:inline distT="0" distB="0" distL="0" distR="0">
                  <wp:extent cx="180975" cy="257175"/>
                  <wp:effectExtent l="0" t="0" r="952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180975" cy="257175"/>
                          </a:xfrm>
                          <a:prstGeom prst="rect">
                            <a:avLst/>
                          </a:prstGeom>
                          <a:noFill/>
                          <a:ln>
                            <a:noFill/>
                          </a:ln>
                        </pic:spPr>
                      </pic:pic>
                    </a:graphicData>
                  </a:graphic>
                </wp:inline>
              </w:drawing>
            </w:r>
          </w:p>
        </w:tc>
        <w:tc>
          <w:tcPr>
            <w:tcW w:w="850" w:type="dxa"/>
            <w:vAlign w:val="center"/>
          </w:tcPr>
          <w:p>
            <w:pPr>
              <w:snapToGrid w:val="0"/>
              <w:spacing w:line="500" w:lineRule="exact"/>
              <w:rPr>
                <w:rFonts w:ascii="Times New Roman" w:hAnsi="Times New Roman"/>
                <w:color w:val="000000"/>
                <w:sz w:val="28"/>
                <w:szCs w:val="28"/>
              </w:rPr>
            </w:pPr>
            <w:r>
              <w:rPr>
                <w:rFonts w:ascii="Times New Roman" w:hAnsi="Times New Roman"/>
                <w:color w:val="000000"/>
                <w:sz w:val="28"/>
                <w:szCs w:val="28"/>
              </w:rPr>
              <w:t>——</w:t>
            </w:r>
          </w:p>
        </w:tc>
        <w:tc>
          <w:tcPr>
            <w:tcW w:w="7655" w:type="dxa"/>
            <w:vAlign w:val="center"/>
          </w:tcPr>
          <w:p>
            <w:pPr>
              <w:autoSpaceDE w:val="0"/>
              <w:snapToGrid w:val="0"/>
              <w:spacing w:line="240" w:lineRule="auto"/>
              <w:rPr>
                <w:rFonts w:ascii="Times New Roman" w:hAnsi="Times New Roman"/>
                <w:sz w:val="28"/>
                <w:szCs w:val="28"/>
              </w:rPr>
            </w:pPr>
            <w:r>
              <w:rPr>
                <w:rFonts w:ascii="Times New Roman" w:hAnsi="Times New Roman"/>
              </w:rPr>
              <w:t>作用组合的效应设计值；</w:t>
            </w:r>
          </w:p>
        </w:tc>
      </w:tr>
      <w:tr>
        <w:tblPrEx>
          <w:tblCellMar>
            <w:top w:w="0" w:type="dxa"/>
            <w:left w:w="108" w:type="dxa"/>
            <w:bottom w:w="0" w:type="dxa"/>
            <w:right w:w="108" w:type="dxa"/>
          </w:tblCellMar>
        </w:tblPrEx>
        <w:trPr>
          <w:trHeight w:val="443" w:hRule="atLeast"/>
        </w:trPr>
        <w:tc>
          <w:tcPr>
            <w:tcW w:w="824" w:type="dxa"/>
            <w:vAlign w:val="center"/>
          </w:tcPr>
          <w:p>
            <w:pPr>
              <w:snapToGrid w:val="0"/>
              <w:spacing w:line="500" w:lineRule="exact"/>
              <w:jc w:val="right"/>
              <w:rPr>
                <w:rFonts w:ascii="Times New Roman" w:hAnsi="Times New Roman"/>
              </w:rPr>
            </w:pPr>
            <w:r>
              <w:rPr>
                <w:rFonts w:ascii="Times New Roman" w:hAnsi="Times New Roman"/>
              </w:rPr>
              <w:drawing>
                <wp:inline distT="0" distB="0" distL="0" distR="0">
                  <wp:extent cx="209550" cy="257175"/>
                  <wp:effectExtent l="0" t="0" r="0" b="952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09550" cy="257175"/>
                          </a:xfrm>
                          <a:prstGeom prst="rect">
                            <a:avLst/>
                          </a:prstGeom>
                          <a:noFill/>
                          <a:ln>
                            <a:noFill/>
                          </a:ln>
                        </pic:spPr>
                      </pic:pic>
                    </a:graphicData>
                  </a:graphic>
                </wp:inline>
              </w:drawing>
            </w:r>
          </w:p>
        </w:tc>
        <w:tc>
          <w:tcPr>
            <w:tcW w:w="850" w:type="dxa"/>
            <w:vAlign w:val="center"/>
          </w:tcPr>
          <w:p>
            <w:pPr>
              <w:snapToGrid w:val="0"/>
              <w:spacing w:line="500" w:lineRule="exact"/>
              <w:rPr>
                <w:rFonts w:ascii="Times New Roman" w:hAnsi="Times New Roman"/>
                <w:color w:val="000000"/>
                <w:sz w:val="28"/>
                <w:szCs w:val="28"/>
              </w:rPr>
            </w:pPr>
            <w:r>
              <w:rPr>
                <w:rFonts w:ascii="Times New Roman" w:hAnsi="Times New Roman"/>
                <w:color w:val="000000"/>
                <w:sz w:val="28"/>
                <w:szCs w:val="28"/>
              </w:rPr>
              <w:t>——</w:t>
            </w:r>
          </w:p>
        </w:tc>
        <w:tc>
          <w:tcPr>
            <w:tcW w:w="7655" w:type="dxa"/>
            <w:vAlign w:val="center"/>
          </w:tcPr>
          <w:p>
            <w:pPr>
              <w:autoSpaceDE w:val="0"/>
              <w:snapToGrid w:val="0"/>
              <w:spacing w:line="240" w:lineRule="auto"/>
              <w:rPr>
                <w:rFonts w:ascii="Times New Roman" w:hAnsi="Times New Roman"/>
                <w:sz w:val="28"/>
                <w:szCs w:val="28"/>
              </w:rPr>
            </w:pPr>
            <w:r>
              <w:rPr>
                <w:rFonts w:ascii="Times New Roman" w:hAnsi="Times New Roman"/>
              </w:rPr>
              <w:t>结构或结构构件的抗力设计值。</w:t>
            </w:r>
          </w:p>
        </w:tc>
      </w:tr>
    </w:tbl>
    <w:p>
      <w:pPr>
        <w:pStyle w:val="58"/>
        <w:ind w:firstLine="0" w:firstLineChars="0"/>
        <w:rPr>
          <w:rFonts w:hAnsi="黑体"/>
          <w:bCs/>
        </w:rPr>
      </w:pPr>
      <w:r>
        <w:rPr>
          <w:rFonts w:hint="eastAsia" w:ascii="黑体" w:hAnsi="黑体" w:eastAsia="黑体"/>
        </w:rPr>
        <w:t>4.</w:t>
      </w:r>
      <w:r>
        <w:rPr>
          <w:rFonts w:ascii="黑体" w:hAnsi="黑体" w:eastAsia="黑体"/>
        </w:rPr>
        <w:t>4.2</w:t>
      </w:r>
      <w:r>
        <w:rPr>
          <w:rFonts w:hint="eastAsia" w:ascii="黑体" w:hAnsi="黑体" w:eastAsia="黑体"/>
        </w:rPr>
        <w:t xml:space="preserve"> </w:t>
      </w:r>
      <w:r>
        <w:rPr>
          <w:rFonts w:hint="eastAsia" w:hAnsi="黑体"/>
          <w:bCs/>
        </w:rPr>
        <w:t>对持久设计状况和短暂设计状况，应采用作用的基本组合，并应符合下列规定：</w:t>
      </w:r>
    </w:p>
    <w:p>
      <w:pPr>
        <w:pStyle w:val="58"/>
        <w:ind w:left="840" w:leftChars="200" w:hanging="420" w:hangingChars="200"/>
      </w:pPr>
      <w:r>
        <w:t>a</w:t>
      </w:r>
      <w:r>
        <w:rPr>
          <w:rFonts w:hint="eastAsia"/>
        </w:rPr>
        <w:t>)</w:t>
      </w:r>
      <w:r>
        <w:t xml:space="preserve">  </w:t>
      </w:r>
      <w:r>
        <w:rPr>
          <w:rFonts w:hint="eastAsia"/>
        </w:rPr>
        <w:t>基本组合的效应设计值按下式中最不利值确定：</w:t>
      </w:r>
    </w:p>
    <w:p>
      <w:pPr>
        <w:adjustRightInd/>
        <w:spacing w:line="240" w:lineRule="auto"/>
        <w:jc w:val="center"/>
        <w:rPr>
          <w:rFonts w:ascii="Times New Roman" w:hAnsi="Times New Roman"/>
        </w:rPr>
      </w:pPr>
      <w:r>
        <w:rPr>
          <w:rFonts w:ascii="Times New Roman" w:hAnsi="Times New Roman"/>
        </w:rPr>
        <w:drawing>
          <wp:inline distT="0" distB="0" distL="0" distR="0">
            <wp:extent cx="3714750" cy="581025"/>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3714750" cy="581025"/>
                    </a:xfrm>
                    <a:prstGeom prst="rect">
                      <a:avLst/>
                    </a:prstGeom>
                    <a:noFill/>
                    <a:ln>
                      <a:noFill/>
                    </a:ln>
                  </pic:spPr>
                </pic:pic>
              </a:graphicData>
            </a:graphic>
          </wp:inline>
        </w:drawing>
      </w:r>
    </w:p>
    <w:p>
      <w:pPr>
        <w:spacing w:line="240" w:lineRule="auto"/>
        <w:ind w:firstLine="420" w:firstLineChars="200"/>
      </w:pPr>
      <w:r>
        <w:rPr>
          <w:rFonts w:hint="eastAsia"/>
        </w:rPr>
        <w:t>式中：</w:t>
      </w:r>
    </w:p>
    <w:tbl>
      <w:tblPr>
        <w:tblStyle w:val="27"/>
        <w:tblW w:w="9329" w:type="dxa"/>
        <w:tblInd w:w="135" w:type="dxa"/>
        <w:tblLayout w:type="fixed"/>
        <w:tblCellMar>
          <w:top w:w="0" w:type="dxa"/>
          <w:left w:w="108" w:type="dxa"/>
          <w:bottom w:w="0" w:type="dxa"/>
          <w:right w:w="108" w:type="dxa"/>
        </w:tblCellMar>
      </w:tblPr>
      <w:tblGrid>
        <w:gridCol w:w="1144"/>
        <w:gridCol w:w="825"/>
        <w:gridCol w:w="7360"/>
      </w:tblGrid>
      <w:tr>
        <w:tblPrEx>
          <w:tblCellMar>
            <w:top w:w="0" w:type="dxa"/>
            <w:left w:w="108" w:type="dxa"/>
            <w:bottom w:w="0" w:type="dxa"/>
            <w:right w:w="108" w:type="dxa"/>
          </w:tblCellMar>
        </w:tblPrEx>
        <w:trPr>
          <w:trHeight w:val="355" w:hRule="atLeast"/>
        </w:trPr>
        <w:tc>
          <w:tcPr>
            <w:tcW w:w="1144" w:type="dxa"/>
            <w:vAlign w:val="center"/>
          </w:tcPr>
          <w:p>
            <w:pPr>
              <w:snapToGrid w:val="0"/>
              <w:spacing w:line="240" w:lineRule="auto"/>
              <w:jc w:val="right"/>
              <w:rPr>
                <w:rFonts w:ascii="宋体" w:hAnsi="宋体"/>
              </w:rPr>
            </w:pPr>
            <w:r>
              <w:rPr>
                <w:rFonts w:ascii="宋体" w:hAnsi="宋体"/>
              </w:rPr>
              <w:drawing>
                <wp:inline distT="0" distB="0" distL="0" distR="0">
                  <wp:extent cx="323850" cy="24765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323850" cy="247650"/>
                          </a:xfrm>
                          <a:prstGeom prst="rect">
                            <a:avLst/>
                          </a:prstGeom>
                          <a:noFill/>
                          <a:ln>
                            <a:noFill/>
                          </a:ln>
                        </pic:spPr>
                      </pic:pic>
                    </a:graphicData>
                  </a:graphic>
                </wp:inline>
              </w:drawing>
            </w:r>
          </w:p>
        </w:tc>
        <w:tc>
          <w:tcPr>
            <w:tcW w:w="825" w:type="dxa"/>
            <w:vAlign w:val="center"/>
          </w:tcPr>
          <w:p>
            <w:pPr>
              <w:snapToGrid w:val="0"/>
              <w:spacing w:line="240" w:lineRule="auto"/>
              <w:rPr>
                <w:rFonts w:ascii="Times New Roman" w:hAnsi="Times New Roman"/>
                <w:color w:val="000000"/>
                <w:sz w:val="28"/>
                <w:szCs w:val="28"/>
              </w:rPr>
            </w:pPr>
            <w:r>
              <w:rPr>
                <w:rFonts w:ascii="Times New Roman" w:hAnsi="Times New Roman"/>
                <w:color w:val="000000"/>
                <w:sz w:val="28"/>
                <w:szCs w:val="28"/>
              </w:rPr>
              <w:t>——</w:t>
            </w:r>
          </w:p>
        </w:tc>
        <w:tc>
          <w:tcPr>
            <w:tcW w:w="7360" w:type="dxa"/>
            <w:vAlign w:val="center"/>
          </w:tcPr>
          <w:p>
            <w:pPr>
              <w:autoSpaceDE w:val="0"/>
              <w:snapToGrid w:val="0"/>
              <w:spacing w:line="240" w:lineRule="auto"/>
              <w:rPr>
                <w:rFonts w:ascii="Times New Roman" w:hAnsi="Times New Roman"/>
              </w:rPr>
            </w:pPr>
            <w:r>
              <w:rPr>
                <w:rFonts w:ascii="Times New Roman" w:hAnsi="Times New Roman"/>
              </w:rPr>
              <w:t>作用组合的效应函数；</w:t>
            </w:r>
          </w:p>
        </w:tc>
      </w:tr>
      <w:tr>
        <w:tblPrEx>
          <w:tblCellMar>
            <w:top w:w="0" w:type="dxa"/>
            <w:left w:w="108" w:type="dxa"/>
            <w:bottom w:w="0" w:type="dxa"/>
            <w:right w:w="108" w:type="dxa"/>
          </w:tblCellMar>
        </w:tblPrEx>
        <w:trPr>
          <w:trHeight w:val="283" w:hRule="atLeast"/>
        </w:trPr>
        <w:tc>
          <w:tcPr>
            <w:tcW w:w="1144" w:type="dxa"/>
            <w:vAlign w:val="center"/>
          </w:tcPr>
          <w:p>
            <w:pPr>
              <w:snapToGrid w:val="0"/>
              <w:spacing w:line="240" w:lineRule="auto"/>
              <w:jc w:val="right"/>
              <w:rPr>
                <w:rFonts w:ascii="Times New Roman" w:hAnsi="Times New Roman"/>
              </w:rPr>
            </w:pPr>
            <w:r>
              <w:rPr>
                <w:rFonts w:ascii="Times New Roman" w:hAnsi="Times New Roman"/>
              </w:rPr>
              <w:drawing>
                <wp:inline distT="0" distB="0" distL="0" distR="0">
                  <wp:extent cx="219075" cy="219075"/>
                  <wp:effectExtent l="0" t="0" r="9525"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19075" cy="219075"/>
                          </a:xfrm>
                          <a:prstGeom prst="rect">
                            <a:avLst/>
                          </a:prstGeom>
                          <a:noFill/>
                          <a:ln>
                            <a:noFill/>
                          </a:ln>
                        </pic:spPr>
                      </pic:pic>
                    </a:graphicData>
                  </a:graphic>
                </wp:inline>
              </w:drawing>
            </w:r>
          </w:p>
        </w:tc>
        <w:tc>
          <w:tcPr>
            <w:tcW w:w="825" w:type="dxa"/>
            <w:vAlign w:val="center"/>
          </w:tcPr>
          <w:p>
            <w:pPr>
              <w:snapToGrid w:val="0"/>
              <w:spacing w:line="240" w:lineRule="auto"/>
              <w:rPr>
                <w:rFonts w:ascii="Times New Roman" w:hAnsi="Times New Roman"/>
                <w:color w:val="000000"/>
                <w:sz w:val="28"/>
                <w:szCs w:val="28"/>
              </w:rPr>
            </w:pPr>
            <w:r>
              <w:rPr>
                <w:rFonts w:ascii="Times New Roman" w:hAnsi="Times New Roman"/>
                <w:color w:val="000000"/>
                <w:sz w:val="28"/>
                <w:szCs w:val="28"/>
              </w:rPr>
              <w:t>——</w:t>
            </w:r>
          </w:p>
        </w:tc>
        <w:tc>
          <w:tcPr>
            <w:tcW w:w="7360" w:type="dxa"/>
            <w:vAlign w:val="center"/>
          </w:tcPr>
          <w:p>
            <w:pPr>
              <w:autoSpaceDE w:val="0"/>
              <w:snapToGrid w:val="0"/>
              <w:spacing w:line="240" w:lineRule="auto"/>
              <w:rPr>
                <w:rFonts w:ascii="Times New Roman" w:hAnsi="Times New Roman"/>
              </w:rPr>
            </w:pPr>
            <w:r>
              <w:rPr>
                <w:rFonts w:ascii="Times New Roman" w:hAnsi="Times New Roman"/>
              </w:rPr>
              <w:t>第</w:t>
            </w:r>
            <w:r>
              <w:rPr>
                <w:rFonts w:ascii="Times New Roman" w:hAnsi="Times New Roman"/>
                <w:i/>
                <w:iCs/>
              </w:rPr>
              <w:t>i</w:t>
            </w:r>
            <w:r>
              <w:rPr>
                <w:rFonts w:ascii="Times New Roman" w:hAnsi="Times New Roman"/>
              </w:rPr>
              <w:t>个永久作用的标准值；</w:t>
            </w:r>
          </w:p>
        </w:tc>
      </w:tr>
      <w:tr>
        <w:tblPrEx>
          <w:tblCellMar>
            <w:top w:w="0" w:type="dxa"/>
            <w:left w:w="108" w:type="dxa"/>
            <w:bottom w:w="0" w:type="dxa"/>
            <w:right w:w="108" w:type="dxa"/>
          </w:tblCellMar>
        </w:tblPrEx>
        <w:trPr>
          <w:trHeight w:val="418" w:hRule="atLeast"/>
        </w:trPr>
        <w:tc>
          <w:tcPr>
            <w:tcW w:w="1144" w:type="dxa"/>
            <w:vAlign w:val="center"/>
          </w:tcPr>
          <w:p>
            <w:pPr>
              <w:snapToGrid w:val="0"/>
              <w:spacing w:line="240" w:lineRule="auto"/>
              <w:jc w:val="right"/>
              <w:rPr>
                <w:rFonts w:ascii="宋体" w:hAnsi="宋体"/>
              </w:rPr>
            </w:pPr>
            <w:r>
              <w:rPr>
                <w:rFonts w:ascii="宋体" w:hAnsi="宋体"/>
              </w:rPr>
              <w:drawing>
                <wp:inline distT="0" distB="0" distL="0" distR="0">
                  <wp:extent cx="180975" cy="180975"/>
                  <wp:effectExtent l="0" t="0" r="9525" b="952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825" w:type="dxa"/>
            <w:vAlign w:val="center"/>
          </w:tcPr>
          <w:p>
            <w:pPr>
              <w:adjustRightInd/>
              <w:spacing w:line="240" w:lineRule="auto"/>
              <w:ind w:left="70" w:hanging="70" w:hangingChars="25"/>
              <w:textAlignment w:val="center"/>
              <w:outlineLvl w:val="2"/>
              <w:rPr>
                <w:rFonts w:ascii="Times New Roman" w:hAnsi="Times New Roman"/>
                <w:color w:val="000000"/>
                <w:sz w:val="28"/>
                <w:szCs w:val="28"/>
              </w:rPr>
            </w:pPr>
            <w:bookmarkStart w:id="81" w:name="_Toc142923587"/>
            <w:r>
              <w:rPr>
                <w:rFonts w:ascii="Times New Roman" w:hAnsi="Times New Roman"/>
                <w:sz w:val="28"/>
                <w:szCs w:val="28"/>
              </w:rPr>
              <w:t>——</w:t>
            </w:r>
            <w:bookmarkEnd w:id="81"/>
          </w:p>
        </w:tc>
        <w:tc>
          <w:tcPr>
            <w:tcW w:w="7360" w:type="dxa"/>
            <w:vAlign w:val="center"/>
          </w:tcPr>
          <w:p>
            <w:pPr>
              <w:autoSpaceDE w:val="0"/>
              <w:snapToGrid w:val="0"/>
              <w:spacing w:line="240" w:lineRule="auto"/>
              <w:rPr>
                <w:rFonts w:ascii="Times New Roman" w:hAnsi="Times New Roman"/>
              </w:rPr>
            </w:pPr>
            <w:r>
              <w:rPr>
                <w:rFonts w:ascii="Times New Roman" w:hAnsi="Times New Roman"/>
              </w:rPr>
              <w:t>预应力作用的有关代表值；</w:t>
            </w:r>
          </w:p>
        </w:tc>
      </w:tr>
      <w:tr>
        <w:tblPrEx>
          <w:tblCellMar>
            <w:top w:w="0" w:type="dxa"/>
            <w:left w:w="108" w:type="dxa"/>
            <w:bottom w:w="0" w:type="dxa"/>
            <w:right w:w="108" w:type="dxa"/>
          </w:tblCellMar>
        </w:tblPrEx>
        <w:trPr>
          <w:trHeight w:val="497" w:hRule="atLeast"/>
        </w:trPr>
        <w:tc>
          <w:tcPr>
            <w:tcW w:w="1144" w:type="dxa"/>
            <w:vAlign w:val="center"/>
          </w:tcPr>
          <w:p>
            <w:pPr>
              <w:snapToGrid w:val="0"/>
              <w:spacing w:line="240" w:lineRule="auto"/>
              <w:jc w:val="right"/>
              <w:rPr>
                <w:rFonts w:ascii="Times New Roman" w:hAnsi="Times New Roman"/>
              </w:rPr>
            </w:pPr>
            <w:r>
              <w:rPr>
                <w:rFonts w:ascii="Times New Roman" w:hAnsi="Times New Roman"/>
              </w:rPr>
              <w:drawing>
                <wp:inline distT="0" distB="0" distL="0" distR="0">
                  <wp:extent cx="219075" cy="219075"/>
                  <wp:effectExtent l="0" t="0" r="9525" b="952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19075" cy="219075"/>
                          </a:xfrm>
                          <a:prstGeom prst="rect">
                            <a:avLst/>
                          </a:prstGeom>
                          <a:noFill/>
                          <a:ln>
                            <a:noFill/>
                          </a:ln>
                        </pic:spPr>
                      </pic:pic>
                    </a:graphicData>
                  </a:graphic>
                </wp:inline>
              </w:drawing>
            </w:r>
          </w:p>
        </w:tc>
        <w:tc>
          <w:tcPr>
            <w:tcW w:w="825" w:type="dxa"/>
            <w:vAlign w:val="center"/>
          </w:tcPr>
          <w:p>
            <w:pPr>
              <w:adjustRightInd/>
              <w:spacing w:line="240" w:lineRule="auto"/>
              <w:textAlignment w:val="center"/>
              <w:outlineLvl w:val="2"/>
              <w:rPr>
                <w:rFonts w:ascii="Times New Roman" w:hAnsi="Times New Roman"/>
                <w:sz w:val="28"/>
                <w:szCs w:val="28"/>
              </w:rPr>
            </w:pPr>
            <w:bookmarkStart w:id="82" w:name="_Toc142923588"/>
            <w:r>
              <w:rPr>
                <w:rFonts w:ascii="Times New Roman" w:hAnsi="Times New Roman"/>
                <w:sz w:val="28"/>
                <w:szCs w:val="28"/>
              </w:rPr>
              <w:t>——</w:t>
            </w:r>
            <w:bookmarkEnd w:id="82"/>
          </w:p>
        </w:tc>
        <w:tc>
          <w:tcPr>
            <w:tcW w:w="7360" w:type="dxa"/>
            <w:vAlign w:val="center"/>
          </w:tcPr>
          <w:p>
            <w:pPr>
              <w:autoSpaceDE w:val="0"/>
              <w:snapToGrid w:val="0"/>
              <w:spacing w:line="240" w:lineRule="auto"/>
              <w:rPr>
                <w:rFonts w:ascii="Times New Roman" w:hAnsi="Times New Roman"/>
              </w:rPr>
            </w:pPr>
            <w:r>
              <w:rPr>
                <w:rFonts w:ascii="Times New Roman" w:hAnsi="Times New Roman"/>
              </w:rPr>
              <w:t>第1个可变作用的标准值；</w:t>
            </w:r>
          </w:p>
        </w:tc>
      </w:tr>
      <w:tr>
        <w:tblPrEx>
          <w:tblCellMar>
            <w:top w:w="0" w:type="dxa"/>
            <w:left w:w="108" w:type="dxa"/>
            <w:bottom w:w="0" w:type="dxa"/>
            <w:right w:w="108" w:type="dxa"/>
          </w:tblCellMar>
        </w:tblPrEx>
        <w:trPr>
          <w:trHeight w:val="283" w:hRule="atLeast"/>
        </w:trPr>
        <w:tc>
          <w:tcPr>
            <w:tcW w:w="1144" w:type="dxa"/>
            <w:vAlign w:val="center"/>
          </w:tcPr>
          <w:p>
            <w:pPr>
              <w:snapToGrid w:val="0"/>
              <w:spacing w:line="240" w:lineRule="auto"/>
              <w:jc w:val="right"/>
              <w:rPr>
                <w:rFonts w:ascii="Times New Roman" w:hAnsi="Times New Roman"/>
              </w:rPr>
            </w:pPr>
            <w:r>
              <w:rPr>
                <w:rFonts w:ascii="Times New Roman" w:hAnsi="Times New Roman"/>
              </w:rPr>
              <w:drawing>
                <wp:inline distT="0" distB="0" distL="0" distR="0">
                  <wp:extent cx="219075" cy="219075"/>
                  <wp:effectExtent l="0" t="0" r="9525" b="952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19075" cy="219075"/>
                          </a:xfrm>
                          <a:prstGeom prst="rect">
                            <a:avLst/>
                          </a:prstGeom>
                          <a:noFill/>
                          <a:ln>
                            <a:noFill/>
                          </a:ln>
                        </pic:spPr>
                      </pic:pic>
                    </a:graphicData>
                  </a:graphic>
                </wp:inline>
              </w:drawing>
            </w:r>
          </w:p>
        </w:tc>
        <w:tc>
          <w:tcPr>
            <w:tcW w:w="825" w:type="dxa"/>
            <w:vAlign w:val="center"/>
          </w:tcPr>
          <w:p>
            <w:pPr>
              <w:adjustRightInd/>
              <w:spacing w:line="240" w:lineRule="auto"/>
              <w:ind w:left="70" w:hanging="70" w:hangingChars="25"/>
              <w:textAlignment w:val="center"/>
              <w:outlineLvl w:val="2"/>
              <w:rPr>
                <w:rFonts w:ascii="Times New Roman" w:hAnsi="Times New Roman"/>
                <w:sz w:val="28"/>
                <w:szCs w:val="28"/>
              </w:rPr>
            </w:pPr>
            <w:bookmarkStart w:id="83" w:name="_Toc142923589"/>
            <w:r>
              <w:rPr>
                <w:rFonts w:ascii="Times New Roman" w:hAnsi="Times New Roman"/>
                <w:sz w:val="28"/>
                <w:szCs w:val="28"/>
              </w:rPr>
              <w:t>——</w:t>
            </w:r>
            <w:bookmarkEnd w:id="83"/>
          </w:p>
        </w:tc>
        <w:tc>
          <w:tcPr>
            <w:tcW w:w="7360" w:type="dxa"/>
            <w:vAlign w:val="center"/>
          </w:tcPr>
          <w:p>
            <w:pPr>
              <w:autoSpaceDE w:val="0"/>
              <w:snapToGrid w:val="0"/>
              <w:spacing w:line="240" w:lineRule="auto"/>
              <w:rPr>
                <w:rFonts w:ascii="Times New Roman" w:hAnsi="Times New Roman"/>
              </w:rPr>
            </w:pPr>
            <w:r>
              <w:rPr>
                <w:rFonts w:ascii="Times New Roman" w:hAnsi="Times New Roman"/>
              </w:rPr>
              <w:t>第</w:t>
            </w:r>
            <w:r>
              <w:rPr>
                <w:rFonts w:ascii="Times New Roman" w:hAnsi="Times New Roman"/>
                <w:i/>
                <w:iCs/>
              </w:rPr>
              <w:t>j</w:t>
            </w:r>
            <w:r>
              <w:rPr>
                <w:rFonts w:ascii="Times New Roman" w:hAnsi="Times New Roman"/>
              </w:rPr>
              <w:t>个可变作用的标准值；</w:t>
            </w:r>
          </w:p>
        </w:tc>
      </w:tr>
      <w:tr>
        <w:tblPrEx>
          <w:tblCellMar>
            <w:top w:w="0" w:type="dxa"/>
            <w:left w:w="108" w:type="dxa"/>
            <w:bottom w:w="0" w:type="dxa"/>
            <w:right w:w="108" w:type="dxa"/>
          </w:tblCellMar>
        </w:tblPrEx>
        <w:trPr>
          <w:trHeight w:val="283" w:hRule="atLeast"/>
        </w:trPr>
        <w:tc>
          <w:tcPr>
            <w:tcW w:w="1144" w:type="dxa"/>
            <w:vAlign w:val="center"/>
          </w:tcPr>
          <w:p>
            <w:pPr>
              <w:snapToGrid w:val="0"/>
              <w:spacing w:line="240" w:lineRule="auto"/>
              <w:jc w:val="right"/>
              <w:rPr>
                <w:rFonts w:ascii="Times New Roman" w:hAnsi="Times New Roman"/>
              </w:rPr>
            </w:pPr>
            <w:r>
              <w:rPr>
                <w:rFonts w:ascii="Times New Roman" w:hAnsi="Times New Roman"/>
              </w:rPr>
              <w:drawing>
                <wp:inline distT="0" distB="0" distL="0" distR="0">
                  <wp:extent cx="276225" cy="295275"/>
                  <wp:effectExtent l="0" t="0" r="9525" b="952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76225" cy="295275"/>
                          </a:xfrm>
                          <a:prstGeom prst="rect">
                            <a:avLst/>
                          </a:prstGeom>
                          <a:noFill/>
                          <a:ln>
                            <a:noFill/>
                          </a:ln>
                        </pic:spPr>
                      </pic:pic>
                    </a:graphicData>
                  </a:graphic>
                </wp:inline>
              </w:drawing>
            </w:r>
          </w:p>
        </w:tc>
        <w:tc>
          <w:tcPr>
            <w:tcW w:w="825" w:type="dxa"/>
            <w:vAlign w:val="center"/>
          </w:tcPr>
          <w:p>
            <w:pPr>
              <w:adjustRightInd/>
              <w:spacing w:line="240" w:lineRule="auto"/>
              <w:ind w:left="70" w:hanging="70" w:hangingChars="25"/>
              <w:textAlignment w:val="center"/>
              <w:outlineLvl w:val="2"/>
              <w:rPr>
                <w:rFonts w:ascii="Times New Roman" w:hAnsi="Times New Roman"/>
                <w:sz w:val="28"/>
                <w:szCs w:val="28"/>
              </w:rPr>
            </w:pPr>
            <w:bookmarkStart w:id="84" w:name="_Toc142923590"/>
            <w:r>
              <w:rPr>
                <w:rFonts w:ascii="Times New Roman" w:hAnsi="Times New Roman"/>
                <w:sz w:val="28"/>
                <w:szCs w:val="28"/>
              </w:rPr>
              <w:t>——</w:t>
            </w:r>
            <w:bookmarkEnd w:id="84"/>
          </w:p>
        </w:tc>
        <w:tc>
          <w:tcPr>
            <w:tcW w:w="7360" w:type="dxa"/>
            <w:vAlign w:val="center"/>
          </w:tcPr>
          <w:p>
            <w:pPr>
              <w:autoSpaceDE w:val="0"/>
              <w:snapToGrid w:val="0"/>
              <w:spacing w:line="240" w:lineRule="auto"/>
              <w:rPr>
                <w:rFonts w:ascii="Times New Roman" w:hAnsi="Times New Roman"/>
              </w:rPr>
            </w:pPr>
            <w:r>
              <w:rPr>
                <w:rFonts w:ascii="Times New Roman" w:hAnsi="Times New Roman"/>
              </w:rPr>
              <w:t>第</w:t>
            </w:r>
            <w:r>
              <w:rPr>
                <w:rFonts w:ascii="Times New Roman" w:hAnsi="Times New Roman"/>
                <w:i/>
                <w:iCs/>
              </w:rPr>
              <w:t>i</w:t>
            </w:r>
            <w:r>
              <w:rPr>
                <w:rFonts w:ascii="Times New Roman" w:hAnsi="Times New Roman"/>
              </w:rPr>
              <w:t>个永久作用的分项系数，应按现行国家标准</w:t>
            </w:r>
            <w:r>
              <w:rPr>
                <w:rFonts w:hint="eastAsia" w:ascii="Times New Roman" w:hAnsi="Times New Roman"/>
              </w:rPr>
              <w:t>《工程结构通用规范》GB 55001、</w:t>
            </w:r>
            <w:r>
              <w:rPr>
                <w:rFonts w:ascii="Times New Roman" w:hAnsi="Times New Roman"/>
              </w:rPr>
              <w:t>《建筑结构可靠性设计统一标准》</w:t>
            </w:r>
            <w:r>
              <w:rPr>
                <w:rFonts w:hint="eastAsia" w:ascii="Times New Roman" w:hAnsi="Times New Roman"/>
              </w:rPr>
              <w:t>GB 50068</w:t>
            </w:r>
            <w:r>
              <w:rPr>
                <w:rFonts w:ascii="Times New Roman" w:hAnsi="Times New Roman"/>
              </w:rPr>
              <w:t>的有关规定采用；</w:t>
            </w:r>
          </w:p>
        </w:tc>
      </w:tr>
      <w:tr>
        <w:tblPrEx>
          <w:tblCellMar>
            <w:top w:w="0" w:type="dxa"/>
            <w:left w:w="108" w:type="dxa"/>
            <w:bottom w:w="0" w:type="dxa"/>
            <w:right w:w="108" w:type="dxa"/>
          </w:tblCellMar>
        </w:tblPrEx>
        <w:trPr>
          <w:trHeight w:val="283" w:hRule="atLeast"/>
        </w:trPr>
        <w:tc>
          <w:tcPr>
            <w:tcW w:w="1144" w:type="dxa"/>
            <w:vAlign w:val="center"/>
          </w:tcPr>
          <w:p>
            <w:pPr>
              <w:snapToGrid w:val="0"/>
              <w:spacing w:line="240" w:lineRule="auto"/>
              <w:jc w:val="right"/>
              <w:rPr>
                <w:rFonts w:ascii="Times New Roman" w:hAnsi="Times New Roman"/>
              </w:rPr>
            </w:pPr>
            <w:r>
              <w:rPr>
                <w:rFonts w:ascii="Times New Roman" w:hAnsi="Times New Roman"/>
              </w:rPr>
              <w:drawing>
                <wp:inline distT="0" distB="0" distL="0" distR="0">
                  <wp:extent cx="247650" cy="295275"/>
                  <wp:effectExtent l="0" t="0" r="0"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47650" cy="295275"/>
                          </a:xfrm>
                          <a:prstGeom prst="rect">
                            <a:avLst/>
                          </a:prstGeom>
                          <a:noFill/>
                          <a:ln>
                            <a:noFill/>
                          </a:ln>
                        </pic:spPr>
                      </pic:pic>
                    </a:graphicData>
                  </a:graphic>
                </wp:inline>
              </w:drawing>
            </w:r>
          </w:p>
        </w:tc>
        <w:tc>
          <w:tcPr>
            <w:tcW w:w="825" w:type="dxa"/>
            <w:vAlign w:val="center"/>
          </w:tcPr>
          <w:p>
            <w:pPr>
              <w:adjustRightInd/>
              <w:spacing w:line="240" w:lineRule="auto"/>
              <w:ind w:left="70" w:hanging="70" w:hangingChars="25"/>
              <w:textAlignment w:val="center"/>
              <w:outlineLvl w:val="2"/>
              <w:rPr>
                <w:rFonts w:ascii="Times New Roman" w:hAnsi="Times New Roman"/>
                <w:sz w:val="28"/>
                <w:szCs w:val="28"/>
              </w:rPr>
            </w:pPr>
            <w:bookmarkStart w:id="85" w:name="_Toc142923591"/>
            <w:r>
              <w:rPr>
                <w:rFonts w:ascii="Times New Roman" w:hAnsi="Times New Roman"/>
                <w:sz w:val="28"/>
                <w:szCs w:val="28"/>
              </w:rPr>
              <w:t>——</w:t>
            </w:r>
            <w:bookmarkEnd w:id="85"/>
          </w:p>
        </w:tc>
        <w:tc>
          <w:tcPr>
            <w:tcW w:w="7360" w:type="dxa"/>
            <w:vAlign w:val="center"/>
          </w:tcPr>
          <w:p>
            <w:pPr>
              <w:autoSpaceDE w:val="0"/>
              <w:snapToGrid w:val="0"/>
              <w:spacing w:line="240" w:lineRule="auto"/>
              <w:rPr>
                <w:rFonts w:ascii="Times New Roman" w:hAnsi="Times New Roman"/>
              </w:rPr>
            </w:pPr>
            <w:r>
              <w:rPr>
                <w:rFonts w:ascii="Times New Roman" w:hAnsi="Times New Roman"/>
              </w:rPr>
              <w:t>预应力作用的分项系数，应按现行国家标准</w:t>
            </w:r>
            <w:r>
              <w:rPr>
                <w:rFonts w:hint="eastAsia" w:ascii="Times New Roman" w:hAnsi="Times New Roman"/>
              </w:rPr>
              <w:t>《工程结构通用规范》GB 55001、</w:t>
            </w:r>
            <w:r>
              <w:rPr>
                <w:rFonts w:ascii="Times New Roman" w:hAnsi="Times New Roman"/>
              </w:rPr>
              <w:t>《建筑结构可靠性设计统一标准》</w:t>
            </w:r>
            <w:r>
              <w:rPr>
                <w:rFonts w:hint="eastAsia" w:ascii="Times New Roman" w:hAnsi="Times New Roman"/>
              </w:rPr>
              <w:t>GB 50068</w:t>
            </w:r>
            <w:r>
              <w:rPr>
                <w:rFonts w:ascii="Times New Roman" w:hAnsi="Times New Roman"/>
              </w:rPr>
              <w:t>的有关规定采用；</w:t>
            </w:r>
          </w:p>
        </w:tc>
      </w:tr>
      <w:tr>
        <w:tblPrEx>
          <w:tblCellMar>
            <w:top w:w="0" w:type="dxa"/>
            <w:left w:w="108" w:type="dxa"/>
            <w:bottom w:w="0" w:type="dxa"/>
            <w:right w:w="108" w:type="dxa"/>
          </w:tblCellMar>
        </w:tblPrEx>
        <w:trPr>
          <w:trHeight w:val="283" w:hRule="atLeast"/>
        </w:trPr>
        <w:tc>
          <w:tcPr>
            <w:tcW w:w="1144" w:type="dxa"/>
            <w:vAlign w:val="center"/>
          </w:tcPr>
          <w:p>
            <w:pPr>
              <w:snapToGrid w:val="0"/>
              <w:spacing w:line="240" w:lineRule="auto"/>
              <w:jc w:val="right"/>
              <w:rPr>
                <w:rFonts w:ascii="Times New Roman" w:hAnsi="Times New Roman"/>
              </w:rPr>
            </w:pPr>
            <w:r>
              <w:rPr>
                <w:rFonts w:ascii="Times New Roman" w:hAnsi="Times New Roman"/>
              </w:rPr>
              <w:drawing>
                <wp:inline distT="0" distB="0" distL="0" distR="0">
                  <wp:extent cx="276225" cy="295275"/>
                  <wp:effectExtent l="0" t="0" r="9525" b="952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76225" cy="295275"/>
                          </a:xfrm>
                          <a:prstGeom prst="rect">
                            <a:avLst/>
                          </a:prstGeom>
                          <a:noFill/>
                          <a:ln>
                            <a:noFill/>
                          </a:ln>
                        </pic:spPr>
                      </pic:pic>
                    </a:graphicData>
                  </a:graphic>
                </wp:inline>
              </w:drawing>
            </w:r>
          </w:p>
        </w:tc>
        <w:tc>
          <w:tcPr>
            <w:tcW w:w="825" w:type="dxa"/>
            <w:vAlign w:val="center"/>
          </w:tcPr>
          <w:p>
            <w:pPr>
              <w:adjustRightInd/>
              <w:spacing w:line="240" w:lineRule="auto"/>
              <w:ind w:left="70" w:hanging="70" w:hangingChars="25"/>
              <w:textAlignment w:val="center"/>
              <w:outlineLvl w:val="2"/>
              <w:rPr>
                <w:rFonts w:ascii="Times New Roman" w:hAnsi="Times New Roman"/>
                <w:sz w:val="28"/>
                <w:szCs w:val="28"/>
              </w:rPr>
            </w:pPr>
            <w:bookmarkStart w:id="86" w:name="_Toc142923592"/>
            <w:r>
              <w:rPr>
                <w:rFonts w:ascii="Times New Roman" w:hAnsi="Times New Roman"/>
                <w:sz w:val="28"/>
                <w:szCs w:val="28"/>
              </w:rPr>
              <w:t>——</w:t>
            </w:r>
            <w:bookmarkEnd w:id="86"/>
          </w:p>
        </w:tc>
        <w:tc>
          <w:tcPr>
            <w:tcW w:w="7360" w:type="dxa"/>
            <w:vAlign w:val="center"/>
          </w:tcPr>
          <w:p>
            <w:pPr>
              <w:autoSpaceDE w:val="0"/>
              <w:snapToGrid w:val="0"/>
              <w:spacing w:line="240" w:lineRule="auto"/>
              <w:rPr>
                <w:rFonts w:ascii="Times New Roman" w:hAnsi="Times New Roman"/>
              </w:rPr>
            </w:pPr>
            <w:r>
              <w:rPr>
                <w:rFonts w:ascii="Times New Roman" w:hAnsi="Times New Roman"/>
              </w:rPr>
              <w:t>第1个可变作用的分项系数，应按现行国家标准</w:t>
            </w:r>
            <w:r>
              <w:rPr>
                <w:rFonts w:hint="eastAsia" w:ascii="Times New Roman" w:hAnsi="Times New Roman"/>
              </w:rPr>
              <w:t>《工程结构通用规范》GB 55001、</w:t>
            </w:r>
            <w:r>
              <w:rPr>
                <w:rFonts w:ascii="Times New Roman" w:hAnsi="Times New Roman"/>
              </w:rPr>
              <w:t>《建筑结构可靠性设计统一标准》</w:t>
            </w:r>
            <w:r>
              <w:rPr>
                <w:rFonts w:hint="eastAsia" w:ascii="Times New Roman" w:hAnsi="Times New Roman"/>
              </w:rPr>
              <w:t>GB 50068</w:t>
            </w:r>
            <w:r>
              <w:rPr>
                <w:rFonts w:ascii="Times New Roman" w:hAnsi="Times New Roman"/>
              </w:rPr>
              <w:t>的有关规定采用；</w:t>
            </w:r>
          </w:p>
        </w:tc>
      </w:tr>
      <w:tr>
        <w:tblPrEx>
          <w:tblCellMar>
            <w:top w:w="0" w:type="dxa"/>
            <w:left w:w="108" w:type="dxa"/>
            <w:bottom w:w="0" w:type="dxa"/>
            <w:right w:w="108" w:type="dxa"/>
          </w:tblCellMar>
        </w:tblPrEx>
        <w:trPr>
          <w:trHeight w:val="283" w:hRule="atLeast"/>
        </w:trPr>
        <w:tc>
          <w:tcPr>
            <w:tcW w:w="1144" w:type="dxa"/>
            <w:vAlign w:val="center"/>
          </w:tcPr>
          <w:p>
            <w:pPr>
              <w:snapToGrid w:val="0"/>
              <w:spacing w:line="240" w:lineRule="auto"/>
              <w:jc w:val="right"/>
              <w:rPr>
                <w:rFonts w:ascii="Times New Roman" w:hAnsi="Times New Roman"/>
              </w:rPr>
            </w:pPr>
            <w:r>
              <w:rPr>
                <w:rFonts w:ascii="Times New Roman" w:hAnsi="Times New Roman"/>
              </w:rPr>
              <w:drawing>
                <wp:inline distT="0" distB="0" distL="0" distR="0">
                  <wp:extent cx="266700" cy="295275"/>
                  <wp:effectExtent l="0" t="0" r="0" b="952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66700" cy="295275"/>
                          </a:xfrm>
                          <a:prstGeom prst="rect">
                            <a:avLst/>
                          </a:prstGeom>
                          <a:noFill/>
                          <a:ln>
                            <a:noFill/>
                          </a:ln>
                        </pic:spPr>
                      </pic:pic>
                    </a:graphicData>
                  </a:graphic>
                </wp:inline>
              </w:drawing>
            </w:r>
          </w:p>
        </w:tc>
        <w:tc>
          <w:tcPr>
            <w:tcW w:w="825" w:type="dxa"/>
            <w:vAlign w:val="center"/>
          </w:tcPr>
          <w:p>
            <w:pPr>
              <w:adjustRightInd/>
              <w:spacing w:line="240" w:lineRule="auto"/>
              <w:ind w:left="70" w:hanging="70" w:hangingChars="25"/>
              <w:textAlignment w:val="center"/>
              <w:outlineLvl w:val="2"/>
              <w:rPr>
                <w:rFonts w:ascii="Times New Roman" w:hAnsi="Times New Roman"/>
                <w:sz w:val="28"/>
                <w:szCs w:val="28"/>
              </w:rPr>
            </w:pPr>
            <w:bookmarkStart w:id="87" w:name="_Toc142923593"/>
            <w:r>
              <w:rPr>
                <w:rFonts w:ascii="Times New Roman" w:hAnsi="Times New Roman"/>
                <w:sz w:val="28"/>
                <w:szCs w:val="28"/>
              </w:rPr>
              <w:t>——</w:t>
            </w:r>
            <w:bookmarkEnd w:id="87"/>
          </w:p>
        </w:tc>
        <w:tc>
          <w:tcPr>
            <w:tcW w:w="7360" w:type="dxa"/>
            <w:vAlign w:val="center"/>
          </w:tcPr>
          <w:p>
            <w:pPr>
              <w:autoSpaceDE w:val="0"/>
              <w:snapToGrid w:val="0"/>
              <w:spacing w:line="240" w:lineRule="auto"/>
              <w:rPr>
                <w:rFonts w:ascii="Times New Roman" w:hAnsi="Times New Roman"/>
              </w:rPr>
            </w:pPr>
            <w:r>
              <w:rPr>
                <w:rFonts w:ascii="Times New Roman" w:hAnsi="Times New Roman"/>
              </w:rPr>
              <w:t>第</w:t>
            </w:r>
            <w:r>
              <w:rPr>
                <w:rFonts w:ascii="Times New Roman" w:hAnsi="Times New Roman"/>
                <w:i/>
                <w:iCs/>
              </w:rPr>
              <w:t>j</w:t>
            </w:r>
            <w:r>
              <w:rPr>
                <w:rFonts w:ascii="Times New Roman" w:hAnsi="Times New Roman"/>
              </w:rPr>
              <w:t>个可变作用的分项系数，应按现行国家标准</w:t>
            </w:r>
            <w:r>
              <w:rPr>
                <w:rFonts w:hint="eastAsia" w:ascii="Times New Roman" w:hAnsi="Times New Roman"/>
              </w:rPr>
              <w:t>《工程结构通用规范》GB 55001、</w:t>
            </w:r>
            <w:r>
              <w:rPr>
                <w:rFonts w:ascii="Times New Roman" w:hAnsi="Times New Roman"/>
              </w:rPr>
              <w:t>《建筑结构可靠性设计统一标准》</w:t>
            </w:r>
            <w:r>
              <w:rPr>
                <w:rFonts w:hint="eastAsia" w:ascii="Times New Roman" w:hAnsi="Times New Roman"/>
              </w:rPr>
              <w:t>GB 50068</w:t>
            </w:r>
            <w:r>
              <w:rPr>
                <w:rFonts w:ascii="Times New Roman" w:hAnsi="Times New Roman"/>
              </w:rPr>
              <w:t>的有关规定采用；</w:t>
            </w:r>
          </w:p>
        </w:tc>
      </w:tr>
      <w:tr>
        <w:tblPrEx>
          <w:tblCellMar>
            <w:top w:w="0" w:type="dxa"/>
            <w:left w:w="108" w:type="dxa"/>
            <w:bottom w:w="0" w:type="dxa"/>
            <w:right w:w="108" w:type="dxa"/>
          </w:tblCellMar>
        </w:tblPrEx>
        <w:trPr>
          <w:trHeight w:val="283" w:hRule="atLeast"/>
        </w:trPr>
        <w:tc>
          <w:tcPr>
            <w:tcW w:w="1144" w:type="dxa"/>
            <w:vAlign w:val="center"/>
          </w:tcPr>
          <w:p>
            <w:pPr>
              <w:snapToGrid w:val="0"/>
              <w:spacing w:line="240" w:lineRule="auto"/>
              <w:jc w:val="right"/>
              <w:rPr>
                <w:rFonts w:ascii="Times New Roman" w:hAnsi="Times New Roman"/>
              </w:rPr>
            </w:pPr>
            <w:r>
              <w:rPr>
                <w:rFonts w:ascii="Times New Roman" w:hAnsi="Times New Roman"/>
              </w:rPr>
              <w:drawing>
                <wp:inline distT="0" distB="0" distL="0" distR="0">
                  <wp:extent cx="638175" cy="295275"/>
                  <wp:effectExtent l="0" t="0" r="9525" b="952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638175" cy="295275"/>
                          </a:xfrm>
                          <a:prstGeom prst="rect">
                            <a:avLst/>
                          </a:prstGeom>
                          <a:noFill/>
                          <a:ln>
                            <a:noFill/>
                          </a:ln>
                        </pic:spPr>
                      </pic:pic>
                    </a:graphicData>
                  </a:graphic>
                </wp:inline>
              </w:drawing>
            </w:r>
          </w:p>
        </w:tc>
        <w:tc>
          <w:tcPr>
            <w:tcW w:w="825" w:type="dxa"/>
            <w:vAlign w:val="center"/>
          </w:tcPr>
          <w:p>
            <w:pPr>
              <w:adjustRightInd/>
              <w:spacing w:line="240" w:lineRule="auto"/>
              <w:ind w:left="70" w:hanging="70" w:hangingChars="25"/>
              <w:textAlignment w:val="center"/>
              <w:outlineLvl w:val="2"/>
              <w:rPr>
                <w:rFonts w:ascii="Times New Roman" w:hAnsi="Times New Roman"/>
                <w:sz w:val="28"/>
                <w:szCs w:val="28"/>
              </w:rPr>
            </w:pPr>
            <w:bookmarkStart w:id="88" w:name="_Toc142923594"/>
            <w:r>
              <w:rPr>
                <w:rFonts w:ascii="Times New Roman" w:hAnsi="Times New Roman"/>
                <w:sz w:val="28"/>
                <w:szCs w:val="28"/>
              </w:rPr>
              <w:t>——</w:t>
            </w:r>
            <w:bookmarkEnd w:id="88"/>
          </w:p>
        </w:tc>
        <w:tc>
          <w:tcPr>
            <w:tcW w:w="7360" w:type="dxa"/>
            <w:vAlign w:val="center"/>
          </w:tcPr>
          <w:p>
            <w:pPr>
              <w:autoSpaceDE w:val="0"/>
              <w:snapToGrid w:val="0"/>
              <w:spacing w:line="240" w:lineRule="auto"/>
              <w:rPr>
                <w:rFonts w:ascii="Times New Roman" w:hAnsi="Times New Roman"/>
              </w:rPr>
            </w:pPr>
            <w:r>
              <w:rPr>
                <w:rFonts w:ascii="Times New Roman" w:hAnsi="Times New Roman"/>
              </w:rPr>
              <w:t>第1个和第j个考虑结构使用年限的荷载调整系数，应按现行国家标准</w:t>
            </w:r>
            <w:r>
              <w:rPr>
                <w:rFonts w:hint="eastAsia" w:ascii="Times New Roman" w:hAnsi="Times New Roman"/>
              </w:rPr>
              <w:t>《工程结构通用规范》GB 55001、</w:t>
            </w:r>
            <w:r>
              <w:rPr>
                <w:rFonts w:ascii="Times New Roman" w:hAnsi="Times New Roman"/>
              </w:rPr>
              <w:t>《建筑结构可靠性设计统一标准》</w:t>
            </w:r>
            <w:r>
              <w:rPr>
                <w:rFonts w:hint="eastAsia" w:ascii="Times New Roman" w:hAnsi="Times New Roman"/>
              </w:rPr>
              <w:t>GB 50068</w:t>
            </w:r>
            <w:r>
              <w:rPr>
                <w:rFonts w:ascii="Times New Roman" w:hAnsi="Times New Roman"/>
              </w:rPr>
              <w:t>的有关规定采用</w:t>
            </w:r>
            <w:r>
              <w:rPr>
                <w:rFonts w:hint="eastAsia" w:ascii="Times New Roman" w:hAnsi="Times New Roman"/>
              </w:rPr>
              <w:t>；</w:t>
            </w:r>
          </w:p>
        </w:tc>
      </w:tr>
      <w:tr>
        <w:tblPrEx>
          <w:tblCellMar>
            <w:top w:w="0" w:type="dxa"/>
            <w:left w:w="108" w:type="dxa"/>
            <w:bottom w:w="0" w:type="dxa"/>
            <w:right w:w="108" w:type="dxa"/>
          </w:tblCellMar>
        </w:tblPrEx>
        <w:trPr>
          <w:trHeight w:val="481" w:hRule="atLeast"/>
        </w:trPr>
        <w:tc>
          <w:tcPr>
            <w:tcW w:w="1144" w:type="dxa"/>
            <w:vAlign w:val="center"/>
          </w:tcPr>
          <w:p>
            <w:pPr>
              <w:snapToGrid w:val="0"/>
              <w:spacing w:line="240" w:lineRule="auto"/>
              <w:jc w:val="right"/>
              <w:rPr>
                <w:rFonts w:ascii="Times New Roman" w:hAnsi="Times New Roman"/>
              </w:rPr>
            </w:pPr>
            <w:r>
              <w:rPr>
                <w:rFonts w:ascii="Times New Roman" w:hAnsi="Times New Roman"/>
              </w:rPr>
              <w:drawing>
                <wp:inline distT="0" distB="0" distL="0" distR="0">
                  <wp:extent cx="276225" cy="295275"/>
                  <wp:effectExtent l="0" t="0" r="9525" b="952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76225" cy="295275"/>
                          </a:xfrm>
                          <a:prstGeom prst="rect">
                            <a:avLst/>
                          </a:prstGeom>
                          <a:noFill/>
                          <a:ln>
                            <a:noFill/>
                          </a:ln>
                        </pic:spPr>
                      </pic:pic>
                    </a:graphicData>
                  </a:graphic>
                </wp:inline>
              </w:drawing>
            </w:r>
          </w:p>
        </w:tc>
        <w:tc>
          <w:tcPr>
            <w:tcW w:w="825" w:type="dxa"/>
            <w:vAlign w:val="center"/>
          </w:tcPr>
          <w:p>
            <w:pPr>
              <w:adjustRightInd/>
              <w:spacing w:line="240" w:lineRule="auto"/>
              <w:ind w:left="70" w:hanging="70" w:hangingChars="25"/>
              <w:textAlignment w:val="center"/>
              <w:outlineLvl w:val="2"/>
              <w:rPr>
                <w:rFonts w:ascii="Times New Roman" w:hAnsi="Times New Roman"/>
                <w:sz w:val="28"/>
                <w:szCs w:val="28"/>
              </w:rPr>
            </w:pPr>
            <w:bookmarkStart w:id="89" w:name="_Toc142923595"/>
            <w:r>
              <w:rPr>
                <w:rFonts w:ascii="Times New Roman" w:hAnsi="Times New Roman"/>
                <w:sz w:val="28"/>
                <w:szCs w:val="28"/>
              </w:rPr>
              <w:t>——</w:t>
            </w:r>
            <w:bookmarkEnd w:id="89"/>
          </w:p>
        </w:tc>
        <w:tc>
          <w:tcPr>
            <w:tcW w:w="7360" w:type="dxa"/>
            <w:vAlign w:val="center"/>
          </w:tcPr>
          <w:p>
            <w:pPr>
              <w:autoSpaceDE w:val="0"/>
              <w:snapToGrid w:val="0"/>
              <w:spacing w:line="240" w:lineRule="auto"/>
              <w:rPr>
                <w:rFonts w:ascii="Times New Roman" w:hAnsi="Times New Roman"/>
              </w:rPr>
            </w:pPr>
            <w:r>
              <w:rPr>
                <w:rFonts w:ascii="Times New Roman" w:hAnsi="Times New Roman"/>
              </w:rPr>
              <w:t>第</w:t>
            </w:r>
            <w:r>
              <w:rPr>
                <w:rFonts w:ascii="Times New Roman" w:hAnsi="Times New Roman"/>
                <w:i/>
                <w:iCs/>
              </w:rPr>
              <w:t>j</w:t>
            </w:r>
            <w:r>
              <w:rPr>
                <w:rFonts w:ascii="Times New Roman" w:hAnsi="Times New Roman"/>
              </w:rPr>
              <w:t>个可变作用的组合值系数，应按现行国家标准</w:t>
            </w:r>
            <w:r>
              <w:rPr>
                <w:rFonts w:hint="eastAsia" w:ascii="Times New Roman" w:hAnsi="Times New Roman"/>
              </w:rPr>
              <w:t>《工程结构通用规范》GB 55001、</w:t>
            </w:r>
            <w:r>
              <w:rPr>
                <w:rFonts w:ascii="Times New Roman" w:hAnsi="Times New Roman"/>
              </w:rPr>
              <w:t>《建筑结构可靠性设计统一标准》</w:t>
            </w:r>
            <w:r>
              <w:rPr>
                <w:rFonts w:hint="eastAsia" w:ascii="Times New Roman" w:hAnsi="Times New Roman"/>
              </w:rPr>
              <w:t>GB 50068</w:t>
            </w:r>
            <w:r>
              <w:rPr>
                <w:rFonts w:ascii="Times New Roman" w:hAnsi="Times New Roman"/>
              </w:rPr>
              <w:t>的有关规定采用</w:t>
            </w:r>
            <w:r>
              <w:rPr>
                <w:rFonts w:hint="eastAsia" w:ascii="Times New Roman" w:hAnsi="Times New Roman"/>
              </w:rPr>
              <w:t>。</w:t>
            </w:r>
          </w:p>
        </w:tc>
      </w:tr>
    </w:tbl>
    <w:p>
      <w:pPr>
        <w:pStyle w:val="58"/>
        <w:ind w:left="840" w:leftChars="200" w:hanging="420" w:hangingChars="200"/>
      </w:pPr>
      <w:r>
        <w:t>b</w:t>
      </w:r>
      <w:r>
        <w:rPr>
          <w:rFonts w:hint="eastAsia"/>
        </w:rPr>
        <w:t>)</w:t>
      </w:r>
      <w:r>
        <w:t xml:space="preserve">  </w:t>
      </w:r>
      <w:r>
        <w:rPr>
          <w:rFonts w:hint="eastAsia"/>
        </w:rPr>
        <w:t>当作用与作用效应按线性关系考虑时，基本组合的效应设计值按下式中最不利值计算：</w:t>
      </w:r>
    </w:p>
    <w:p>
      <w:pPr>
        <w:adjustRightInd/>
        <w:spacing w:line="240" w:lineRule="auto"/>
        <w:jc w:val="center"/>
        <w:rPr>
          <w:rFonts w:ascii="Times New Roman" w:hAnsi="Times New Roman"/>
        </w:rPr>
      </w:pPr>
      <w:r>
        <w:rPr>
          <w:rFonts w:ascii="Times New Roman" w:hAnsi="Times New Roman"/>
        </w:rPr>
        <w:drawing>
          <wp:inline distT="0" distB="0" distL="0" distR="0">
            <wp:extent cx="3848100" cy="43815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3848100" cy="438150"/>
                    </a:xfrm>
                    <a:prstGeom prst="rect">
                      <a:avLst/>
                    </a:prstGeom>
                    <a:noFill/>
                    <a:ln>
                      <a:noFill/>
                    </a:ln>
                  </pic:spPr>
                </pic:pic>
              </a:graphicData>
            </a:graphic>
          </wp:inline>
        </w:drawing>
      </w:r>
    </w:p>
    <w:p>
      <w:pPr>
        <w:spacing w:line="240" w:lineRule="auto"/>
        <w:ind w:firstLine="420" w:firstLineChars="200"/>
      </w:pPr>
      <w:r>
        <w:rPr>
          <w:rFonts w:hint="eastAsia"/>
        </w:rPr>
        <w:t>式中：</w:t>
      </w:r>
    </w:p>
    <w:tbl>
      <w:tblPr>
        <w:tblStyle w:val="27"/>
        <w:tblW w:w="9329" w:type="dxa"/>
        <w:tblInd w:w="135" w:type="dxa"/>
        <w:tblLayout w:type="fixed"/>
        <w:tblCellMar>
          <w:top w:w="0" w:type="dxa"/>
          <w:left w:w="108" w:type="dxa"/>
          <w:bottom w:w="0" w:type="dxa"/>
          <w:right w:w="108" w:type="dxa"/>
        </w:tblCellMar>
      </w:tblPr>
      <w:tblGrid>
        <w:gridCol w:w="966"/>
        <w:gridCol w:w="850"/>
        <w:gridCol w:w="7513"/>
      </w:tblGrid>
      <w:tr>
        <w:tblPrEx>
          <w:tblCellMar>
            <w:top w:w="0" w:type="dxa"/>
            <w:left w:w="108" w:type="dxa"/>
            <w:bottom w:w="0" w:type="dxa"/>
            <w:right w:w="108" w:type="dxa"/>
          </w:tblCellMar>
        </w:tblPrEx>
        <w:trPr>
          <w:trHeight w:val="485" w:hRule="atLeast"/>
        </w:trPr>
        <w:tc>
          <w:tcPr>
            <w:tcW w:w="966" w:type="dxa"/>
          </w:tcPr>
          <w:p>
            <w:pPr>
              <w:snapToGrid w:val="0"/>
              <w:spacing w:line="240" w:lineRule="auto"/>
              <w:jc w:val="right"/>
              <w:rPr>
                <w:rFonts w:ascii="Times New Roman" w:hAnsi="Times New Roman"/>
              </w:rPr>
            </w:pPr>
            <w:r>
              <w:rPr>
                <w:rFonts w:ascii="Times New Roman" w:hAnsi="Times New Roman"/>
              </w:rPr>
              <w:drawing>
                <wp:inline distT="0" distB="0" distL="0" distR="0">
                  <wp:extent cx="285750" cy="257175"/>
                  <wp:effectExtent l="0" t="0" r="0"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85750" cy="257175"/>
                          </a:xfrm>
                          <a:prstGeom prst="rect">
                            <a:avLst/>
                          </a:prstGeom>
                          <a:noFill/>
                          <a:ln>
                            <a:noFill/>
                          </a:ln>
                        </pic:spPr>
                      </pic:pic>
                    </a:graphicData>
                  </a:graphic>
                </wp:inline>
              </w:drawing>
            </w:r>
          </w:p>
        </w:tc>
        <w:tc>
          <w:tcPr>
            <w:tcW w:w="850" w:type="dxa"/>
          </w:tcPr>
          <w:p>
            <w:pPr>
              <w:snapToGrid w:val="0"/>
              <w:spacing w:line="240" w:lineRule="auto"/>
              <w:jc w:val="center"/>
              <w:rPr>
                <w:rFonts w:ascii="Times New Roman" w:hAnsi="Times New Roman"/>
                <w:color w:val="000000"/>
                <w:sz w:val="28"/>
                <w:szCs w:val="28"/>
              </w:rPr>
            </w:pPr>
            <w:r>
              <w:rPr>
                <w:rFonts w:ascii="Times New Roman" w:hAnsi="Times New Roman"/>
                <w:color w:val="000000"/>
                <w:sz w:val="28"/>
                <w:szCs w:val="28"/>
              </w:rPr>
              <w:t>——</w:t>
            </w:r>
          </w:p>
        </w:tc>
        <w:tc>
          <w:tcPr>
            <w:tcW w:w="7513" w:type="dxa"/>
            <w:vAlign w:val="center"/>
          </w:tcPr>
          <w:p>
            <w:pPr>
              <w:autoSpaceDE w:val="0"/>
              <w:snapToGrid w:val="0"/>
              <w:spacing w:line="240" w:lineRule="auto"/>
              <w:rPr>
                <w:rFonts w:ascii="Times New Roman" w:hAnsi="Times New Roman"/>
              </w:rPr>
            </w:pPr>
            <w:r>
              <w:rPr>
                <w:rFonts w:ascii="Times New Roman" w:hAnsi="Times New Roman"/>
              </w:rPr>
              <w:t>第</w:t>
            </w:r>
            <w:r>
              <w:rPr>
                <w:rFonts w:ascii="Times New Roman" w:hAnsi="Times New Roman"/>
                <w:i/>
                <w:iCs/>
              </w:rPr>
              <w:t>i</w:t>
            </w:r>
            <w:r>
              <w:rPr>
                <w:rFonts w:ascii="Times New Roman" w:hAnsi="Times New Roman"/>
              </w:rPr>
              <w:t>个永久作用标准值的效应；</w:t>
            </w:r>
          </w:p>
        </w:tc>
      </w:tr>
      <w:tr>
        <w:tblPrEx>
          <w:tblCellMar>
            <w:top w:w="0" w:type="dxa"/>
            <w:left w:w="108" w:type="dxa"/>
            <w:bottom w:w="0" w:type="dxa"/>
            <w:right w:w="108" w:type="dxa"/>
          </w:tblCellMar>
        </w:tblPrEx>
        <w:trPr>
          <w:trHeight w:val="443" w:hRule="atLeast"/>
        </w:trPr>
        <w:tc>
          <w:tcPr>
            <w:tcW w:w="966" w:type="dxa"/>
          </w:tcPr>
          <w:p>
            <w:pPr>
              <w:snapToGrid w:val="0"/>
              <w:spacing w:line="240" w:lineRule="auto"/>
              <w:jc w:val="right"/>
              <w:rPr>
                <w:rFonts w:ascii="Times New Roman" w:hAnsi="Times New Roman"/>
              </w:rPr>
            </w:pPr>
            <w:r>
              <w:rPr>
                <w:rFonts w:ascii="Times New Roman" w:hAnsi="Times New Roman"/>
              </w:rPr>
              <w:drawing>
                <wp:inline distT="0" distB="0" distL="0" distR="0">
                  <wp:extent cx="257175" cy="257175"/>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57175" cy="257175"/>
                          </a:xfrm>
                          <a:prstGeom prst="rect">
                            <a:avLst/>
                          </a:prstGeom>
                          <a:noFill/>
                          <a:ln>
                            <a:noFill/>
                          </a:ln>
                        </pic:spPr>
                      </pic:pic>
                    </a:graphicData>
                  </a:graphic>
                </wp:inline>
              </w:drawing>
            </w:r>
          </w:p>
        </w:tc>
        <w:tc>
          <w:tcPr>
            <w:tcW w:w="850" w:type="dxa"/>
          </w:tcPr>
          <w:p>
            <w:pPr>
              <w:snapToGrid w:val="0"/>
              <w:spacing w:line="240" w:lineRule="auto"/>
              <w:jc w:val="center"/>
              <w:rPr>
                <w:rFonts w:ascii="Times New Roman" w:hAnsi="Times New Roman"/>
                <w:color w:val="000000"/>
                <w:sz w:val="28"/>
                <w:szCs w:val="28"/>
              </w:rPr>
            </w:pPr>
            <w:r>
              <w:rPr>
                <w:rFonts w:ascii="Times New Roman" w:hAnsi="Times New Roman"/>
                <w:color w:val="000000"/>
                <w:sz w:val="28"/>
                <w:szCs w:val="28"/>
              </w:rPr>
              <w:t>——</w:t>
            </w:r>
          </w:p>
        </w:tc>
        <w:tc>
          <w:tcPr>
            <w:tcW w:w="7513" w:type="dxa"/>
            <w:vAlign w:val="center"/>
          </w:tcPr>
          <w:p>
            <w:pPr>
              <w:autoSpaceDE w:val="0"/>
              <w:snapToGrid w:val="0"/>
              <w:spacing w:line="240" w:lineRule="auto"/>
              <w:rPr>
                <w:rFonts w:ascii="Times New Roman" w:hAnsi="Times New Roman"/>
              </w:rPr>
            </w:pPr>
            <w:r>
              <w:rPr>
                <w:rFonts w:ascii="Times New Roman" w:hAnsi="Times New Roman"/>
              </w:rPr>
              <w:t>预应力作用有关代表值的效应；</w:t>
            </w:r>
          </w:p>
        </w:tc>
      </w:tr>
      <w:tr>
        <w:tblPrEx>
          <w:tblCellMar>
            <w:top w:w="0" w:type="dxa"/>
            <w:left w:w="108" w:type="dxa"/>
            <w:bottom w:w="0" w:type="dxa"/>
            <w:right w:w="108" w:type="dxa"/>
          </w:tblCellMar>
        </w:tblPrEx>
        <w:trPr>
          <w:trHeight w:val="443" w:hRule="atLeast"/>
        </w:trPr>
        <w:tc>
          <w:tcPr>
            <w:tcW w:w="966" w:type="dxa"/>
          </w:tcPr>
          <w:p>
            <w:pPr>
              <w:snapToGrid w:val="0"/>
              <w:spacing w:line="240" w:lineRule="auto"/>
              <w:jc w:val="right"/>
              <w:rPr>
                <w:rFonts w:ascii="Times New Roman" w:hAnsi="Times New Roman"/>
              </w:rPr>
            </w:pPr>
            <w:r>
              <w:rPr>
                <w:rFonts w:ascii="Times New Roman" w:hAnsi="Times New Roman"/>
              </w:rPr>
              <w:drawing>
                <wp:inline distT="0" distB="0" distL="0" distR="0">
                  <wp:extent cx="295275" cy="257175"/>
                  <wp:effectExtent l="0" t="0" r="9525"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95275" cy="257175"/>
                          </a:xfrm>
                          <a:prstGeom prst="rect">
                            <a:avLst/>
                          </a:prstGeom>
                          <a:noFill/>
                          <a:ln>
                            <a:noFill/>
                          </a:ln>
                        </pic:spPr>
                      </pic:pic>
                    </a:graphicData>
                  </a:graphic>
                </wp:inline>
              </w:drawing>
            </w:r>
          </w:p>
        </w:tc>
        <w:tc>
          <w:tcPr>
            <w:tcW w:w="850" w:type="dxa"/>
          </w:tcPr>
          <w:p>
            <w:pPr>
              <w:snapToGrid w:val="0"/>
              <w:spacing w:line="240" w:lineRule="auto"/>
              <w:jc w:val="center"/>
              <w:rPr>
                <w:rFonts w:ascii="Times New Roman" w:hAnsi="Times New Roman"/>
                <w:color w:val="000000"/>
                <w:sz w:val="28"/>
                <w:szCs w:val="28"/>
              </w:rPr>
            </w:pPr>
            <w:r>
              <w:rPr>
                <w:rFonts w:ascii="Times New Roman" w:hAnsi="Times New Roman"/>
                <w:color w:val="000000"/>
                <w:sz w:val="28"/>
                <w:szCs w:val="28"/>
              </w:rPr>
              <w:t>——</w:t>
            </w:r>
          </w:p>
        </w:tc>
        <w:tc>
          <w:tcPr>
            <w:tcW w:w="7513" w:type="dxa"/>
            <w:vAlign w:val="center"/>
          </w:tcPr>
          <w:p>
            <w:pPr>
              <w:autoSpaceDE w:val="0"/>
              <w:snapToGrid w:val="0"/>
              <w:spacing w:line="240" w:lineRule="auto"/>
              <w:rPr>
                <w:rFonts w:ascii="Times New Roman" w:hAnsi="Times New Roman"/>
              </w:rPr>
            </w:pPr>
            <w:r>
              <w:rPr>
                <w:rFonts w:ascii="Times New Roman" w:hAnsi="Times New Roman"/>
              </w:rPr>
              <w:t>第1个可变作用标准值的效应；</w:t>
            </w:r>
          </w:p>
        </w:tc>
      </w:tr>
      <w:tr>
        <w:tblPrEx>
          <w:tblCellMar>
            <w:top w:w="0" w:type="dxa"/>
            <w:left w:w="108" w:type="dxa"/>
            <w:bottom w:w="0" w:type="dxa"/>
            <w:right w:w="108" w:type="dxa"/>
          </w:tblCellMar>
        </w:tblPrEx>
        <w:trPr>
          <w:trHeight w:val="443" w:hRule="atLeast"/>
        </w:trPr>
        <w:tc>
          <w:tcPr>
            <w:tcW w:w="966" w:type="dxa"/>
          </w:tcPr>
          <w:p>
            <w:pPr>
              <w:snapToGrid w:val="0"/>
              <w:spacing w:line="240" w:lineRule="auto"/>
              <w:jc w:val="right"/>
              <w:rPr>
                <w:rFonts w:ascii="Times New Roman" w:hAnsi="Times New Roman"/>
              </w:rPr>
            </w:pPr>
            <w:r>
              <w:rPr>
                <w:rFonts w:ascii="Times New Roman" w:hAnsi="Times New Roman"/>
              </w:rPr>
              <w:drawing>
                <wp:inline distT="0" distB="0" distL="0" distR="0">
                  <wp:extent cx="266700" cy="257175"/>
                  <wp:effectExtent l="0" t="0" r="0" b="95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66700" cy="257175"/>
                          </a:xfrm>
                          <a:prstGeom prst="rect">
                            <a:avLst/>
                          </a:prstGeom>
                          <a:noFill/>
                          <a:ln>
                            <a:noFill/>
                          </a:ln>
                        </pic:spPr>
                      </pic:pic>
                    </a:graphicData>
                  </a:graphic>
                </wp:inline>
              </w:drawing>
            </w:r>
          </w:p>
        </w:tc>
        <w:tc>
          <w:tcPr>
            <w:tcW w:w="850" w:type="dxa"/>
          </w:tcPr>
          <w:p>
            <w:pPr>
              <w:snapToGrid w:val="0"/>
              <w:spacing w:line="240" w:lineRule="auto"/>
              <w:jc w:val="center"/>
              <w:rPr>
                <w:rFonts w:ascii="Times New Roman" w:hAnsi="Times New Roman"/>
                <w:color w:val="000000"/>
                <w:sz w:val="28"/>
                <w:szCs w:val="28"/>
              </w:rPr>
            </w:pPr>
            <w:r>
              <w:rPr>
                <w:rFonts w:ascii="Times New Roman" w:hAnsi="Times New Roman"/>
                <w:color w:val="000000"/>
                <w:sz w:val="28"/>
                <w:szCs w:val="28"/>
              </w:rPr>
              <w:t>——</w:t>
            </w:r>
          </w:p>
        </w:tc>
        <w:tc>
          <w:tcPr>
            <w:tcW w:w="7513" w:type="dxa"/>
            <w:vAlign w:val="center"/>
          </w:tcPr>
          <w:p>
            <w:pPr>
              <w:autoSpaceDE w:val="0"/>
              <w:snapToGrid w:val="0"/>
              <w:spacing w:line="240" w:lineRule="auto"/>
              <w:rPr>
                <w:rFonts w:ascii="Times New Roman" w:hAnsi="Times New Roman"/>
              </w:rPr>
            </w:pPr>
            <w:r>
              <w:rPr>
                <w:rFonts w:ascii="Times New Roman" w:hAnsi="Times New Roman"/>
              </w:rPr>
              <w:t>第</w:t>
            </w:r>
            <w:r>
              <w:rPr>
                <w:rFonts w:ascii="Times New Roman" w:hAnsi="Times New Roman"/>
                <w:i/>
                <w:iCs/>
              </w:rPr>
              <w:t>j</w:t>
            </w:r>
            <w:r>
              <w:rPr>
                <w:rFonts w:ascii="Times New Roman" w:hAnsi="Times New Roman"/>
              </w:rPr>
              <w:t>个可变作用标准值的效应。</w:t>
            </w:r>
          </w:p>
        </w:tc>
      </w:tr>
    </w:tbl>
    <w:p>
      <w:pPr>
        <w:pStyle w:val="58"/>
        <w:ind w:firstLine="0" w:firstLineChars="0"/>
        <w:rPr>
          <w:rFonts w:hAnsi="黑体"/>
          <w:bCs/>
        </w:rPr>
      </w:pPr>
      <w:r>
        <w:rPr>
          <w:rFonts w:hint="eastAsia" w:ascii="黑体" w:hAnsi="黑体" w:eastAsia="黑体"/>
        </w:rPr>
        <w:t>4.</w:t>
      </w:r>
      <w:r>
        <w:rPr>
          <w:rFonts w:ascii="黑体" w:hAnsi="黑体" w:eastAsia="黑体"/>
        </w:rPr>
        <w:t>4.3</w:t>
      </w:r>
      <w:r>
        <w:rPr>
          <w:rFonts w:hint="eastAsia" w:ascii="黑体" w:hAnsi="黑体" w:eastAsia="黑体"/>
        </w:rPr>
        <w:t xml:space="preserve"> </w:t>
      </w:r>
      <w:r>
        <w:rPr>
          <w:rFonts w:hint="eastAsia" w:hAnsi="黑体"/>
          <w:bCs/>
        </w:rPr>
        <w:t>预制预应力混凝土装配整体式结构的结构构件施工阶段验算时作用组合的效应设计值计算应符合下列规定：</w:t>
      </w:r>
    </w:p>
    <w:p>
      <w:pPr>
        <w:pStyle w:val="58"/>
        <w:ind w:left="840" w:leftChars="200" w:hanging="420" w:hangingChars="200"/>
      </w:pPr>
      <w:r>
        <w:t>a</w:t>
      </w:r>
      <w:r>
        <w:rPr>
          <w:rFonts w:hint="eastAsia"/>
        </w:rPr>
        <w:t>)</w:t>
      </w:r>
      <w:r>
        <w:t xml:space="preserve">  </w:t>
      </w:r>
      <w:r>
        <w:rPr>
          <w:rFonts w:hint="eastAsia"/>
        </w:rPr>
        <w:t>预制构件施工验算时作用组合的效应设计值应按下式计算：</w:t>
      </w:r>
    </w:p>
    <w:p>
      <w:pPr>
        <w:adjustRightInd/>
        <w:spacing w:line="240" w:lineRule="auto"/>
        <w:jc w:val="center"/>
        <w:rPr>
          <w:rFonts w:ascii="Times New Roman" w:hAnsi="Times New Roman"/>
        </w:rPr>
      </w:pPr>
      <w:r>
        <w:rPr>
          <w:rFonts w:ascii="Times New Roman" w:hAnsi="Times New Roman"/>
        </w:rPr>
        <w:drawing>
          <wp:inline distT="0" distB="0" distL="0" distR="0">
            <wp:extent cx="914400" cy="295275"/>
            <wp:effectExtent l="0" t="0" r="0" b="952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914400" cy="295275"/>
                    </a:xfrm>
                    <a:prstGeom prst="rect">
                      <a:avLst/>
                    </a:prstGeom>
                    <a:noFill/>
                    <a:ln>
                      <a:noFill/>
                    </a:ln>
                  </pic:spPr>
                </pic:pic>
              </a:graphicData>
            </a:graphic>
          </wp:inline>
        </w:drawing>
      </w:r>
    </w:p>
    <w:p>
      <w:pPr>
        <w:spacing w:line="240" w:lineRule="auto"/>
        <w:ind w:firstLine="420" w:firstLineChars="200"/>
      </w:pPr>
      <w:r>
        <w:rPr>
          <w:rFonts w:hint="eastAsia"/>
        </w:rPr>
        <w:t>式中：</w:t>
      </w:r>
    </w:p>
    <w:tbl>
      <w:tblPr>
        <w:tblStyle w:val="27"/>
        <w:tblW w:w="9329" w:type="dxa"/>
        <w:tblInd w:w="135" w:type="dxa"/>
        <w:tblLayout w:type="fixed"/>
        <w:tblCellMar>
          <w:top w:w="0" w:type="dxa"/>
          <w:left w:w="108" w:type="dxa"/>
          <w:bottom w:w="0" w:type="dxa"/>
          <w:right w:w="108" w:type="dxa"/>
        </w:tblCellMar>
      </w:tblPr>
      <w:tblGrid>
        <w:gridCol w:w="824"/>
        <w:gridCol w:w="850"/>
        <w:gridCol w:w="7655"/>
      </w:tblGrid>
      <w:tr>
        <w:tblPrEx>
          <w:tblCellMar>
            <w:top w:w="0" w:type="dxa"/>
            <w:left w:w="108" w:type="dxa"/>
            <w:bottom w:w="0" w:type="dxa"/>
            <w:right w:w="108" w:type="dxa"/>
          </w:tblCellMar>
        </w:tblPrEx>
        <w:trPr>
          <w:trHeight w:val="443" w:hRule="atLeast"/>
        </w:trPr>
        <w:tc>
          <w:tcPr>
            <w:tcW w:w="824" w:type="dxa"/>
          </w:tcPr>
          <w:p>
            <w:pPr>
              <w:snapToGrid w:val="0"/>
              <w:spacing w:line="240" w:lineRule="auto"/>
              <w:jc w:val="right"/>
              <w:rPr>
                <w:rFonts w:ascii="Times New Roman" w:hAnsi="Times New Roman"/>
              </w:rPr>
            </w:pPr>
            <w:r>
              <w:rPr>
                <w:rFonts w:ascii="Times New Roman" w:hAnsi="Times New Roman"/>
              </w:rPr>
              <w:drawing>
                <wp:inline distT="0" distB="0" distL="0" distR="0">
                  <wp:extent cx="209550" cy="180975"/>
                  <wp:effectExtent l="0" t="0" r="0" b="952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209550" cy="180975"/>
                          </a:xfrm>
                          <a:prstGeom prst="rect">
                            <a:avLst/>
                          </a:prstGeom>
                          <a:noFill/>
                          <a:ln>
                            <a:noFill/>
                          </a:ln>
                        </pic:spPr>
                      </pic:pic>
                    </a:graphicData>
                  </a:graphic>
                </wp:inline>
              </w:drawing>
            </w:r>
          </w:p>
        </w:tc>
        <w:tc>
          <w:tcPr>
            <w:tcW w:w="850" w:type="dxa"/>
          </w:tcPr>
          <w:p>
            <w:pPr>
              <w:snapToGrid w:val="0"/>
              <w:spacing w:line="240" w:lineRule="auto"/>
              <w:jc w:val="center"/>
              <w:rPr>
                <w:rFonts w:ascii="Times New Roman" w:hAnsi="Times New Roman"/>
                <w:color w:val="000000"/>
                <w:sz w:val="28"/>
                <w:szCs w:val="28"/>
              </w:rPr>
            </w:pPr>
            <w:r>
              <w:rPr>
                <w:rFonts w:ascii="Times New Roman" w:hAnsi="Times New Roman"/>
                <w:color w:val="000000"/>
                <w:sz w:val="28"/>
                <w:szCs w:val="28"/>
              </w:rPr>
              <w:t>——</w:t>
            </w:r>
          </w:p>
        </w:tc>
        <w:tc>
          <w:tcPr>
            <w:tcW w:w="7655" w:type="dxa"/>
          </w:tcPr>
          <w:p>
            <w:pPr>
              <w:snapToGrid w:val="0"/>
              <w:spacing w:line="240" w:lineRule="auto"/>
              <w:rPr>
                <w:rFonts w:ascii="宋体" w:hAnsi="宋体"/>
              </w:rPr>
            </w:pPr>
            <w:r>
              <w:rPr>
                <w:rFonts w:ascii="宋体" w:hAnsi="宋体"/>
              </w:rPr>
              <w:t>脱模吸附系数或动力系数。脱模吸附系数：宜取1.5，也可根据构件和模具表面状况适当增减，复杂情况宜根据试验确定；动力系数：构件吊运、运输时宜取1.5，构件翻转及安装过程中就位、临时固定时，可取1.2，当有可靠经验时，可根据实际受力情况和安全要求适当增减</w:t>
            </w:r>
            <w:r>
              <w:rPr>
                <w:rFonts w:hint="eastAsia" w:ascii="宋体" w:hAnsi="宋体"/>
              </w:rPr>
              <w:t>；</w:t>
            </w:r>
          </w:p>
        </w:tc>
      </w:tr>
      <w:tr>
        <w:tblPrEx>
          <w:tblCellMar>
            <w:top w:w="0" w:type="dxa"/>
            <w:left w:w="108" w:type="dxa"/>
            <w:bottom w:w="0" w:type="dxa"/>
            <w:right w:w="108" w:type="dxa"/>
          </w:tblCellMar>
        </w:tblPrEx>
        <w:trPr>
          <w:trHeight w:val="443" w:hRule="atLeast"/>
        </w:trPr>
        <w:tc>
          <w:tcPr>
            <w:tcW w:w="824" w:type="dxa"/>
          </w:tcPr>
          <w:p>
            <w:pPr>
              <w:snapToGrid w:val="0"/>
              <w:spacing w:line="240" w:lineRule="auto"/>
              <w:jc w:val="right"/>
              <w:rPr>
                <w:rFonts w:ascii="宋体" w:hAnsi="宋体"/>
                <w:color w:val="000000"/>
                <w:sz w:val="28"/>
                <w:szCs w:val="28"/>
              </w:rPr>
            </w:pPr>
            <w:r>
              <w:rPr>
                <w:rFonts w:ascii="Times New Roman" w:hAnsi="Times New Roman"/>
              </w:rPr>
              <w:drawing>
                <wp:inline distT="0" distB="0" distL="0" distR="0">
                  <wp:extent cx="152400" cy="257175"/>
                  <wp:effectExtent l="0" t="0" r="0" b="952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152400" cy="257175"/>
                          </a:xfrm>
                          <a:prstGeom prst="rect">
                            <a:avLst/>
                          </a:prstGeom>
                          <a:noFill/>
                          <a:ln>
                            <a:noFill/>
                          </a:ln>
                        </pic:spPr>
                      </pic:pic>
                    </a:graphicData>
                  </a:graphic>
                </wp:inline>
              </w:drawing>
            </w:r>
          </w:p>
        </w:tc>
        <w:tc>
          <w:tcPr>
            <w:tcW w:w="850" w:type="dxa"/>
          </w:tcPr>
          <w:p>
            <w:pPr>
              <w:snapToGrid w:val="0"/>
              <w:spacing w:line="240" w:lineRule="auto"/>
              <w:jc w:val="center"/>
              <w:rPr>
                <w:rFonts w:ascii="Times New Roman" w:hAnsi="Times New Roman"/>
                <w:color w:val="000000"/>
                <w:sz w:val="28"/>
                <w:szCs w:val="28"/>
              </w:rPr>
            </w:pPr>
            <w:r>
              <w:rPr>
                <w:rFonts w:ascii="Times New Roman" w:hAnsi="Times New Roman"/>
                <w:color w:val="000000"/>
                <w:sz w:val="28"/>
                <w:szCs w:val="28"/>
              </w:rPr>
              <w:t>——</w:t>
            </w:r>
          </w:p>
        </w:tc>
        <w:tc>
          <w:tcPr>
            <w:tcW w:w="7655" w:type="dxa"/>
          </w:tcPr>
          <w:p>
            <w:pPr>
              <w:snapToGrid w:val="0"/>
              <w:spacing w:line="240" w:lineRule="auto"/>
              <w:rPr>
                <w:rFonts w:ascii="Times New Roman" w:hAnsi="Times New Roman"/>
              </w:rPr>
            </w:pPr>
            <w:r>
              <w:rPr>
                <w:rFonts w:ascii="Times New Roman" w:hAnsi="Times New Roman"/>
              </w:rPr>
              <w:t>永久荷载分项系数，应按</w:t>
            </w:r>
            <w:r>
              <w:rPr>
                <w:rFonts w:hint="eastAsia" w:ascii="Times New Roman" w:hAnsi="Times New Roman"/>
              </w:rPr>
              <w:t>现行国家标准《工程结构通用规范》GB 55001、《建筑结构可靠性设计统一标</w:t>
            </w:r>
            <w:r>
              <w:rPr>
                <w:rFonts w:hint="eastAsia" w:ascii="宋体" w:hAnsi="宋体"/>
              </w:rPr>
              <w:t>准》GB 50068的</w:t>
            </w:r>
            <w:r>
              <w:rPr>
                <w:rFonts w:hint="eastAsia" w:ascii="Times New Roman" w:hAnsi="Times New Roman"/>
              </w:rPr>
              <w:t>有关规定采用</w:t>
            </w:r>
            <w:r>
              <w:rPr>
                <w:rFonts w:ascii="Times New Roman" w:hAnsi="Times New Roman"/>
              </w:rPr>
              <w:t>；</w:t>
            </w:r>
          </w:p>
        </w:tc>
      </w:tr>
      <w:tr>
        <w:tblPrEx>
          <w:tblCellMar>
            <w:top w:w="0" w:type="dxa"/>
            <w:left w:w="108" w:type="dxa"/>
            <w:bottom w:w="0" w:type="dxa"/>
            <w:right w:w="108" w:type="dxa"/>
          </w:tblCellMar>
        </w:tblPrEx>
        <w:trPr>
          <w:trHeight w:val="443" w:hRule="atLeast"/>
        </w:trPr>
        <w:tc>
          <w:tcPr>
            <w:tcW w:w="824" w:type="dxa"/>
          </w:tcPr>
          <w:p>
            <w:pPr>
              <w:snapToGrid w:val="0"/>
              <w:spacing w:line="240" w:lineRule="auto"/>
              <w:jc w:val="right"/>
              <w:rPr>
                <w:rFonts w:ascii="Times New Roman" w:hAnsi="Times New Roman"/>
              </w:rPr>
            </w:pPr>
            <w:r>
              <w:rPr>
                <w:rFonts w:ascii="Times New Roman" w:hAnsi="Times New Roman"/>
              </w:rPr>
              <w:drawing>
                <wp:inline distT="0" distB="0" distL="0" distR="0">
                  <wp:extent cx="304800" cy="257175"/>
                  <wp:effectExtent l="0" t="0" r="0" b="952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304800" cy="257175"/>
                          </a:xfrm>
                          <a:prstGeom prst="rect">
                            <a:avLst/>
                          </a:prstGeom>
                          <a:noFill/>
                          <a:ln>
                            <a:noFill/>
                          </a:ln>
                        </pic:spPr>
                      </pic:pic>
                    </a:graphicData>
                  </a:graphic>
                </wp:inline>
              </w:drawing>
            </w:r>
          </w:p>
        </w:tc>
        <w:tc>
          <w:tcPr>
            <w:tcW w:w="850" w:type="dxa"/>
          </w:tcPr>
          <w:p>
            <w:pPr>
              <w:snapToGrid w:val="0"/>
              <w:spacing w:line="240" w:lineRule="auto"/>
              <w:jc w:val="center"/>
              <w:rPr>
                <w:rFonts w:ascii="Times New Roman" w:hAnsi="Times New Roman"/>
                <w:color w:val="000000"/>
                <w:sz w:val="28"/>
                <w:szCs w:val="28"/>
              </w:rPr>
            </w:pPr>
            <w:r>
              <w:rPr>
                <w:rFonts w:ascii="Times New Roman" w:hAnsi="Times New Roman"/>
                <w:color w:val="000000"/>
                <w:sz w:val="28"/>
                <w:szCs w:val="28"/>
              </w:rPr>
              <w:t>——</w:t>
            </w:r>
          </w:p>
        </w:tc>
        <w:tc>
          <w:tcPr>
            <w:tcW w:w="7655" w:type="dxa"/>
            <w:vAlign w:val="center"/>
          </w:tcPr>
          <w:p>
            <w:pPr>
              <w:snapToGrid w:val="0"/>
              <w:spacing w:line="240" w:lineRule="auto"/>
              <w:rPr>
                <w:rFonts w:ascii="Times New Roman" w:hAnsi="Times New Roman"/>
              </w:rPr>
            </w:pPr>
            <w:r>
              <w:rPr>
                <w:rFonts w:ascii="Times New Roman" w:hAnsi="Times New Roman"/>
              </w:rPr>
              <w:t>按预制构件自重荷载标准值</w:t>
            </w:r>
            <w:r>
              <w:rPr>
                <w:rFonts w:hint="eastAsia" w:ascii="Times New Roman" w:hAnsi="Times New Roman"/>
                <w:i/>
                <w:iCs/>
              </w:rPr>
              <w:t>G</w:t>
            </w:r>
            <w:r>
              <w:rPr>
                <w:rFonts w:hint="eastAsia" w:ascii="Times New Roman" w:hAnsi="Times New Roman"/>
                <w:vertAlign w:val="subscript"/>
              </w:rPr>
              <w:t>1k</w:t>
            </w:r>
            <w:r>
              <w:rPr>
                <w:rFonts w:ascii="Times New Roman" w:hAnsi="Times New Roman"/>
              </w:rPr>
              <w:t>计算的荷载效应值（N</w:t>
            </w:r>
            <w:r>
              <w:rPr>
                <w:rFonts w:ascii="宋体" w:hAnsi="宋体"/>
              </w:rPr>
              <w:t>或</w:t>
            </w:r>
            <w:r>
              <w:rPr>
                <w:rFonts w:ascii="Times New Roman" w:hAnsi="Times New Roman"/>
              </w:rPr>
              <w:t>N.mm</w:t>
            </w:r>
            <w:r>
              <w:rPr>
                <w:rFonts w:ascii="宋体" w:hAnsi="宋体"/>
              </w:rPr>
              <w:t>）。</w:t>
            </w:r>
          </w:p>
        </w:tc>
      </w:tr>
    </w:tbl>
    <w:p>
      <w:pPr>
        <w:pStyle w:val="58"/>
        <w:ind w:left="840" w:leftChars="200" w:hanging="420" w:hangingChars="200"/>
      </w:pPr>
      <w:r>
        <w:t>b</w:t>
      </w:r>
      <w:r>
        <w:rPr>
          <w:rFonts w:hint="eastAsia"/>
        </w:rPr>
        <w:t>)</w:t>
      </w:r>
      <w:r>
        <w:t xml:space="preserve">  </w:t>
      </w:r>
      <w:r>
        <w:rPr>
          <w:rFonts w:hint="eastAsia"/>
        </w:rPr>
        <w:t>预制构件安装就位后施工时作用组合的效应设计值应按下式计算：</w:t>
      </w:r>
    </w:p>
    <w:p>
      <w:pPr>
        <w:spacing w:line="240" w:lineRule="auto"/>
        <w:jc w:val="center"/>
      </w:pPr>
      <w:r>
        <w:drawing>
          <wp:inline distT="0" distB="0" distL="0" distR="0">
            <wp:extent cx="2009775" cy="29527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009775" cy="295275"/>
                    </a:xfrm>
                    <a:prstGeom prst="rect">
                      <a:avLst/>
                    </a:prstGeom>
                    <a:noFill/>
                    <a:ln>
                      <a:noFill/>
                    </a:ln>
                  </pic:spPr>
                </pic:pic>
              </a:graphicData>
            </a:graphic>
          </wp:inline>
        </w:drawing>
      </w:r>
    </w:p>
    <w:p>
      <w:pPr>
        <w:spacing w:line="240" w:lineRule="auto"/>
        <w:ind w:firstLine="420" w:firstLineChars="200"/>
      </w:pPr>
      <w:r>
        <w:rPr>
          <w:rFonts w:hint="eastAsia"/>
        </w:rPr>
        <w:t>式中：</w:t>
      </w:r>
    </w:p>
    <w:tbl>
      <w:tblPr>
        <w:tblStyle w:val="27"/>
        <w:tblW w:w="8326" w:type="dxa"/>
        <w:tblInd w:w="135" w:type="dxa"/>
        <w:tblLayout w:type="fixed"/>
        <w:tblCellMar>
          <w:top w:w="0" w:type="dxa"/>
          <w:left w:w="108" w:type="dxa"/>
          <w:bottom w:w="0" w:type="dxa"/>
          <w:right w:w="108" w:type="dxa"/>
        </w:tblCellMar>
      </w:tblPr>
      <w:tblGrid>
        <w:gridCol w:w="966"/>
        <w:gridCol w:w="850"/>
        <w:gridCol w:w="6510"/>
      </w:tblGrid>
      <w:tr>
        <w:tblPrEx>
          <w:tblCellMar>
            <w:top w:w="0" w:type="dxa"/>
            <w:left w:w="108" w:type="dxa"/>
            <w:bottom w:w="0" w:type="dxa"/>
            <w:right w:w="108" w:type="dxa"/>
          </w:tblCellMar>
        </w:tblPrEx>
        <w:trPr>
          <w:trHeight w:val="443" w:hRule="atLeast"/>
        </w:trPr>
        <w:tc>
          <w:tcPr>
            <w:tcW w:w="966" w:type="dxa"/>
          </w:tcPr>
          <w:p>
            <w:pPr>
              <w:autoSpaceDE w:val="0"/>
              <w:snapToGrid w:val="0"/>
              <w:spacing w:line="240" w:lineRule="auto"/>
              <w:jc w:val="right"/>
              <w:rPr>
                <w:rFonts w:ascii="Times New Roman" w:hAnsi="Times New Roman"/>
              </w:rPr>
            </w:pPr>
            <w:r>
              <w:drawing>
                <wp:inline distT="0" distB="0" distL="0" distR="0">
                  <wp:extent cx="304800" cy="25717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304800" cy="257175"/>
                          </a:xfrm>
                          <a:prstGeom prst="rect">
                            <a:avLst/>
                          </a:prstGeom>
                          <a:noFill/>
                          <a:ln>
                            <a:noFill/>
                          </a:ln>
                        </pic:spPr>
                      </pic:pic>
                    </a:graphicData>
                  </a:graphic>
                </wp:inline>
              </w:drawing>
            </w:r>
          </w:p>
        </w:tc>
        <w:tc>
          <w:tcPr>
            <w:tcW w:w="850" w:type="dxa"/>
            <w:vAlign w:val="center"/>
          </w:tcPr>
          <w:p>
            <w:pPr>
              <w:autoSpaceDE w:val="0"/>
              <w:snapToGrid w:val="0"/>
              <w:spacing w:line="240" w:lineRule="auto"/>
              <w:jc w:val="center"/>
              <w:rPr>
                <w:rFonts w:ascii="Times New Roman" w:hAnsi="Times New Roman"/>
                <w:color w:val="000000"/>
                <w:sz w:val="28"/>
                <w:szCs w:val="28"/>
              </w:rPr>
            </w:pPr>
            <w:r>
              <w:rPr>
                <w:rFonts w:ascii="Times New Roman" w:hAnsi="Times New Roman"/>
                <w:color w:val="000000"/>
                <w:sz w:val="28"/>
                <w:szCs w:val="28"/>
              </w:rPr>
              <w:t>——</w:t>
            </w:r>
          </w:p>
        </w:tc>
        <w:tc>
          <w:tcPr>
            <w:tcW w:w="6510" w:type="dxa"/>
            <w:vAlign w:val="center"/>
          </w:tcPr>
          <w:p>
            <w:pPr>
              <w:pStyle w:val="235"/>
              <w:autoSpaceDE w:val="0"/>
              <w:spacing w:line="240" w:lineRule="auto"/>
              <w:jc w:val="both"/>
              <w:rPr>
                <w:rFonts w:ascii="宋体" w:hAnsi="宋体"/>
                <w:sz w:val="21"/>
                <w:szCs w:val="21"/>
              </w:rPr>
            </w:pPr>
            <w:r>
              <w:rPr>
                <w:rFonts w:ascii="宋体" w:hAnsi="宋体"/>
                <w:sz w:val="21"/>
                <w:szCs w:val="21"/>
              </w:rPr>
              <w:t>按叠合层自重荷载标准值计算的荷载效应值（N或N.mm）；</w:t>
            </w:r>
          </w:p>
        </w:tc>
      </w:tr>
      <w:tr>
        <w:tblPrEx>
          <w:tblCellMar>
            <w:top w:w="0" w:type="dxa"/>
            <w:left w:w="108" w:type="dxa"/>
            <w:bottom w:w="0" w:type="dxa"/>
            <w:right w:w="108" w:type="dxa"/>
          </w:tblCellMar>
        </w:tblPrEx>
        <w:trPr>
          <w:trHeight w:val="443" w:hRule="atLeast"/>
        </w:trPr>
        <w:tc>
          <w:tcPr>
            <w:tcW w:w="966" w:type="dxa"/>
          </w:tcPr>
          <w:p>
            <w:pPr>
              <w:autoSpaceDE w:val="0"/>
              <w:snapToGrid w:val="0"/>
              <w:spacing w:line="240" w:lineRule="auto"/>
              <w:jc w:val="right"/>
              <w:rPr>
                <w:rFonts w:ascii="Times New Roman" w:hAnsi="Times New Roman"/>
              </w:rPr>
            </w:pPr>
            <w:r>
              <w:drawing>
                <wp:inline distT="0" distB="0" distL="0" distR="0">
                  <wp:extent cx="228600" cy="25717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28600" cy="257175"/>
                          </a:xfrm>
                          <a:prstGeom prst="rect">
                            <a:avLst/>
                          </a:prstGeom>
                          <a:noFill/>
                          <a:ln>
                            <a:noFill/>
                          </a:ln>
                        </pic:spPr>
                      </pic:pic>
                    </a:graphicData>
                  </a:graphic>
                </wp:inline>
              </w:drawing>
            </w:r>
          </w:p>
        </w:tc>
        <w:tc>
          <w:tcPr>
            <w:tcW w:w="850" w:type="dxa"/>
            <w:vAlign w:val="center"/>
          </w:tcPr>
          <w:p>
            <w:pPr>
              <w:autoSpaceDE w:val="0"/>
              <w:snapToGrid w:val="0"/>
              <w:spacing w:line="240" w:lineRule="auto"/>
              <w:jc w:val="center"/>
              <w:rPr>
                <w:rFonts w:ascii="Times New Roman" w:hAnsi="Times New Roman"/>
                <w:color w:val="000000"/>
                <w:sz w:val="28"/>
                <w:szCs w:val="28"/>
              </w:rPr>
            </w:pPr>
            <w:r>
              <w:rPr>
                <w:rFonts w:ascii="Times New Roman" w:hAnsi="Times New Roman"/>
                <w:color w:val="000000"/>
                <w:sz w:val="28"/>
                <w:szCs w:val="28"/>
              </w:rPr>
              <w:t>——</w:t>
            </w:r>
          </w:p>
        </w:tc>
        <w:tc>
          <w:tcPr>
            <w:tcW w:w="6510" w:type="dxa"/>
            <w:vAlign w:val="center"/>
          </w:tcPr>
          <w:p>
            <w:pPr>
              <w:autoSpaceDE w:val="0"/>
              <w:snapToGrid w:val="0"/>
              <w:spacing w:line="240" w:lineRule="auto"/>
              <w:rPr>
                <w:rFonts w:ascii="Times New Roman" w:hAnsi="Times New Roman"/>
              </w:rPr>
            </w:pPr>
            <w:r>
              <w:t>可变荷载分项系数，应按</w:t>
            </w:r>
            <w:r>
              <w:rPr>
                <w:rFonts w:hint="eastAsia"/>
              </w:rPr>
              <w:t>现行国家标准</w:t>
            </w:r>
            <w:r>
              <w:rPr>
                <w:rFonts w:hint="eastAsia" w:ascii="Times New Roman" w:hAnsi="Times New Roman"/>
              </w:rPr>
              <w:t>《工程结构通用规范》GB 55001、</w:t>
            </w:r>
            <w:r>
              <w:rPr>
                <w:rFonts w:hint="eastAsia"/>
              </w:rPr>
              <w:t>《建筑结构可靠性设计统一标准》</w:t>
            </w:r>
            <w:r>
              <w:rPr>
                <w:rFonts w:hint="eastAsia" w:ascii="宋体" w:hAnsi="宋体"/>
              </w:rPr>
              <w:t>GB 50068</w:t>
            </w:r>
            <w:r>
              <w:rPr>
                <w:rFonts w:hint="eastAsia"/>
              </w:rPr>
              <w:t>的有关规定采用</w:t>
            </w:r>
            <w:r>
              <w:t>；</w:t>
            </w:r>
          </w:p>
        </w:tc>
      </w:tr>
      <w:tr>
        <w:tblPrEx>
          <w:tblCellMar>
            <w:top w:w="0" w:type="dxa"/>
            <w:left w:w="108" w:type="dxa"/>
            <w:bottom w:w="0" w:type="dxa"/>
            <w:right w:w="108" w:type="dxa"/>
          </w:tblCellMar>
        </w:tblPrEx>
        <w:trPr>
          <w:trHeight w:val="427" w:hRule="atLeast"/>
        </w:trPr>
        <w:tc>
          <w:tcPr>
            <w:tcW w:w="966" w:type="dxa"/>
          </w:tcPr>
          <w:p>
            <w:pPr>
              <w:autoSpaceDE w:val="0"/>
              <w:snapToGrid w:val="0"/>
              <w:spacing w:line="240" w:lineRule="auto"/>
              <w:jc w:val="right"/>
              <w:rPr>
                <w:rFonts w:ascii="Times New Roman" w:hAnsi="Times New Roman"/>
              </w:rPr>
            </w:pPr>
            <w:r>
              <w:drawing>
                <wp:inline distT="0" distB="0" distL="0" distR="0">
                  <wp:extent cx="257175" cy="25717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57175" cy="257175"/>
                          </a:xfrm>
                          <a:prstGeom prst="rect">
                            <a:avLst/>
                          </a:prstGeom>
                          <a:noFill/>
                          <a:ln>
                            <a:noFill/>
                          </a:ln>
                        </pic:spPr>
                      </pic:pic>
                    </a:graphicData>
                  </a:graphic>
                </wp:inline>
              </w:drawing>
            </w:r>
          </w:p>
        </w:tc>
        <w:tc>
          <w:tcPr>
            <w:tcW w:w="850" w:type="dxa"/>
            <w:vAlign w:val="center"/>
          </w:tcPr>
          <w:p>
            <w:pPr>
              <w:autoSpaceDE w:val="0"/>
              <w:snapToGrid w:val="0"/>
              <w:spacing w:line="240" w:lineRule="auto"/>
              <w:jc w:val="center"/>
              <w:rPr>
                <w:rFonts w:ascii="Times New Roman" w:hAnsi="Times New Roman"/>
                <w:color w:val="000000"/>
                <w:sz w:val="28"/>
                <w:szCs w:val="28"/>
              </w:rPr>
            </w:pPr>
            <w:r>
              <w:rPr>
                <w:rFonts w:ascii="Times New Roman" w:hAnsi="Times New Roman"/>
                <w:color w:val="000000"/>
                <w:sz w:val="28"/>
                <w:szCs w:val="28"/>
              </w:rPr>
              <w:t>——</w:t>
            </w:r>
          </w:p>
        </w:tc>
        <w:tc>
          <w:tcPr>
            <w:tcW w:w="6510" w:type="dxa"/>
            <w:vAlign w:val="center"/>
          </w:tcPr>
          <w:p>
            <w:pPr>
              <w:pStyle w:val="235"/>
              <w:autoSpaceDE w:val="0"/>
              <w:spacing w:line="240" w:lineRule="auto"/>
              <w:jc w:val="both"/>
              <w:rPr>
                <w:rFonts w:ascii="宋体" w:hAnsi="宋体"/>
                <w:sz w:val="21"/>
                <w:szCs w:val="21"/>
              </w:rPr>
            </w:pPr>
            <w:r>
              <w:rPr>
                <w:rFonts w:ascii="宋体" w:hAnsi="宋体"/>
                <w:sz w:val="21"/>
                <w:szCs w:val="21"/>
              </w:rPr>
              <w:t>按施工活荷载标准值</w:t>
            </w:r>
            <w:r>
              <w:rPr>
                <w:rFonts w:ascii="宋体" w:hAnsi="宋体"/>
                <w:sz w:val="21"/>
                <w:szCs w:val="21"/>
              </w:rPr>
              <w:drawing>
                <wp:inline distT="0" distB="0" distL="0" distR="0">
                  <wp:extent cx="219075" cy="24765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219075" cy="247650"/>
                          </a:xfrm>
                          <a:prstGeom prst="rect">
                            <a:avLst/>
                          </a:prstGeom>
                          <a:noFill/>
                          <a:ln>
                            <a:noFill/>
                          </a:ln>
                        </pic:spPr>
                      </pic:pic>
                    </a:graphicData>
                  </a:graphic>
                </wp:inline>
              </w:drawing>
            </w:r>
            <w:r>
              <w:rPr>
                <w:rFonts w:ascii="宋体" w:hAnsi="宋体"/>
                <w:sz w:val="21"/>
                <w:szCs w:val="21"/>
              </w:rPr>
              <w:t>计算的荷载效应值（N或N.mm）。</w:t>
            </w:r>
          </w:p>
        </w:tc>
      </w:tr>
    </w:tbl>
    <w:p>
      <w:pPr>
        <w:pStyle w:val="58"/>
        <w:ind w:left="840" w:leftChars="200" w:hanging="420" w:hangingChars="200"/>
      </w:pPr>
      <w:r>
        <w:t>c</w:t>
      </w:r>
      <w:r>
        <w:rPr>
          <w:rFonts w:hint="eastAsia"/>
        </w:rPr>
        <w:t>)</w:t>
      </w:r>
      <w:r>
        <w:t xml:space="preserve">  </w:t>
      </w:r>
      <w:r>
        <w:rPr>
          <w:rFonts w:hint="eastAsia"/>
        </w:rPr>
        <w:t>施工阶段临时支撑的设置应考虑风荷载的影响。</w:t>
      </w:r>
    </w:p>
    <w:p>
      <w:pPr>
        <w:pStyle w:val="58"/>
        <w:ind w:firstLine="0" w:firstLineChars="0"/>
        <w:rPr>
          <w:rFonts w:hAnsi="黑体"/>
          <w:bCs/>
        </w:rPr>
      </w:pPr>
      <w:r>
        <w:rPr>
          <w:rFonts w:hint="eastAsia" w:ascii="黑体" w:hAnsi="黑体" w:eastAsia="黑体"/>
        </w:rPr>
        <w:t>4.</w:t>
      </w:r>
      <w:r>
        <w:rPr>
          <w:rFonts w:ascii="黑体" w:hAnsi="黑体" w:eastAsia="黑体"/>
        </w:rPr>
        <w:t>4.4</w:t>
      </w:r>
      <w:r>
        <w:rPr>
          <w:rFonts w:hint="eastAsia" w:ascii="黑体" w:hAnsi="黑体" w:eastAsia="黑体"/>
        </w:rPr>
        <w:t xml:space="preserve"> </w:t>
      </w:r>
      <w:r>
        <w:rPr>
          <w:rFonts w:hint="eastAsia" w:hAnsi="黑体"/>
          <w:bCs/>
        </w:rPr>
        <w:t>对于正常使用极限状态，预制预应力混凝土装配整体式结构的结构构件应分别按荷载的准永久组合并考虑长期作用的影响或标准组合并考虑长期作用的影响，采用下列极限状态设计表达式进行验算：</w:t>
      </w:r>
    </w:p>
    <w:p>
      <w:pPr>
        <w:pStyle w:val="58"/>
        <w:ind w:firstLine="0" w:firstLineChars="0"/>
        <w:jc w:val="center"/>
        <w:rPr>
          <w:rFonts w:hAnsi="黑体"/>
          <w:bCs/>
        </w:rPr>
      </w:pPr>
      <w:r>
        <w:rPr>
          <w:rFonts w:hint="eastAsia"/>
        </w:rPr>
        <w:drawing>
          <wp:inline distT="0" distB="0" distL="0" distR="0">
            <wp:extent cx="5257800" cy="38100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257800" cy="381000"/>
                    </a:xfrm>
                    <a:prstGeom prst="rect">
                      <a:avLst/>
                    </a:prstGeom>
                    <a:noFill/>
                    <a:ln>
                      <a:noFill/>
                    </a:ln>
                  </pic:spPr>
                </pic:pic>
              </a:graphicData>
            </a:graphic>
          </wp:inline>
        </w:drawing>
      </w:r>
    </w:p>
    <w:p>
      <w:pPr>
        <w:spacing w:line="240" w:lineRule="auto"/>
        <w:ind w:firstLine="420" w:firstLineChars="200"/>
      </w:pPr>
      <w:r>
        <w:rPr>
          <w:rFonts w:hint="eastAsia"/>
        </w:rPr>
        <w:t>式中：</w:t>
      </w:r>
    </w:p>
    <w:tbl>
      <w:tblPr>
        <w:tblStyle w:val="27"/>
        <w:tblW w:w="9329" w:type="dxa"/>
        <w:tblInd w:w="135" w:type="dxa"/>
        <w:tblLayout w:type="fixed"/>
        <w:tblCellMar>
          <w:top w:w="0" w:type="dxa"/>
          <w:left w:w="108" w:type="dxa"/>
          <w:bottom w:w="0" w:type="dxa"/>
          <w:right w:w="108" w:type="dxa"/>
        </w:tblCellMar>
      </w:tblPr>
      <w:tblGrid>
        <w:gridCol w:w="824"/>
        <w:gridCol w:w="850"/>
        <w:gridCol w:w="7655"/>
      </w:tblGrid>
      <w:tr>
        <w:trPr>
          <w:trHeight w:val="443" w:hRule="atLeast"/>
        </w:trPr>
        <w:tc>
          <w:tcPr>
            <w:tcW w:w="824" w:type="dxa"/>
            <w:vAlign w:val="center"/>
          </w:tcPr>
          <w:p>
            <w:pPr>
              <w:autoSpaceDE w:val="0"/>
              <w:snapToGrid w:val="0"/>
              <w:spacing w:line="240" w:lineRule="auto"/>
              <w:ind w:right="-286" w:rightChars="-136"/>
              <w:jc w:val="right"/>
              <w:rPr>
                <w:rFonts w:ascii="宋体" w:hAnsi="宋体"/>
                <w:color w:val="000000"/>
                <w:sz w:val="28"/>
                <w:szCs w:val="28"/>
              </w:rPr>
            </w:pPr>
            <w:r>
              <w:rPr>
                <w:rFonts w:ascii="Cambria Math" w:hAnsi="Cambria Math"/>
                <w:i/>
                <w:iCs/>
                <w:sz w:val="28"/>
                <w:szCs w:val="28"/>
              </w:rPr>
              <w:t>S</w:t>
            </w:r>
            <w:r>
              <w:rPr>
                <w:rFonts w:ascii="Cambria Math" w:hAnsi="Cambria Math"/>
                <w:sz w:val="28"/>
                <w:szCs w:val="28"/>
                <w:vertAlign w:val="subscript"/>
              </w:rPr>
              <w:t>d</w:t>
            </w:r>
            <w:r>
              <w:rPr>
                <w:rFonts w:hint="eastAsia" w:ascii="Cambria Math" w:hAnsi="Cambria Math"/>
                <w:sz w:val="28"/>
                <w:szCs w:val="28"/>
                <w:vertAlign w:val="subscript"/>
              </w:rPr>
              <w:t> </w:t>
            </w:r>
            <w:r>
              <w:drawing>
                <wp:inline distT="0" distB="0" distL="0" distR="0">
                  <wp:extent cx="161925" cy="31432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161925" cy="314325"/>
                          </a:xfrm>
                          <a:prstGeom prst="rect">
                            <a:avLst/>
                          </a:prstGeom>
                          <a:noFill/>
                          <a:ln>
                            <a:noFill/>
                          </a:ln>
                        </pic:spPr>
                      </pic:pic>
                    </a:graphicData>
                  </a:graphic>
                </wp:inline>
              </w:drawing>
            </w:r>
          </w:p>
        </w:tc>
        <w:tc>
          <w:tcPr>
            <w:tcW w:w="850" w:type="dxa"/>
            <w:vAlign w:val="center"/>
          </w:tcPr>
          <w:p>
            <w:pPr>
              <w:autoSpaceDE w:val="0"/>
              <w:snapToGrid w:val="0"/>
              <w:spacing w:line="240" w:lineRule="auto"/>
              <w:jc w:val="center"/>
              <w:rPr>
                <w:rFonts w:ascii="Times New Roman" w:hAnsi="Times New Roman"/>
                <w:color w:val="000000"/>
                <w:sz w:val="28"/>
                <w:szCs w:val="28"/>
              </w:rPr>
            </w:pPr>
            <w:r>
              <w:rPr>
                <w:rFonts w:ascii="Times New Roman" w:hAnsi="Times New Roman"/>
                <w:color w:val="000000"/>
                <w:sz w:val="28"/>
                <w:szCs w:val="28"/>
              </w:rPr>
              <w:t>——</w:t>
            </w:r>
          </w:p>
        </w:tc>
        <w:tc>
          <w:tcPr>
            <w:tcW w:w="7655" w:type="dxa"/>
            <w:vAlign w:val="center"/>
          </w:tcPr>
          <w:p>
            <w:pPr>
              <w:autoSpaceDE w:val="0"/>
              <w:snapToGrid w:val="0"/>
              <w:spacing w:line="240" w:lineRule="auto"/>
              <w:rPr>
                <w:rFonts w:ascii="Times New Roman" w:hAnsi="Times New Roman"/>
                <w:sz w:val="28"/>
                <w:szCs w:val="28"/>
              </w:rPr>
            </w:pPr>
            <w:r>
              <w:t>作用组合的效应设计值；</w:t>
            </w:r>
          </w:p>
        </w:tc>
      </w:tr>
      <w:tr>
        <w:tblPrEx>
          <w:tblCellMar>
            <w:top w:w="0" w:type="dxa"/>
            <w:left w:w="108" w:type="dxa"/>
            <w:bottom w:w="0" w:type="dxa"/>
            <w:right w:w="108" w:type="dxa"/>
          </w:tblCellMar>
        </w:tblPrEx>
        <w:trPr>
          <w:trHeight w:val="443" w:hRule="atLeast"/>
        </w:trPr>
        <w:tc>
          <w:tcPr>
            <w:tcW w:w="824" w:type="dxa"/>
            <w:vAlign w:val="center"/>
          </w:tcPr>
          <w:p>
            <w:pPr>
              <w:autoSpaceDE w:val="0"/>
              <w:snapToGrid w:val="0"/>
              <w:spacing w:line="240" w:lineRule="auto"/>
              <w:jc w:val="right"/>
              <w:rPr>
                <w:rFonts w:ascii="宋体" w:hAnsi="宋体"/>
                <w:color w:val="000000"/>
                <w:sz w:val="28"/>
                <w:szCs w:val="28"/>
              </w:rPr>
            </w:pPr>
            <w:r>
              <w:rPr>
                <w:i/>
                <w:iCs/>
                <w:sz w:val="28"/>
                <w:szCs w:val="28"/>
              </w:rPr>
              <w:t>C</w:t>
            </w:r>
          </w:p>
        </w:tc>
        <w:tc>
          <w:tcPr>
            <w:tcW w:w="850" w:type="dxa"/>
            <w:vAlign w:val="center"/>
          </w:tcPr>
          <w:p>
            <w:pPr>
              <w:autoSpaceDE w:val="0"/>
              <w:snapToGrid w:val="0"/>
              <w:spacing w:line="240" w:lineRule="auto"/>
              <w:jc w:val="center"/>
              <w:rPr>
                <w:rFonts w:ascii="Times New Roman" w:hAnsi="Times New Roman"/>
                <w:color w:val="000000"/>
                <w:sz w:val="28"/>
                <w:szCs w:val="28"/>
              </w:rPr>
            </w:pPr>
            <w:r>
              <w:rPr>
                <w:rFonts w:ascii="Times New Roman" w:hAnsi="Times New Roman"/>
                <w:color w:val="000000"/>
                <w:sz w:val="28"/>
                <w:szCs w:val="28"/>
              </w:rPr>
              <w:t>——</w:t>
            </w:r>
          </w:p>
        </w:tc>
        <w:tc>
          <w:tcPr>
            <w:tcW w:w="7655" w:type="dxa"/>
          </w:tcPr>
          <w:p>
            <w:pPr>
              <w:autoSpaceDE w:val="0"/>
              <w:snapToGrid w:val="0"/>
              <w:spacing w:line="240" w:lineRule="auto"/>
              <w:rPr>
                <w:rFonts w:ascii="Times New Roman" w:hAnsi="Times New Roman"/>
                <w:sz w:val="28"/>
                <w:szCs w:val="28"/>
              </w:rPr>
            </w:pPr>
            <w:r>
              <w:t>设计对变形、裂缝等规定的相应限值，应按现行国家标准《混凝土结构设计规范》</w:t>
            </w:r>
            <w:r>
              <w:rPr>
                <w:rFonts w:hint="eastAsia"/>
              </w:rPr>
              <w:t>GB 50010</w:t>
            </w:r>
            <w:r>
              <w:t>的规定采用。</w:t>
            </w:r>
          </w:p>
        </w:tc>
      </w:tr>
    </w:tbl>
    <w:p>
      <w:pPr>
        <w:pStyle w:val="58"/>
        <w:ind w:firstLine="0" w:firstLineChars="0"/>
        <w:rPr>
          <w:rFonts w:hAnsi="黑体"/>
          <w:bCs/>
        </w:rPr>
      </w:pPr>
      <w:r>
        <w:rPr>
          <w:rFonts w:hint="eastAsia" w:ascii="黑体" w:hAnsi="黑体" w:eastAsia="黑体"/>
        </w:rPr>
        <w:t>4.</w:t>
      </w:r>
      <w:r>
        <w:rPr>
          <w:rFonts w:ascii="黑体" w:hAnsi="黑体" w:eastAsia="黑体"/>
        </w:rPr>
        <w:t>4.5</w:t>
      </w:r>
      <w:r>
        <w:rPr>
          <w:rFonts w:hint="eastAsia" w:ascii="黑体" w:hAnsi="黑体" w:eastAsia="黑体"/>
        </w:rPr>
        <w:t xml:space="preserve"> </w:t>
      </w:r>
      <w:r>
        <w:rPr>
          <w:rFonts w:hint="eastAsia" w:hAnsi="黑体"/>
          <w:bCs/>
        </w:rPr>
        <w:t>基本组合的作用分项系数应按下列规定取值：</w:t>
      </w:r>
    </w:p>
    <w:p>
      <w:pPr>
        <w:pStyle w:val="58"/>
        <w:ind w:left="840" w:leftChars="200" w:hanging="420" w:hangingChars="200"/>
        <w:rPr>
          <w:rFonts w:hAnsi="黑体"/>
          <w:bCs/>
        </w:rPr>
      </w:pPr>
      <w:r>
        <w:t>a</w:t>
      </w:r>
      <w:r>
        <w:rPr>
          <w:rFonts w:hint="eastAsia"/>
        </w:rPr>
        <w:t>)</w:t>
      </w:r>
      <w:r>
        <w:t xml:space="preserve">  </w:t>
      </w:r>
      <w:r>
        <w:rPr>
          <w:rFonts w:hint="eastAsia"/>
        </w:rPr>
        <w:t>永久作用：当对结构不利时，不应小于1.3；当对结构有利时，不应大于1.0；</w:t>
      </w:r>
    </w:p>
    <w:p>
      <w:pPr>
        <w:pStyle w:val="58"/>
        <w:ind w:left="840" w:leftChars="200" w:hanging="420" w:hangingChars="200"/>
        <w:rPr>
          <w:rFonts w:hAnsi="黑体"/>
          <w:bCs/>
        </w:rPr>
      </w:pPr>
      <w:r>
        <w:t>b</w:t>
      </w:r>
      <w:r>
        <w:rPr>
          <w:rFonts w:hint="eastAsia"/>
        </w:rPr>
        <w:t>)</w:t>
      </w:r>
      <w:r>
        <w:t xml:space="preserve">  </w:t>
      </w:r>
      <w:r>
        <w:rPr>
          <w:rFonts w:hint="eastAsia"/>
        </w:rPr>
        <w:t>预应力：当对结构不利时，不应小于1.3；当对结构有利时，不应大于1.0；</w:t>
      </w:r>
    </w:p>
    <w:p>
      <w:pPr>
        <w:pStyle w:val="58"/>
        <w:ind w:left="840" w:leftChars="200" w:hanging="420" w:hangingChars="200"/>
      </w:pPr>
      <w:bookmarkStart w:id="90" w:name="_Hlk142553268"/>
      <w:r>
        <w:t>c</w:t>
      </w:r>
      <w:r>
        <w:rPr>
          <w:rFonts w:hint="eastAsia"/>
        </w:rPr>
        <w:t>)</w:t>
      </w:r>
      <w:r>
        <w:t xml:space="preserve">  </w:t>
      </w:r>
      <w:r>
        <w:rPr>
          <w:rFonts w:hint="eastAsia"/>
        </w:rPr>
        <w:t>标准值大于的工业房屋楼面活荷载，当对结构不利时不应小于1.4；当对结构有利时，应取为0；</w:t>
      </w:r>
    </w:p>
    <w:bookmarkEnd w:id="90"/>
    <w:p>
      <w:pPr>
        <w:pStyle w:val="58"/>
        <w:ind w:left="840" w:leftChars="200" w:hanging="420" w:hangingChars="200"/>
        <w:rPr>
          <w:rFonts w:hAnsi="黑体"/>
          <w:bCs/>
        </w:rPr>
      </w:pPr>
      <w:r>
        <w:rPr>
          <w:rFonts w:hAnsi="黑体"/>
          <w:bCs/>
        </w:rPr>
        <w:t>d</w:t>
      </w:r>
      <w:r>
        <w:rPr>
          <w:rFonts w:hint="eastAsia" w:hAnsi="黑体"/>
          <w:bCs/>
        </w:rPr>
        <w:t>)  除第3款之外的可变作用，当对结构不利时不应小于1.5；当对结构有利时，应取为0。</w:t>
      </w:r>
    </w:p>
    <w:p>
      <w:pPr>
        <w:pStyle w:val="58"/>
        <w:ind w:firstLine="0" w:firstLineChars="0"/>
        <w:rPr>
          <w:rFonts w:hAnsi="黑体"/>
          <w:bCs/>
        </w:rPr>
      </w:pPr>
      <w:r>
        <w:rPr>
          <w:rFonts w:hint="eastAsia" w:ascii="黑体" w:hAnsi="黑体" w:eastAsia="黑体"/>
        </w:rPr>
        <w:t>4.</w:t>
      </w:r>
      <w:r>
        <w:rPr>
          <w:rFonts w:ascii="黑体" w:hAnsi="黑体" w:eastAsia="黑体"/>
        </w:rPr>
        <w:t>4.6</w:t>
      </w:r>
      <w:r>
        <w:rPr>
          <w:rFonts w:hint="eastAsia" w:ascii="黑体" w:hAnsi="黑体" w:eastAsia="黑体"/>
        </w:rPr>
        <w:t xml:space="preserve"> </w:t>
      </w:r>
      <w:r>
        <w:rPr>
          <w:rFonts w:hint="eastAsia" w:hAnsi="黑体"/>
          <w:bCs/>
        </w:rPr>
        <w:t>预制预应力混凝土装配整体式结构的结构构件的地震作用效应和其它荷载效应的基本组合，应按现行国家标准《建筑抗震设计规范》GB 50011的有关规定采用。</w:t>
      </w:r>
    </w:p>
    <w:p>
      <w:pPr>
        <w:pStyle w:val="58"/>
        <w:ind w:firstLine="0" w:firstLineChars="0"/>
        <w:rPr>
          <w:bCs/>
          <w:szCs w:val="21"/>
        </w:rPr>
      </w:pPr>
      <w:r>
        <w:rPr>
          <w:rFonts w:ascii="黑体" w:hAnsi="黑体" w:eastAsia="黑体"/>
        </w:rPr>
        <w:t>4</w:t>
      </w:r>
      <w:r>
        <w:rPr>
          <w:rFonts w:hint="eastAsia" w:ascii="黑体" w:hAnsi="黑体" w:eastAsia="黑体"/>
        </w:rPr>
        <w:t>.4.7</w:t>
      </w:r>
      <w:r>
        <w:rPr>
          <w:rFonts w:hint="eastAsia"/>
          <w:bCs/>
          <w:szCs w:val="21"/>
        </w:rPr>
        <w:t xml:space="preserve"> 预制预应力混凝土装配整体式结构的结构构件的截面抗震验算，应按现行国家标准《建筑抗震设计规范》GB 50011的有关规定采用。</w:t>
      </w:r>
    </w:p>
    <w:p>
      <w:pPr>
        <w:pStyle w:val="58"/>
        <w:ind w:firstLine="0" w:firstLineChars="0"/>
        <w:rPr>
          <w:bCs/>
          <w:szCs w:val="21"/>
        </w:rPr>
      </w:pPr>
      <w:r>
        <w:rPr>
          <w:rFonts w:ascii="黑体" w:hAnsi="黑体" w:eastAsia="黑体"/>
        </w:rPr>
        <w:t>4</w:t>
      </w:r>
      <w:r>
        <w:rPr>
          <w:rFonts w:hint="eastAsia" w:ascii="黑体" w:hAnsi="黑体" w:eastAsia="黑体"/>
        </w:rPr>
        <w:t>.4.8</w:t>
      </w:r>
      <w:r>
        <w:rPr>
          <w:rFonts w:hint="eastAsia"/>
          <w:bCs/>
          <w:szCs w:val="21"/>
        </w:rPr>
        <w:t xml:space="preserve"> 预制预应力混凝土装配整体式结构应按现行国家标准《建筑抗震设计规范》GB 50011的规定进行多遇地震作用下的抗震变形验算。</w:t>
      </w:r>
    </w:p>
    <w:p>
      <w:pPr>
        <w:pStyle w:val="58"/>
        <w:ind w:firstLine="0" w:firstLineChars="0"/>
        <w:rPr>
          <w:bCs/>
          <w:szCs w:val="21"/>
        </w:rPr>
      </w:pPr>
      <w:r>
        <w:rPr>
          <w:rFonts w:ascii="黑体" w:hAnsi="黑体" w:eastAsia="黑体"/>
        </w:rPr>
        <w:t>4</w:t>
      </w:r>
      <w:r>
        <w:rPr>
          <w:rFonts w:hint="eastAsia" w:ascii="黑体" w:hAnsi="黑体" w:eastAsia="黑体"/>
        </w:rPr>
        <w:t>.4.9</w:t>
      </w:r>
      <w:r>
        <w:rPr>
          <w:rFonts w:hint="eastAsia"/>
          <w:bCs/>
          <w:szCs w:val="21"/>
        </w:rPr>
        <w:t xml:space="preserve"> 四级框架节点核心区可不进行抗震验算，但应符合抗震构造措施的要求；一、二、三级框架节点核心区应进行抗震验算。核心区截面抗震验算方法应符合现行国家标准《混凝土结构设计规范》GB 50010、《建筑抗震设计规范》GB 50011的有关规定。</w:t>
      </w:r>
    </w:p>
    <w:p>
      <w:pPr>
        <w:pStyle w:val="58"/>
        <w:ind w:firstLine="0" w:firstLineChars="0"/>
        <w:rPr>
          <w:bCs/>
          <w:szCs w:val="21"/>
        </w:rPr>
      </w:pPr>
      <w:r>
        <w:rPr>
          <w:rFonts w:ascii="黑体" w:hAnsi="黑体" w:eastAsia="黑体"/>
        </w:rPr>
        <w:t>4</w:t>
      </w:r>
      <w:r>
        <w:rPr>
          <w:rFonts w:hint="eastAsia" w:ascii="黑体" w:hAnsi="黑体" w:eastAsia="黑体"/>
        </w:rPr>
        <w:t>.4.10</w:t>
      </w:r>
      <w:r>
        <w:rPr>
          <w:rFonts w:hint="eastAsia"/>
          <w:bCs/>
          <w:szCs w:val="21"/>
        </w:rPr>
        <w:t xml:space="preserve"> 在结构内力与位移计算时，梁刚度增大系数可根据翼缘情况近似取为1.3～2.0。</w:t>
      </w:r>
    </w:p>
    <w:p>
      <w:pPr>
        <w:pStyle w:val="106"/>
        <w:numPr>
          <w:ilvl w:val="0"/>
          <w:numId w:val="0"/>
        </w:numPr>
        <w:spacing w:before="312" w:after="312"/>
      </w:pPr>
      <w:bookmarkStart w:id="91" w:name="_Toc98610536"/>
      <w:bookmarkStart w:id="92" w:name="_Toc142923596"/>
      <w:r>
        <w:rPr>
          <w:rFonts w:hint="eastAsia"/>
        </w:rPr>
        <w:t xml:space="preserve">5 </w:t>
      </w:r>
      <w:bookmarkEnd w:id="91"/>
      <w:r>
        <w:rPr>
          <w:rFonts w:hint="eastAsia"/>
        </w:rPr>
        <w:t>结构设计</w:t>
      </w:r>
      <w:bookmarkEnd w:id="92"/>
    </w:p>
    <w:p>
      <w:pPr>
        <w:pStyle w:val="58"/>
        <w:spacing w:before="312" w:beforeLines="100" w:after="312" w:afterLines="100"/>
        <w:ind w:firstLine="0" w:firstLineChars="0"/>
        <w:outlineLvl w:val="1"/>
        <w:rPr>
          <w:rFonts w:ascii="黑体" w:hAnsi="黑体" w:eastAsia="黑体"/>
        </w:rPr>
      </w:pPr>
      <w:bookmarkStart w:id="93" w:name="_Toc142923597"/>
      <w:bookmarkStart w:id="94" w:name="_Toc98610537"/>
      <w:r>
        <w:rPr>
          <w:rFonts w:ascii="黑体" w:hAnsi="黑体" w:eastAsia="黑体"/>
        </w:rPr>
        <w:t>5</w:t>
      </w:r>
      <w:r>
        <w:rPr>
          <w:rFonts w:hint="eastAsia" w:ascii="黑体" w:hAnsi="黑体" w:eastAsia="黑体"/>
        </w:rPr>
        <w:t xml:space="preserve">.1 </w:t>
      </w:r>
      <w:r>
        <w:rPr>
          <w:rFonts w:ascii="黑体" w:hAnsi="黑体" w:eastAsia="黑体"/>
          <w:bCs/>
          <w:szCs w:val="21"/>
        </w:rPr>
        <w:t>一般规定</w:t>
      </w:r>
      <w:bookmarkEnd w:id="93"/>
    </w:p>
    <w:p>
      <w:pPr>
        <w:pStyle w:val="58"/>
        <w:ind w:firstLine="0" w:firstLineChars="0"/>
        <w:rPr>
          <w:rFonts w:hAnsi="黑体"/>
          <w:bCs/>
        </w:rPr>
      </w:pPr>
      <w:r>
        <w:rPr>
          <w:rFonts w:ascii="黑体" w:hAnsi="黑体" w:eastAsia="黑体"/>
        </w:rPr>
        <w:t>5</w:t>
      </w:r>
      <w:r>
        <w:rPr>
          <w:rFonts w:hint="eastAsia" w:ascii="黑体" w:hAnsi="黑体" w:eastAsia="黑体"/>
        </w:rPr>
        <w:t>.1</w:t>
      </w:r>
      <w:r>
        <w:rPr>
          <w:rFonts w:ascii="黑体" w:hAnsi="黑体" w:eastAsia="黑体"/>
        </w:rPr>
        <w:t>.1</w:t>
      </w:r>
      <w:r>
        <w:rPr>
          <w:rFonts w:hint="eastAsia" w:ascii="黑体" w:hAnsi="黑体" w:eastAsia="黑体"/>
        </w:rPr>
        <w:t xml:space="preserve"> </w:t>
      </w:r>
      <w:r>
        <w:rPr>
          <w:rFonts w:hint="eastAsia" w:hAnsi="黑体"/>
          <w:bCs/>
        </w:rPr>
        <w:t>结构构件的轴压比及钢筋配置应符合现行国家标准《混凝土结构设计规范》GB 50010的有关规定。</w:t>
      </w:r>
    </w:p>
    <w:p>
      <w:pPr>
        <w:pStyle w:val="58"/>
        <w:ind w:firstLine="0" w:firstLineChars="0"/>
        <w:rPr>
          <w:rFonts w:hAnsi="黑体"/>
          <w:bCs/>
        </w:rPr>
      </w:pPr>
      <w:bookmarkStart w:id="95" w:name="_Hlk142554172"/>
      <w:r>
        <w:rPr>
          <w:rFonts w:hint="eastAsia" w:ascii="黑体" w:hAnsi="黑体" w:eastAsia="黑体"/>
        </w:rPr>
        <w:t>5.1.</w:t>
      </w:r>
      <w:r>
        <w:rPr>
          <w:rFonts w:ascii="黑体" w:hAnsi="黑体" w:eastAsia="黑体"/>
        </w:rPr>
        <w:t>2</w:t>
      </w:r>
      <w:r>
        <w:rPr>
          <w:rFonts w:hint="eastAsia" w:ascii="黑体" w:hAnsi="黑体" w:eastAsia="黑体"/>
        </w:rPr>
        <w:t xml:space="preserve"> </w:t>
      </w:r>
      <w:r>
        <w:rPr>
          <w:rFonts w:hint="eastAsia" w:hAnsi="黑体"/>
          <w:bCs/>
        </w:rPr>
        <w:t>梁端凹槽和凹槽内U形连接钢筋平直段的长度应符合表</w:t>
      </w:r>
      <w:r>
        <w:rPr>
          <w:rFonts w:hAnsi="黑体"/>
          <w:bCs/>
        </w:rPr>
        <w:t>5</w:t>
      </w:r>
      <w:r>
        <w:rPr>
          <w:rFonts w:hint="eastAsia" w:hAnsi="黑体"/>
          <w:bCs/>
        </w:rPr>
        <w:t>的规定。</w:t>
      </w:r>
    </w:p>
    <w:bookmarkEnd w:id="95"/>
    <w:p>
      <w:pPr>
        <w:pStyle w:val="58"/>
        <w:spacing w:before="156" w:beforeLines="50" w:after="156" w:afterLines="50"/>
        <w:ind w:firstLine="0" w:firstLineChars="0"/>
        <w:jc w:val="center"/>
        <w:rPr>
          <w:rFonts w:ascii="黑体" w:hAnsi="黑体" w:eastAsia="黑体"/>
        </w:rPr>
      </w:pPr>
      <w:bookmarkStart w:id="96" w:name="_Hlk142575007"/>
      <w:r>
        <w:rPr>
          <w:rFonts w:ascii="黑体" w:hAnsi="黑体" w:eastAsia="黑体"/>
        </w:rPr>
        <w:t xml:space="preserve">表5 </w:t>
      </w:r>
      <w:r>
        <w:rPr>
          <w:rFonts w:hint="eastAsia" w:ascii="黑体" w:hAnsi="黑体" w:eastAsia="黑体"/>
        </w:rPr>
        <w:t>梁端凹槽和凹槽内U形连接钢筋平直段的长度</w:t>
      </w:r>
    </w:p>
    <w:bookmarkEnd w:id="96"/>
    <w:p>
      <w:pPr>
        <w:spacing w:line="240" w:lineRule="auto"/>
        <w:ind w:right="-2"/>
        <w:jc w:val="right"/>
      </w:pPr>
      <w:r>
        <w:rPr>
          <w:rFonts w:ascii="黑体" w:hAnsi="黑体" w:eastAsia="黑体"/>
        </w:rPr>
        <w:t xml:space="preserve"> </w:t>
      </w:r>
      <w:r>
        <w:rPr>
          <w:rFonts w:hint="eastAsia" w:ascii="宋体" w:hAnsi="宋体"/>
          <w:sz w:val="18"/>
          <w:szCs w:val="18"/>
        </w:rPr>
        <w:t>单位为毫米</w:t>
      </w:r>
    </w:p>
    <w:tbl>
      <w:tblPr>
        <w:tblStyle w:val="27"/>
        <w:tblW w:w="9291"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3433"/>
        <w:gridCol w:w="585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33" w:type="dxa"/>
            <w:tcBorders>
              <w:top w:val="single" w:color="auto" w:sz="12" w:space="0"/>
              <w:left w:val="single" w:color="auto" w:sz="12" w:space="0"/>
              <w:bottom w:val="single" w:color="auto" w:sz="12"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凹槽长度</w:t>
            </w:r>
            <w:r>
              <w:rPr>
                <w:rFonts w:ascii="宋体" w:hAnsi="宋体"/>
                <w:i/>
                <w:iCs/>
                <w:sz w:val="18"/>
                <w:szCs w:val="18"/>
              </w:rPr>
              <w:t>L</w:t>
            </w:r>
            <w:r>
              <w:rPr>
                <w:rFonts w:ascii="宋体" w:hAnsi="宋体"/>
                <w:sz w:val="18"/>
                <w:szCs w:val="18"/>
                <w:vertAlign w:val="subscript"/>
              </w:rPr>
              <w:t>j</w:t>
            </w:r>
          </w:p>
        </w:tc>
        <w:tc>
          <w:tcPr>
            <w:tcW w:w="5858" w:type="dxa"/>
            <w:tcBorders>
              <w:top w:val="single" w:color="auto" w:sz="12" w:space="0"/>
              <w:left w:val="single" w:color="auto" w:sz="4" w:space="0"/>
              <w:bottom w:val="single" w:color="auto" w:sz="12" w:space="0"/>
              <w:right w:val="single" w:color="auto" w:sz="12"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凹槽内U</w:t>
            </w:r>
            <w:r>
              <w:rPr>
                <w:rFonts w:hint="eastAsia" w:ascii="宋体" w:hAnsi="宋体"/>
                <w:sz w:val="18"/>
                <w:szCs w:val="18"/>
              </w:rPr>
              <w:t>形连接</w:t>
            </w:r>
            <w:r>
              <w:rPr>
                <w:rFonts w:ascii="宋体" w:hAnsi="宋体"/>
                <w:sz w:val="18"/>
                <w:szCs w:val="18"/>
              </w:rPr>
              <w:t>钢筋平直段的长度</w:t>
            </w:r>
            <w:r>
              <w:rPr>
                <w:rFonts w:ascii="宋体" w:hAnsi="宋体"/>
                <w:i/>
                <w:iCs/>
                <w:sz w:val="18"/>
                <w:szCs w:val="18"/>
              </w:rPr>
              <w:t>L</w:t>
            </w:r>
            <w:r>
              <w:rPr>
                <w:rFonts w:ascii="宋体" w:hAnsi="宋体"/>
                <w:sz w:val="18"/>
                <w:szCs w:val="18"/>
                <w:vertAlign w:val="subscript"/>
              </w:rPr>
              <w:t>u</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33" w:type="dxa"/>
            <w:tcBorders>
              <w:top w:val="single" w:color="auto" w:sz="12" w:space="0"/>
              <w:left w:val="single" w:color="auto" w:sz="12" w:space="0"/>
              <w:bottom w:val="single" w:color="auto" w:sz="4" w:space="0"/>
              <w:right w:val="single" w:color="auto" w:sz="4"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0.5</w:t>
            </w:r>
            <w:r>
              <w:rPr>
                <w:rFonts w:ascii="Times New Roman" w:hAnsi="Times New Roman"/>
                <w:i/>
                <w:iCs/>
              </w:rPr>
              <w:t>l</w:t>
            </w:r>
            <w:r>
              <w:rPr>
                <w:rFonts w:ascii="Times New Roman" w:hAnsi="Times New Roman"/>
                <w:i/>
                <w:iCs/>
                <w:vertAlign w:val="subscript"/>
              </w:rPr>
              <w:t>lE</w:t>
            </w:r>
            <w:r>
              <w:rPr>
                <w:rFonts w:ascii="宋体" w:hAnsi="宋体"/>
                <w:sz w:val="18"/>
                <w:szCs w:val="18"/>
              </w:rPr>
              <w:t>+50与400的较大值</w:t>
            </w:r>
          </w:p>
        </w:tc>
        <w:tc>
          <w:tcPr>
            <w:tcW w:w="5858" w:type="dxa"/>
            <w:tcBorders>
              <w:top w:val="single" w:color="auto" w:sz="12" w:space="0"/>
              <w:left w:val="single" w:color="auto" w:sz="4" w:space="0"/>
              <w:bottom w:val="single" w:color="auto" w:sz="4" w:space="0"/>
              <w:right w:val="single" w:color="auto" w:sz="12" w:space="0"/>
            </w:tcBorders>
            <w:vAlign w:val="center"/>
          </w:tcPr>
          <w:p>
            <w:pPr>
              <w:autoSpaceDE w:val="0"/>
              <w:adjustRightInd/>
              <w:spacing w:line="240" w:lineRule="auto"/>
              <w:jc w:val="center"/>
              <w:rPr>
                <w:rFonts w:ascii="宋体" w:hAnsi="宋体"/>
                <w:sz w:val="18"/>
                <w:szCs w:val="18"/>
              </w:rPr>
            </w:pPr>
            <w:r>
              <w:rPr>
                <w:rFonts w:ascii="宋体" w:hAnsi="宋体"/>
                <w:sz w:val="18"/>
                <w:szCs w:val="18"/>
              </w:rPr>
              <w:t>0.5</w:t>
            </w:r>
            <w:r>
              <w:rPr>
                <w:rFonts w:ascii="Times New Roman" w:hAnsi="Times New Roman"/>
                <w:i/>
                <w:iCs/>
              </w:rPr>
              <w:t>l</w:t>
            </w:r>
            <w:r>
              <w:rPr>
                <w:rFonts w:ascii="Times New Roman" w:hAnsi="Times New Roman"/>
                <w:i/>
                <w:iCs/>
                <w:vertAlign w:val="subscript"/>
              </w:rPr>
              <w:t>lE</w:t>
            </w:r>
            <w:r>
              <w:rPr>
                <w:rFonts w:ascii="宋体" w:hAnsi="宋体"/>
                <w:sz w:val="18"/>
                <w:szCs w:val="18"/>
              </w:rPr>
              <w:t>与350的较大值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291" w:type="dxa"/>
            <w:gridSpan w:val="2"/>
            <w:tcBorders>
              <w:top w:val="single" w:color="auto" w:sz="4" w:space="0"/>
              <w:left w:val="single" w:color="auto" w:sz="12" w:space="0"/>
              <w:bottom w:val="single" w:color="auto" w:sz="12" w:space="0"/>
              <w:right w:val="single" w:color="auto" w:sz="12" w:space="0"/>
            </w:tcBorders>
            <w:vAlign w:val="center"/>
          </w:tcPr>
          <w:p>
            <w:pPr>
              <w:autoSpaceDE w:val="0"/>
              <w:adjustRightInd/>
              <w:spacing w:line="240" w:lineRule="auto"/>
              <w:jc w:val="left"/>
              <w:rPr>
                <w:rFonts w:ascii="宋体" w:hAnsi="宋体"/>
                <w:sz w:val="18"/>
                <w:szCs w:val="18"/>
              </w:rPr>
            </w:pPr>
            <w:r>
              <w:rPr>
                <w:rFonts w:hint="eastAsia" w:ascii="黑体" w:hAnsi="黑体" w:eastAsia="黑体"/>
                <w:sz w:val="18"/>
                <w:szCs w:val="18"/>
              </w:rPr>
              <w:t>注</w:t>
            </w:r>
            <w:r>
              <w:rPr>
                <w:rFonts w:hint="eastAsia" w:ascii="宋体" w:hAnsi="宋体"/>
                <w:sz w:val="18"/>
                <w:szCs w:val="18"/>
              </w:rPr>
              <w:t>：表中</w:t>
            </w:r>
            <w:r>
              <w:rPr>
                <w:rFonts w:ascii="Times New Roman" w:hAnsi="Times New Roman"/>
                <w:i/>
                <w:iCs/>
              </w:rPr>
              <w:t>l</w:t>
            </w:r>
            <w:r>
              <w:rPr>
                <w:rFonts w:ascii="Times New Roman" w:hAnsi="Times New Roman"/>
                <w:i/>
                <w:iCs/>
                <w:vertAlign w:val="subscript"/>
              </w:rPr>
              <w:t>lE</w:t>
            </w:r>
            <w:r>
              <w:rPr>
                <w:rFonts w:hint="eastAsia" w:ascii="宋体" w:hAnsi="宋体"/>
                <w:sz w:val="18"/>
                <w:szCs w:val="18"/>
              </w:rPr>
              <w:t>为U形连接钢筋搭接长度。</w:t>
            </w:r>
          </w:p>
        </w:tc>
      </w:tr>
    </w:tbl>
    <w:p>
      <w:pPr>
        <w:pStyle w:val="58"/>
        <w:ind w:firstLine="0" w:firstLineChars="0"/>
        <w:rPr>
          <w:rFonts w:ascii="黑体" w:hAnsi="黑体" w:eastAsia="黑体"/>
        </w:rPr>
      </w:pPr>
    </w:p>
    <w:p>
      <w:pPr>
        <w:pStyle w:val="58"/>
        <w:ind w:firstLine="0" w:firstLineChars="0"/>
        <w:rPr>
          <w:rFonts w:hAnsi="黑体"/>
          <w:bCs/>
        </w:rPr>
      </w:pPr>
      <w:r>
        <w:rPr>
          <w:rFonts w:hint="eastAsia" w:ascii="黑体" w:hAnsi="黑体" w:eastAsia="黑体"/>
        </w:rPr>
        <w:t>5.1.</w:t>
      </w:r>
      <w:r>
        <w:rPr>
          <w:rFonts w:ascii="黑体" w:hAnsi="黑体" w:eastAsia="黑体"/>
        </w:rPr>
        <w:t>3</w:t>
      </w:r>
      <w:r>
        <w:rPr>
          <w:rFonts w:hint="eastAsia" w:ascii="黑体" w:hAnsi="黑体" w:eastAsia="黑体"/>
        </w:rPr>
        <w:t xml:space="preserve"> </w:t>
      </w:r>
      <w:r>
        <w:rPr>
          <w:rFonts w:hint="eastAsia" w:hAnsi="黑体"/>
          <w:bCs/>
        </w:rPr>
        <w:t>框架梁梁端截面的底部伸入节点的U形连接钢筋面积及伸入节点的底部普通钢筋面积之和不应少于按计算所需的支座梁底钢筋，且其与顶部纵向受力钢筋截面面积的比值，一级抗震等级不应小于0.55，二、三级抗震等级不应小于0.4。</w:t>
      </w:r>
    </w:p>
    <w:p>
      <w:pPr>
        <w:pStyle w:val="58"/>
        <w:ind w:firstLine="0" w:firstLineChars="0"/>
        <w:rPr>
          <w:rFonts w:hAnsi="黑体"/>
          <w:bCs/>
        </w:rPr>
      </w:pPr>
      <w:r>
        <w:rPr>
          <w:rFonts w:hint="eastAsia" w:ascii="黑体" w:hAnsi="黑体" w:eastAsia="黑体"/>
        </w:rPr>
        <w:t>5.1.</w:t>
      </w:r>
      <w:r>
        <w:rPr>
          <w:rFonts w:ascii="黑体" w:hAnsi="黑体" w:eastAsia="黑体"/>
        </w:rPr>
        <w:t>4</w:t>
      </w:r>
      <w:r>
        <w:rPr>
          <w:rFonts w:hint="eastAsia" w:ascii="黑体" w:hAnsi="黑体" w:eastAsia="黑体"/>
        </w:rPr>
        <w:t xml:space="preserve"> </w:t>
      </w:r>
      <w:r>
        <w:rPr>
          <w:rFonts w:hint="eastAsia" w:hAnsi="黑体"/>
          <w:bCs/>
        </w:rPr>
        <w:t>抗震设防烈度7度及以下地区的框架可采用凹槽节点、无凹槽节点。抗震设防烈度8度区一级抗震等级的框架应采用无凹槽形式</w:t>
      </w:r>
      <w:r>
        <w:rPr>
          <w:rFonts w:hint="eastAsia" w:hAnsi="黑体"/>
          <w:bCs/>
          <w:lang w:eastAsia="zh-CN"/>
        </w:rPr>
        <w:t>，</w:t>
      </w:r>
      <w:r>
        <w:rPr>
          <w:rFonts w:hint="eastAsia" w:hAnsi="黑体"/>
          <w:bCs/>
        </w:rPr>
        <w:t>8度区二级抗震等级的框架宜采用无凹槽形式</w:t>
      </w:r>
      <w:r>
        <w:rPr>
          <w:rFonts w:hint="eastAsia" w:hAnsi="黑体"/>
          <w:bCs/>
          <w:lang w:eastAsia="zh-CN"/>
        </w:rPr>
        <w:t>，</w:t>
      </w:r>
      <w:r>
        <w:rPr>
          <w:rFonts w:hint="eastAsia" w:hAnsi="黑体"/>
          <w:bCs/>
        </w:rPr>
        <w:t>高度不超过12m，且层数不超过三层的框架可采用凹槽节点。</w:t>
      </w:r>
    </w:p>
    <w:p>
      <w:pPr>
        <w:pStyle w:val="58"/>
        <w:ind w:firstLine="0" w:firstLineChars="0"/>
        <w:rPr>
          <w:rFonts w:hAnsi="黑体"/>
          <w:bCs/>
        </w:rPr>
      </w:pPr>
      <w:r>
        <w:rPr>
          <w:rFonts w:hint="eastAsia" w:ascii="黑体" w:hAnsi="黑体" w:eastAsia="黑体"/>
        </w:rPr>
        <w:t>5.1.</w:t>
      </w:r>
      <w:r>
        <w:rPr>
          <w:rFonts w:ascii="黑体" w:hAnsi="黑体" w:eastAsia="黑体"/>
        </w:rPr>
        <w:t>5</w:t>
      </w:r>
      <w:r>
        <w:rPr>
          <w:rFonts w:hint="eastAsia" w:ascii="黑体" w:hAnsi="黑体" w:eastAsia="黑体"/>
        </w:rPr>
        <w:t xml:space="preserve"> </w:t>
      </w:r>
      <w:r>
        <w:rPr>
          <w:rFonts w:hint="eastAsia" w:hAnsi="黑体"/>
          <w:bCs/>
        </w:rPr>
        <w:t>抗震设防烈度8度区采用无凹槽形式时，沿梁全长底面应至少配置两根通长的纵向钢筋，钢筋直径不应小于14mm，其面积不应少于梁底面纵向受力钢筋中最大钢筋截面面积的1/3，计算底部纵向受力钢筋截面面积时，应将预应力筋按抗拉强度设计值换算为普通钢筋截面面积。</w:t>
      </w:r>
    </w:p>
    <w:p>
      <w:pPr>
        <w:pStyle w:val="58"/>
        <w:ind w:firstLine="0" w:firstLineChars="0"/>
        <w:rPr>
          <w:rFonts w:hAnsi="黑体"/>
          <w:bCs/>
        </w:rPr>
      </w:pPr>
      <w:r>
        <w:rPr>
          <w:rFonts w:ascii="黑体" w:hAnsi="黑体" w:eastAsia="黑体"/>
        </w:rPr>
        <w:t>5</w:t>
      </w:r>
      <w:r>
        <w:rPr>
          <w:rFonts w:hint="eastAsia" w:ascii="黑体" w:hAnsi="黑体" w:eastAsia="黑体"/>
        </w:rPr>
        <w:t>.1.6</w:t>
      </w:r>
      <w:r>
        <w:rPr>
          <w:rFonts w:hint="eastAsia" w:hAnsi="黑体"/>
          <w:bCs/>
        </w:rPr>
        <w:t xml:space="preserve"> 抗震设防烈度8度区采用无凹槽形式时，框架梁的预制梁底面纵向普通钢筋配筋率不应小于0.2%。</w:t>
      </w:r>
    </w:p>
    <w:p>
      <w:pPr>
        <w:pStyle w:val="58"/>
        <w:ind w:firstLine="0" w:firstLineChars="0"/>
        <w:rPr>
          <w:rFonts w:hAnsi="黑体"/>
          <w:bCs/>
        </w:rPr>
      </w:pPr>
      <w:r>
        <w:rPr>
          <w:rFonts w:ascii="黑体" w:hAnsi="黑体" w:eastAsia="黑体"/>
        </w:rPr>
        <w:t>5</w:t>
      </w:r>
      <w:r>
        <w:rPr>
          <w:rFonts w:hint="eastAsia" w:ascii="黑体" w:hAnsi="黑体" w:eastAsia="黑体"/>
        </w:rPr>
        <w:t>.1.7</w:t>
      </w:r>
      <w:r>
        <w:rPr>
          <w:rFonts w:hint="eastAsia" w:hAnsi="黑体"/>
          <w:bCs/>
        </w:rPr>
        <w:t xml:space="preserve"> 预制板端部预应力筋外露长度不宜小于150mm，预制板搁置于梁边的长度不宜小于10mm。预应力钢丝的混凝土保护层厚度不应小于20mm。</w:t>
      </w:r>
    </w:p>
    <w:p>
      <w:pPr>
        <w:pStyle w:val="58"/>
        <w:ind w:firstLine="0" w:firstLineChars="0"/>
        <w:rPr>
          <w:rFonts w:hAnsi="黑体"/>
          <w:bCs/>
        </w:rPr>
      </w:pPr>
      <w:r>
        <w:rPr>
          <w:rFonts w:ascii="黑体" w:hAnsi="黑体" w:eastAsia="黑体"/>
        </w:rPr>
        <w:t>5</w:t>
      </w:r>
      <w:r>
        <w:rPr>
          <w:rFonts w:hint="eastAsia" w:ascii="黑体" w:hAnsi="黑体" w:eastAsia="黑体"/>
        </w:rPr>
        <w:t>.1.8</w:t>
      </w:r>
      <w:r>
        <w:rPr>
          <w:rFonts w:hint="eastAsia" w:hAnsi="黑体"/>
          <w:bCs/>
        </w:rPr>
        <w:t xml:space="preserve"> 粗糙面的面积不宜小于结合面的80%，预制板的粗糙面凹凸深度不应小于4mm，预制梁端、预制柱端、预制墙端的粗糙面凹凸深度不应小于6mm。</w:t>
      </w:r>
    </w:p>
    <w:p>
      <w:pPr>
        <w:pStyle w:val="58"/>
        <w:spacing w:before="312" w:beforeLines="100" w:after="312" w:afterLines="100"/>
        <w:ind w:firstLine="0" w:firstLineChars="0"/>
        <w:outlineLvl w:val="1"/>
        <w:rPr>
          <w:rFonts w:ascii="黑体" w:hAnsi="黑体" w:eastAsia="黑体"/>
        </w:rPr>
      </w:pPr>
      <w:bookmarkStart w:id="97" w:name="_Toc142923598"/>
      <w:r>
        <w:rPr>
          <w:rFonts w:ascii="黑体" w:hAnsi="黑体" w:eastAsia="黑体"/>
        </w:rPr>
        <w:t>5</w:t>
      </w:r>
      <w:r>
        <w:rPr>
          <w:rFonts w:hint="eastAsia" w:ascii="黑体" w:hAnsi="黑体" w:eastAsia="黑体"/>
        </w:rPr>
        <w:t>.</w:t>
      </w:r>
      <w:r>
        <w:rPr>
          <w:rFonts w:ascii="黑体" w:hAnsi="黑体" w:eastAsia="黑体"/>
        </w:rPr>
        <w:t>2</w:t>
      </w:r>
      <w:r>
        <w:rPr>
          <w:rFonts w:hint="eastAsia" w:ascii="黑体" w:hAnsi="黑体" w:eastAsia="黑体"/>
        </w:rPr>
        <w:t xml:space="preserve"> 结构分析</w:t>
      </w:r>
      <w:bookmarkEnd w:id="97"/>
    </w:p>
    <w:p>
      <w:pPr>
        <w:pStyle w:val="58"/>
        <w:ind w:firstLine="0" w:firstLineChars="0"/>
        <w:rPr>
          <w:rFonts w:hAnsi="黑体"/>
          <w:bCs/>
        </w:rPr>
      </w:pPr>
      <w:r>
        <w:rPr>
          <w:rFonts w:ascii="黑体" w:hAnsi="黑体" w:eastAsia="黑体"/>
        </w:rPr>
        <w:t>5</w:t>
      </w:r>
      <w:r>
        <w:rPr>
          <w:rFonts w:hint="eastAsia" w:ascii="黑体" w:hAnsi="黑体" w:eastAsia="黑体"/>
        </w:rPr>
        <w:t>.</w:t>
      </w:r>
      <w:r>
        <w:rPr>
          <w:rFonts w:ascii="黑体" w:hAnsi="黑体" w:eastAsia="黑体"/>
        </w:rPr>
        <w:t>2.1</w:t>
      </w:r>
      <w:r>
        <w:rPr>
          <w:rFonts w:hint="eastAsia" w:ascii="黑体" w:hAnsi="黑体" w:eastAsia="黑体"/>
        </w:rPr>
        <w:t xml:space="preserve"> </w:t>
      </w:r>
      <w:r>
        <w:rPr>
          <w:rFonts w:hint="eastAsia" w:hAnsi="黑体"/>
          <w:bCs/>
        </w:rPr>
        <w:t>预制预应力混凝土装配整体式结构的内力和变形应按施工、使用两个阶段分别计算：</w:t>
      </w:r>
    </w:p>
    <w:p>
      <w:pPr>
        <w:pStyle w:val="58"/>
        <w:ind w:left="840" w:leftChars="200" w:hanging="420" w:hangingChars="200"/>
        <w:rPr>
          <w:rFonts w:hint="eastAsia" w:eastAsia="宋体"/>
          <w:bCs/>
          <w:szCs w:val="21"/>
          <w:lang w:eastAsia="zh-CN"/>
        </w:rPr>
      </w:pPr>
      <w:bookmarkStart w:id="98" w:name="_Hlk142554772"/>
      <w:r>
        <w:t>a</w:t>
      </w:r>
      <w:r>
        <w:rPr>
          <w:rFonts w:hint="eastAsia"/>
        </w:rPr>
        <w:t>)</w:t>
      </w:r>
      <w:r>
        <w:tab/>
      </w:r>
      <w:r>
        <w:rPr>
          <w:rFonts w:hint="eastAsia"/>
          <w:bCs/>
          <w:szCs w:val="21"/>
        </w:rPr>
        <w:t>施工阶段构件内力应按简支梁或连续梁计算</w:t>
      </w:r>
      <w:r>
        <w:rPr>
          <w:rFonts w:hint="eastAsia"/>
          <w:bCs/>
          <w:szCs w:val="21"/>
          <w:lang w:eastAsia="zh-CN"/>
        </w:rPr>
        <w:t>；</w:t>
      </w:r>
    </w:p>
    <w:p>
      <w:pPr>
        <w:pStyle w:val="58"/>
        <w:ind w:left="840" w:leftChars="200" w:hanging="420" w:hangingChars="200"/>
        <w:rPr>
          <w:bCs/>
          <w:szCs w:val="21"/>
        </w:rPr>
      </w:pPr>
      <w:r>
        <w:t>b</w:t>
      </w:r>
      <w:r>
        <w:rPr>
          <w:rFonts w:hint="eastAsia"/>
        </w:rPr>
        <w:t>)</w:t>
      </w:r>
      <w:r>
        <w:tab/>
      </w:r>
      <w:r>
        <w:rPr>
          <w:rFonts w:hint="eastAsia"/>
          <w:bCs/>
          <w:szCs w:val="21"/>
        </w:rPr>
        <w:t>使用阶段内力应按连续构件计算</w:t>
      </w:r>
      <w:r>
        <w:rPr>
          <w:rFonts w:hint="eastAsia"/>
          <w:bCs/>
          <w:szCs w:val="21"/>
          <w:lang w:eastAsia="zh-CN"/>
        </w:rPr>
        <w:t>，</w:t>
      </w:r>
      <w:r>
        <w:rPr>
          <w:rFonts w:hint="eastAsia"/>
          <w:bCs/>
          <w:szCs w:val="21"/>
        </w:rPr>
        <w:t>次梁支座可按铰接考虑。</w:t>
      </w:r>
    </w:p>
    <w:bookmarkEnd w:id="98"/>
    <w:p>
      <w:pPr>
        <w:pStyle w:val="58"/>
        <w:ind w:firstLine="0" w:firstLineChars="0"/>
        <w:rPr>
          <w:rFonts w:hAnsi="黑体"/>
          <w:bCs/>
        </w:rPr>
      </w:pPr>
      <w:r>
        <w:rPr>
          <w:rFonts w:ascii="黑体" w:hAnsi="黑体" w:eastAsia="黑体"/>
        </w:rPr>
        <w:t>5</w:t>
      </w:r>
      <w:r>
        <w:rPr>
          <w:rFonts w:hint="eastAsia" w:ascii="黑体" w:hAnsi="黑体" w:eastAsia="黑体"/>
        </w:rPr>
        <w:t>.</w:t>
      </w:r>
      <w:r>
        <w:rPr>
          <w:rFonts w:ascii="黑体" w:hAnsi="黑体" w:eastAsia="黑体"/>
        </w:rPr>
        <w:t>2.2</w:t>
      </w:r>
      <w:r>
        <w:rPr>
          <w:rFonts w:hint="eastAsia" w:ascii="黑体" w:hAnsi="黑体" w:eastAsia="黑体"/>
        </w:rPr>
        <w:t xml:space="preserve"> </w:t>
      </w:r>
      <w:r>
        <w:rPr>
          <w:rFonts w:hint="eastAsia" w:hAnsi="黑体"/>
          <w:bCs/>
        </w:rPr>
        <w:t>预制预应力混凝土装配整体式结构的叠合梁、板宜按施</w:t>
      </w:r>
      <w:bookmarkStart w:id="149" w:name="_GoBack"/>
      <w:bookmarkEnd w:id="149"/>
      <w:r>
        <w:rPr>
          <w:rFonts w:hint="eastAsia" w:hAnsi="黑体"/>
          <w:bCs/>
        </w:rPr>
        <w:t>工阶段有可靠支撑的叠合式受弯构件设计。</w:t>
      </w:r>
    </w:p>
    <w:p>
      <w:pPr>
        <w:pStyle w:val="58"/>
        <w:ind w:firstLine="0" w:firstLineChars="0"/>
        <w:rPr>
          <w:rFonts w:hAnsi="黑体"/>
          <w:bCs/>
        </w:rPr>
      </w:pPr>
      <w:r>
        <w:rPr>
          <w:rFonts w:ascii="黑体" w:hAnsi="黑体" w:eastAsia="黑体"/>
        </w:rPr>
        <w:t>5</w:t>
      </w:r>
      <w:r>
        <w:rPr>
          <w:rFonts w:hint="eastAsia" w:ascii="黑体" w:hAnsi="黑体" w:eastAsia="黑体"/>
        </w:rPr>
        <w:t>.2.3</w:t>
      </w:r>
      <w:r>
        <w:rPr>
          <w:rFonts w:hint="eastAsia"/>
        </w:rPr>
        <w:t xml:space="preserve"> </w:t>
      </w:r>
      <w:r>
        <w:rPr>
          <w:rFonts w:hint="eastAsia" w:hAnsi="黑体"/>
          <w:bCs/>
        </w:rPr>
        <w:t>在各种设计状态下，预制预应力混凝土装配整体式结构可采用与现浇结构相同的方法进行结构分析。</w:t>
      </w:r>
    </w:p>
    <w:p>
      <w:pPr>
        <w:pStyle w:val="58"/>
        <w:ind w:firstLine="0" w:firstLineChars="0"/>
      </w:pPr>
      <w:r>
        <w:rPr>
          <w:rFonts w:ascii="黑体" w:hAnsi="黑体" w:eastAsia="黑体"/>
        </w:rPr>
        <w:t>5</w:t>
      </w:r>
      <w:r>
        <w:rPr>
          <w:rFonts w:hint="eastAsia" w:ascii="黑体" w:hAnsi="黑体" w:eastAsia="黑体"/>
        </w:rPr>
        <w:t>.2.4</w:t>
      </w:r>
      <w:r>
        <w:rPr>
          <w:rFonts w:hint="eastAsia"/>
        </w:rPr>
        <w:t xml:space="preserve"> </w:t>
      </w:r>
      <w:r>
        <w:rPr>
          <w:rFonts w:hint="eastAsia" w:hAnsi="黑体"/>
          <w:bCs/>
        </w:rPr>
        <w:t>抗震设计时，对同一层内既有现浇墙肢也有预制墙肢的装配整体式剪力墙结构，现浇墙肢水平地震作用弯矩、剪力宜乘以不小于1.1的增大系数。</w:t>
      </w:r>
    </w:p>
    <w:p>
      <w:pPr>
        <w:pStyle w:val="58"/>
        <w:ind w:firstLine="0" w:firstLineChars="0"/>
        <w:rPr>
          <w:rFonts w:hAnsi="黑体"/>
          <w:bCs/>
        </w:rPr>
      </w:pPr>
      <w:r>
        <w:rPr>
          <w:rFonts w:ascii="黑体" w:hAnsi="黑体" w:eastAsia="黑体"/>
        </w:rPr>
        <w:t>5</w:t>
      </w:r>
      <w:r>
        <w:rPr>
          <w:rFonts w:hint="eastAsia" w:ascii="黑体" w:hAnsi="黑体" w:eastAsia="黑体"/>
        </w:rPr>
        <w:t>.2.5</w:t>
      </w:r>
      <w:r>
        <w:rPr>
          <w:rFonts w:hint="eastAsia"/>
        </w:rPr>
        <w:t xml:space="preserve"> </w:t>
      </w:r>
      <w:r>
        <w:rPr>
          <w:rFonts w:hint="eastAsia" w:hAnsi="黑体"/>
          <w:bCs/>
        </w:rPr>
        <w:t>预制预应力混凝土装配整体式框架结构使用阶段的内力计算应符合下列规定：</w:t>
      </w:r>
    </w:p>
    <w:p>
      <w:pPr>
        <w:pStyle w:val="58"/>
        <w:ind w:left="840" w:leftChars="200" w:hanging="420" w:hangingChars="200"/>
        <w:rPr>
          <w:rFonts w:hint="eastAsia" w:eastAsia="宋体"/>
          <w:bCs/>
          <w:szCs w:val="21"/>
          <w:lang w:eastAsia="zh-CN"/>
        </w:rPr>
      </w:pPr>
      <w:r>
        <w:t>a</w:t>
      </w:r>
      <w:r>
        <w:rPr>
          <w:rFonts w:hint="eastAsia"/>
        </w:rPr>
        <w:t>)</w:t>
      </w:r>
      <w:r>
        <w:tab/>
      </w:r>
      <w:r>
        <w:rPr>
          <w:rFonts w:hint="eastAsia"/>
          <w:bCs/>
          <w:szCs w:val="21"/>
        </w:rPr>
        <w:t>框架梁的计算跨度应取柱中心到中心的距离</w:t>
      </w:r>
      <w:r>
        <w:rPr>
          <w:rFonts w:hint="eastAsia"/>
          <w:bCs/>
          <w:szCs w:val="21"/>
          <w:lang w:eastAsia="zh-CN"/>
        </w:rPr>
        <w:t>；</w:t>
      </w:r>
    </w:p>
    <w:p>
      <w:pPr>
        <w:pStyle w:val="58"/>
        <w:ind w:left="840" w:leftChars="200" w:hanging="420" w:hangingChars="200"/>
        <w:rPr>
          <w:rFonts w:hint="eastAsia" w:eastAsia="宋体"/>
          <w:bCs/>
          <w:szCs w:val="21"/>
          <w:lang w:eastAsia="zh-CN"/>
        </w:rPr>
      </w:pPr>
      <w:r>
        <w:t>b</w:t>
      </w:r>
      <w:r>
        <w:rPr>
          <w:rFonts w:hint="eastAsia"/>
        </w:rPr>
        <w:t>)</w:t>
      </w:r>
      <w:r>
        <w:tab/>
      </w:r>
      <w:r>
        <w:rPr>
          <w:rFonts w:hint="eastAsia"/>
          <w:bCs/>
          <w:szCs w:val="21"/>
        </w:rPr>
        <w:t>框架柱的计算长度和梁翼缘的有效宽度应按现行国家标准《混凝土结构设计规范》GB 50010的规定确定</w:t>
      </w:r>
      <w:r>
        <w:rPr>
          <w:rFonts w:hint="eastAsia"/>
          <w:bCs/>
          <w:szCs w:val="21"/>
          <w:lang w:eastAsia="zh-CN"/>
        </w:rPr>
        <w:t>；</w:t>
      </w:r>
    </w:p>
    <w:p>
      <w:pPr>
        <w:pStyle w:val="58"/>
        <w:ind w:left="840" w:leftChars="200" w:hanging="420" w:hangingChars="200"/>
        <w:rPr>
          <w:bCs/>
          <w:szCs w:val="21"/>
        </w:rPr>
      </w:pPr>
      <w:r>
        <w:t>c</w:t>
      </w:r>
      <w:r>
        <w:rPr>
          <w:rFonts w:hint="eastAsia"/>
        </w:rPr>
        <w:t>)</w:t>
      </w:r>
      <w:r>
        <w:tab/>
      </w:r>
      <w:r>
        <w:rPr>
          <w:rFonts w:hint="eastAsia"/>
          <w:bCs/>
          <w:szCs w:val="21"/>
        </w:rPr>
        <w:t>在竖向荷载作用下可考虑梁端塑性内力重分布，对梁端负弯矩进行调幅，叠合式框架梁的弯矩调幅系数不宜小于0.8。</w:t>
      </w:r>
    </w:p>
    <w:p>
      <w:pPr>
        <w:pStyle w:val="58"/>
        <w:spacing w:before="312" w:beforeLines="100" w:after="312" w:afterLines="100"/>
        <w:ind w:firstLine="0" w:firstLineChars="0"/>
        <w:outlineLvl w:val="1"/>
        <w:rPr>
          <w:rFonts w:ascii="黑体" w:hAnsi="黑体" w:eastAsia="黑体"/>
        </w:rPr>
      </w:pPr>
      <w:bookmarkStart w:id="99" w:name="_Toc142923599"/>
      <w:r>
        <w:rPr>
          <w:rFonts w:ascii="黑体" w:hAnsi="黑体" w:eastAsia="黑体"/>
        </w:rPr>
        <w:t>5</w:t>
      </w:r>
      <w:r>
        <w:rPr>
          <w:rFonts w:hint="eastAsia" w:ascii="黑体" w:hAnsi="黑体" w:eastAsia="黑体"/>
        </w:rPr>
        <w:t>.</w:t>
      </w:r>
      <w:r>
        <w:rPr>
          <w:rFonts w:ascii="黑体" w:hAnsi="黑体" w:eastAsia="黑体"/>
        </w:rPr>
        <w:t>3</w:t>
      </w:r>
      <w:r>
        <w:rPr>
          <w:rFonts w:hint="eastAsia" w:ascii="黑体" w:hAnsi="黑体" w:eastAsia="黑体"/>
        </w:rPr>
        <w:t xml:space="preserve"> 构件设计</w:t>
      </w:r>
      <w:bookmarkEnd w:id="99"/>
    </w:p>
    <w:p>
      <w:pPr>
        <w:pStyle w:val="58"/>
        <w:ind w:firstLine="0" w:firstLineChars="0"/>
        <w:rPr>
          <w:rFonts w:hAnsi="黑体"/>
          <w:bCs/>
        </w:rPr>
      </w:pPr>
      <w:r>
        <w:rPr>
          <w:rFonts w:ascii="黑体" w:hAnsi="黑体" w:eastAsia="黑体"/>
        </w:rPr>
        <w:t>5</w:t>
      </w:r>
      <w:r>
        <w:rPr>
          <w:rFonts w:hint="eastAsia" w:ascii="黑体" w:hAnsi="黑体" w:eastAsia="黑体"/>
        </w:rPr>
        <w:t>.</w:t>
      </w:r>
      <w:r>
        <w:rPr>
          <w:rFonts w:ascii="黑体" w:hAnsi="黑体" w:eastAsia="黑体"/>
        </w:rPr>
        <w:t>3.1</w:t>
      </w:r>
      <w:r>
        <w:rPr>
          <w:rFonts w:hint="eastAsia" w:ascii="黑体" w:hAnsi="黑体" w:eastAsia="黑体"/>
        </w:rPr>
        <w:t xml:space="preserve"> </w:t>
      </w:r>
      <w:r>
        <w:rPr>
          <w:rFonts w:hint="eastAsia" w:hAnsi="黑体"/>
          <w:bCs/>
        </w:rPr>
        <w:t>预制构件的设计应符合下列规定：</w:t>
      </w:r>
    </w:p>
    <w:p>
      <w:pPr>
        <w:pStyle w:val="58"/>
        <w:ind w:left="840" w:leftChars="200" w:hanging="420" w:hangingChars="200"/>
        <w:rPr>
          <w:bCs/>
          <w:szCs w:val="21"/>
        </w:rPr>
      </w:pPr>
      <w:r>
        <w:t>a</w:t>
      </w:r>
      <w:r>
        <w:rPr>
          <w:rFonts w:hint="eastAsia"/>
        </w:rPr>
        <w:t>)</w:t>
      </w:r>
      <w:r>
        <w:tab/>
      </w:r>
      <w:r>
        <w:rPr>
          <w:rFonts w:hint="eastAsia"/>
          <w:bCs/>
          <w:szCs w:val="21"/>
        </w:rPr>
        <w:t>对持久设计状况，应对预制构件进行承载力、变形、裂缝控制验算；</w:t>
      </w:r>
    </w:p>
    <w:p>
      <w:pPr>
        <w:pStyle w:val="58"/>
        <w:ind w:left="840" w:leftChars="200" w:hanging="420" w:hangingChars="200"/>
        <w:rPr>
          <w:bCs/>
          <w:szCs w:val="21"/>
        </w:rPr>
      </w:pPr>
      <w:r>
        <w:t>b</w:t>
      </w:r>
      <w:r>
        <w:rPr>
          <w:rFonts w:hint="eastAsia"/>
        </w:rPr>
        <w:t>)</w:t>
      </w:r>
      <w:r>
        <w:tab/>
      </w:r>
      <w:r>
        <w:rPr>
          <w:rFonts w:hint="eastAsia"/>
          <w:bCs/>
          <w:szCs w:val="21"/>
        </w:rPr>
        <w:t>对地震设计状况，应对预制构件进行承载力验算；</w:t>
      </w:r>
    </w:p>
    <w:p>
      <w:pPr>
        <w:pStyle w:val="58"/>
        <w:ind w:left="840" w:leftChars="200" w:hanging="420" w:hangingChars="200"/>
        <w:rPr>
          <w:bCs/>
          <w:szCs w:val="21"/>
        </w:rPr>
      </w:pPr>
      <w:r>
        <w:t>c</w:t>
      </w:r>
      <w:r>
        <w:rPr>
          <w:rFonts w:hint="eastAsia"/>
        </w:rPr>
        <w:t>)</w:t>
      </w:r>
      <w:r>
        <w:tab/>
      </w:r>
      <w:r>
        <w:rPr>
          <w:rFonts w:hint="eastAsia"/>
          <w:bCs/>
          <w:szCs w:val="21"/>
        </w:rPr>
        <w:t>对制作、运输和堆放、安装等短暂设计状况下的预制构件验算，应符合现行国家标准《混凝土结构工程施工规范》GB 50666的有关规定。</w:t>
      </w:r>
    </w:p>
    <w:p>
      <w:pPr>
        <w:pStyle w:val="58"/>
        <w:ind w:firstLine="0" w:firstLineChars="0"/>
        <w:rPr>
          <w:bCs/>
          <w:szCs w:val="21"/>
        </w:rPr>
      </w:pPr>
      <w:r>
        <w:rPr>
          <w:rFonts w:ascii="黑体" w:hAnsi="黑体" w:eastAsia="黑体"/>
        </w:rPr>
        <w:t>5</w:t>
      </w:r>
      <w:r>
        <w:rPr>
          <w:rFonts w:hint="eastAsia" w:ascii="黑体" w:hAnsi="黑体" w:eastAsia="黑体"/>
        </w:rPr>
        <w:t>.3.2</w:t>
      </w:r>
      <w:r>
        <w:rPr>
          <w:rFonts w:ascii="黑体" w:hAnsi="黑体" w:eastAsia="黑体"/>
        </w:rPr>
        <w:t xml:space="preserve"> </w:t>
      </w:r>
      <w:r>
        <w:rPr>
          <w:rFonts w:hint="eastAsia"/>
          <w:bCs/>
          <w:szCs w:val="21"/>
        </w:rPr>
        <w:t>预制预应力混凝土叠合梁、板的设计应符合现行国家标准《混凝土结构设计规范》GB 50010的有关规定。</w:t>
      </w:r>
    </w:p>
    <w:p>
      <w:pPr>
        <w:pStyle w:val="58"/>
        <w:ind w:firstLine="0" w:firstLineChars="0"/>
        <w:rPr>
          <w:bCs/>
          <w:szCs w:val="21"/>
        </w:rPr>
      </w:pPr>
      <w:r>
        <w:rPr>
          <w:rFonts w:ascii="黑体" w:hAnsi="黑体" w:eastAsia="黑体"/>
        </w:rPr>
        <w:t>5</w:t>
      </w:r>
      <w:r>
        <w:rPr>
          <w:rFonts w:hint="eastAsia" w:ascii="黑体" w:hAnsi="黑体" w:eastAsia="黑体"/>
        </w:rPr>
        <w:t>.3.3</w:t>
      </w:r>
      <w:r>
        <w:rPr>
          <w:rFonts w:ascii="黑体" w:hAnsi="黑体" w:eastAsia="黑体"/>
        </w:rPr>
        <w:t xml:space="preserve"> </w:t>
      </w:r>
      <w:r>
        <w:rPr>
          <w:rFonts w:hint="eastAsia"/>
          <w:bCs/>
          <w:szCs w:val="21"/>
        </w:rPr>
        <w:t>对不配抗剪钢筋的叠合板，当符合现行国家标准《混凝土结构设计规范》GB 50010的叠合界面粗糙度的构造规定时，其叠合面的受剪强度应符合下式的规定：</w:t>
      </w:r>
    </w:p>
    <w:p>
      <w:pPr>
        <w:adjustRightInd/>
        <w:spacing w:line="240" w:lineRule="auto"/>
        <w:jc w:val="center"/>
        <w:rPr>
          <w:rFonts w:ascii="Times New Roman" w:hAnsi="Times New Roman"/>
        </w:rPr>
      </w:pPr>
      <w:r>
        <w:rPr>
          <w:rFonts w:ascii="Times New Roman" w:hAnsi="Times New Roman"/>
        </w:rPr>
        <w:drawing>
          <wp:inline distT="0" distB="0" distL="0" distR="0">
            <wp:extent cx="655320" cy="41275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671956" cy="423558"/>
                    </a:xfrm>
                    <a:prstGeom prst="rect">
                      <a:avLst/>
                    </a:prstGeom>
                    <a:noFill/>
                    <a:ln>
                      <a:noFill/>
                    </a:ln>
                  </pic:spPr>
                </pic:pic>
              </a:graphicData>
            </a:graphic>
          </wp:inline>
        </w:drawing>
      </w:r>
    </w:p>
    <w:p>
      <w:pPr>
        <w:spacing w:line="240" w:lineRule="auto"/>
        <w:ind w:firstLine="420" w:firstLineChars="200"/>
      </w:pPr>
      <w:r>
        <w:rPr>
          <w:rFonts w:hint="eastAsia"/>
        </w:rPr>
        <w:t>式中：</w:t>
      </w:r>
    </w:p>
    <w:tbl>
      <w:tblPr>
        <w:tblStyle w:val="27"/>
        <w:tblW w:w="9329" w:type="dxa"/>
        <w:tblInd w:w="135" w:type="dxa"/>
        <w:tblLayout w:type="fixed"/>
        <w:tblCellMar>
          <w:top w:w="0" w:type="dxa"/>
          <w:left w:w="108" w:type="dxa"/>
          <w:bottom w:w="0" w:type="dxa"/>
          <w:right w:w="108" w:type="dxa"/>
        </w:tblCellMar>
      </w:tblPr>
      <w:tblGrid>
        <w:gridCol w:w="824"/>
        <w:gridCol w:w="850"/>
        <w:gridCol w:w="7655"/>
      </w:tblGrid>
      <w:tr>
        <w:tblPrEx>
          <w:tblCellMar>
            <w:top w:w="0" w:type="dxa"/>
            <w:left w:w="108" w:type="dxa"/>
            <w:bottom w:w="0" w:type="dxa"/>
            <w:right w:w="108" w:type="dxa"/>
          </w:tblCellMar>
        </w:tblPrEx>
        <w:trPr>
          <w:trHeight w:val="443" w:hRule="atLeast"/>
        </w:trPr>
        <w:tc>
          <w:tcPr>
            <w:tcW w:w="824" w:type="dxa"/>
          </w:tcPr>
          <w:p>
            <w:pPr>
              <w:autoSpaceDE w:val="0"/>
              <w:snapToGrid w:val="0"/>
              <w:spacing w:line="240" w:lineRule="auto"/>
              <w:jc w:val="right"/>
              <w:rPr>
                <w:rFonts w:ascii="宋体" w:hAnsi="宋体"/>
                <w:color w:val="000000"/>
                <w:sz w:val="28"/>
                <w:szCs w:val="28"/>
              </w:rPr>
            </w:pPr>
            <w:r>
              <w:rPr>
                <w:rFonts w:ascii="Times New Roman" w:hAnsi="Times New Roman"/>
              </w:rPr>
              <w:drawing>
                <wp:inline distT="0" distB="0" distL="0" distR="0">
                  <wp:extent cx="180975" cy="180975"/>
                  <wp:effectExtent l="0" t="0" r="0" b="952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850" w:type="dxa"/>
          </w:tcPr>
          <w:p>
            <w:pPr>
              <w:autoSpaceDE w:val="0"/>
              <w:snapToGrid w:val="0"/>
              <w:spacing w:line="240" w:lineRule="auto"/>
              <w:jc w:val="center"/>
              <w:rPr>
                <w:rFonts w:ascii="Times New Roman" w:hAnsi="Times New Roman"/>
                <w:color w:val="000000"/>
                <w:sz w:val="28"/>
                <w:szCs w:val="28"/>
              </w:rPr>
            </w:pPr>
            <w:r>
              <w:rPr>
                <w:rFonts w:ascii="Times New Roman" w:hAnsi="Times New Roman"/>
                <w:color w:val="000000"/>
                <w:sz w:val="28"/>
                <w:szCs w:val="28"/>
              </w:rPr>
              <w:t>——</w:t>
            </w:r>
          </w:p>
        </w:tc>
        <w:tc>
          <w:tcPr>
            <w:tcW w:w="7655" w:type="dxa"/>
            <w:vAlign w:val="center"/>
          </w:tcPr>
          <w:p>
            <w:pPr>
              <w:autoSpaceDE w:val="0"/>
              <w:adjustRightInd/>
              <w:spacing w:line="240" w:lineRule="auto"/>
              <w:textAlignment w:val="center"/>
              <w:rPr>
                <w:rFonts w:ascii="Times New Roman" w:hAnsi="Times New Roman"/>
              </w:rPr>
            </w:pPr>
            <w:r>
              <w:rPr>
                <w:rFonts w:ascii="Times New Roman" w:hAnsi="Times New Roman"/>
              </w:rPr>
              <w:t>剪力设计值（N</w:t>
            </w:r>
            <w:r>
              <w:rPr>
                <w:rFonts w:ascii="宋体" w:hAnsi="宋体"/>
              </w:rPr>
              <w:t>）；</w:t>
            </w:r>
          </w:p>
        </w:tc>
      </w:tr>
      <w:tr>
        <w:tblPrEx>
          <w:tblCellMar>
            <w:top w:w="0" w:type="dxa"/>
            <w:left w:w="108" w:type="dxa"/>
            <w:bottom w:w="0" w:type="dxa"/>
            <w:right w:w="108" w:type="dxa"/>
          </w:tblCellMar>
        </w:tblPrEx>
        <w:trPr>
          <w:trHeight w:val="443" w:hRule="atLeast"/>
        </w:trPr>
        <w:tc>
          <w:tcPr>
            <w:tcW w:w="824" w:type="dxa"/>
          </w:tcPr>
          <w:p>
            <w:pPr>
              <w:autoSpaceDE w:val="0"/>
              <w:snapToGrid w:val="0"/>
              <w:spacing w:line="240" w:lineRule="auto"/>
              <w:jc w:val="right"/>
              <w:rPr>
                <w:rFonts w:ascii="Times New Roman" w:hAnsi="Times New Roman"/>
              </w:rPr>
            </w:pPr>
            <w:r>
              <w:rPr>
                <w:rFonts w:ascii="Times New Roman" w:hAnsi="Times New Roman"/>
              </w:rPr>
              <w:drawing>
                <wp:inline distT="0" distB="0" distL="0" distR="0">
                  <wp:extent cx="155575" cy="2159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155575" cy="215900"/>
                          </a:xfrm>
                          <a:prstGeom prst="rect">
                            <a:avLst/>
                          </a:prstGeom>
                          <a:noFill/>
                          <a:ln>
                            <a:noFill/>
                          </a:ln>
                        </pic:spPr>
                      </pic:pic>
                    </a:graphicData>
                  </a:graphic>
                </wp:inline>
              </w:drawing>
            </w:r>
          </w:p>
        </w:tc>
        <w:tc>
          <w:tcPr>
            <w:tcW w:w="850" w:type="dxa"/>
          </w:tcPr>
          <w:p>
            <w:pPr>
              <w:autoSpaceDE w:val="0"/>
              <w:snapToGrid w:val="0"/>
              <w:spacing w:line="240" w:lineRule="auto"/>
              <w:jc w:val="center"/>
              <w:rPr>
                <w:rFonts w:ascii="Times New Roman" w:hAnsi="Times New Roman"/>
                <w:color w:val="000000"/>
                <w:sz w:val="28"/>
                <w:szCs w:val="28"/>
              </w:rPr>
            </w:pPr>
            <w:r>
              <w:rPr>
                <w:rFonts w:ascii="Times New Roman" w:hAnsi="Times New Roman"/>
                <w:color w:val="000000"/>
                <w:sz w:val="28"/>
                <w:szCs w:val="28"/>
              </w:rPr>
              <w:t>——</w:t>
            </w:r>
          </w:p>
        </w:tc>
        <w:tc>
          <w:tcPr>
            <w:tcW w:w="7655" w:type="dxa"/>
            <w:vAlign w:val="center"/>
          </w:tcPr>
          <w:p>
            <w:pPr>
              <w:autoSpaceDE w:val="0"/>
              <w:adjustRightInd/>
              <w:spacing w:line="240" w:lineRule="auto"/>
              <w:textAlignment w:val="center"/>
              <w:rPr>
                <w:rFonts w:ascii="Times New Roman" w:hAnsi="Times New Roman"/>
              </w:rPr>
            </w:pPr>
            <w:r>
              <w:rPr>
                <w:rFonts w:ascii="Times New Roman" w:hAnsi="Times New Roman"/>
              </w:rPr>
              <w:t>截面宽度（mm</w:t>
            </w:r>
            <w:r>
              <w:rPr>
                <w:rFonts w:ascii="宋体" w:hAnsi="宋体"/>
              </w:rPr>
              <w:t>）；</w:t>
            </w:r>
          </w:p>
        </w:tc>
      </w:tr>
      <w:tr>
        <w:tblPrEx>
          <w:tblCellMar>
            <w:top w:w="0" w:type="dxa"/>
            <w:left w:w="108" w:type="dxa"/>
            <w:bottom w:w="0" w:type="dxa"/>
            <w:right w:w="108" w:type="dxa"/>
          </w:tblCellMar>
        </w:tblPrEx>
        <w:trPr>
          <w:trHeight w:val="443" w:hRule="atLeast"/>
        </w:trPr>
        <w:tc>
          <w:tcPr>
            <w:tcW w:w="824" w:type="dxa"/>
          </w:tcPr>
          <w:p>
            <w:pPr>
              <w:autoSpaceDE w:val="0"/>
              <w:snapToGrid w:val="0"/>
              <w:spacing w:line="240" w:lineRule="auto"/>
              <w:jc w:val="right"/>
              <w:rPr>
                <w:rFonts w:ascii="宋体" w:hAnsi="宋体"/>
                <w:color w:val="000000"/>
                <w:sz w:val="28"/>
                <w:szCs w:val="28"/>
              </w:rPr>
            </w:pPr>
            <w:r>
              <w:rPr>
                <w:rFonts w:ascii="Times New Roman" w:hAnsi="Times New Roman"/>
              </w:rPr>
              <w:drawing>
                <wp:inline distT="0" distB="0" distL="0" distR="0">
                  <wp:extent cx="155575" cy="259080"/>
                  <wp:effectExtent l="0" t="0" r="0" b="762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155575" cy="259080"/>
                          </a:xfrm>
                          <a:prstGeom prst="rect">
                            <a:avLst/>
                          </a:prstGeom>
                          <a:noFill/>
                          <a:ln>
                            <a:noFill/>
                          </a:ln>
                        </pic:spPr>
                      </pic:pic>
                    </a:graphicData>
                  </a:graphic>
                </wp:inline>
              </w:drawing>
            </w:r>
          </w:p>
        </w:tc>
        <w:tc>
          <w:tcPr>
            <w:tcW w:w="850" w:type="dxa"/>
          </w:tcPr>
          <w:p>
            <w:pPr>
              <w:autoSpaceDE w:val="0"/>
              <w:snapToGrid w:val="0"/>
              <w:spacing w:line="240" w:lineRule="auto"/>
              <w:jc w:val="center"/>
              <w:rPr>
                <w:rFonts w:ascii="Times New Roman" w:hAnsi="Times New Roman"/>
                <w:color w:val="000000"/>
                <w:sz w:val="28"/>
                <w:szCs w:val="28"/>
              </w:rPr>
            </w:pPr>
            <w:r>
              <w:rPr>
                <w:rFonts w:ascii="Times New Roman" w:hAnsi="Times New Roman"/>
                <w:color w:val="000000"/>
                <w:sz w:val="28"/>
                <w:szCs w:val="28"/>
              </w:rPr>
              <w:t>——</w:t>
            </w:r>
          </w:p>
        </w:tc>
        <w:tc>
          <w:tcPr>
            <w:tcW w:w="7655" w:type="dxa"/>
            <w:vAlign w:val="center"/>
          </w:tcPr>
          <w:p>
            <w:pPr>
              <w:autoSpaceDE w:val="0"/>
              <w:adjustRightInd/>
              <w:spacing w:line="240" w:lineRule="auto"/>
              <w:textAlignment w:val="center"/>
              <w:rPr>
                <w:rFonts w:ascii="Times New Roman" w:hAnsi="Times New Roman"/>
              </w:rPr>
            </w:pPr>
            <w:r>
              <w:rPr>
                <w:rFonts w:ascii="Times New Roman" w:hAnsi="Times New Roman"/>
              </w:rPr>
              <w:t>截面有效高度（mm</w:t>
            </w:r>
            <w:r>
              <w:rPr>
                <w:rFonts w:ascii="宋体" w:hAnsi="宋体"/>
              </w:rPr>
              <w:t>）。</w:t>
            </w:r>
          </w:p>
        </w:tc>
      </w:tr>
    </w:tbl>
    <w:p>
      <w:pPr>
        <w:spacing w:line="240" w:lineRule="auto"/>
        <w:rPr>
          <w:rFonts w:ascii="宋体" w:hAnsi="Times New Roman"/>
          <w:bCs/>
          <w:kern w:val="0"/>
        </w:rPr>
      </w:pPr>
      <w:r>
        <w:rPr>
          <w:rFonts w:ascii="黑体" w:hAnsi="黑体" w:eastAsia="黑体"/>
          <w:kern w:val="0"/>
          <w:szCs w:val="20"/>
        </w:rPr>
        <w:t>5</w:t>
      </w:r>
      <w:r>
        <w:rPr>
          <w:rFonts w:hint="eastAsia" w:ascii="黑体" w:hAnsi="黑体" w:eastAsia="黑体"/>
          <w:kern w:val="0"/>
          <w:szCs w:val="20"/>
        </w:rPr>
        <w:t>.3.4</w:t>
      </w:r>
      <w:r>
        <w:rPr>
          <w:rFonts w:hint="eastAsia"/>
        </w:rPr>
        <w:t xml:space="preserve"> </w:t>
      </w:r>
      <w:r>
        <w:rPr>
          <w:rFonts w:hint="eastAsia" w:ascii="宋体" w:hAnsi="Times New Roman"/>
          <w:bCs/>
          <w:kern w:val="0"/>
        </w:rPr>
        <w:t>预制预应力混凝土装配整体式框架-现浇剪力墙结构中的剪力墙的设计应符合国家现行标准《混凝土结构设计规范》GB 50010、《高层建筑混凝土结构技术规程》JGJ 3的有关规定。</w:t>
      </w:r>
    </w:p>
    <w:p>
      <w:pPr>
        <w:spacing w:line="240" w:lineRule="auto"/>
        <w:rPr>
          <w:rFonts w:ascii="宋体" w:hAnsi="Times New Roman"/>
          <w:bCs/>
          <w:kern w:val="0"/>
        </w:rPr>
      </w:pPr>
      <w:r>
        <w:rPr>
          <w:rFonts w:ascii="黑体" w:hAnsi="黑体" w:eastAsia="黑体"/>
          <w:kern w:val="0"/>
          <w:szCs w:val="20"/>
        </w:rPr>
        <w:t>5</w:t>
      </w:r>
      <w:r>
        <w:rPr>
          <w:rFonts w:hint="eastAsia" w:ascii="黑体" w:hAnsi="黑体" w:eastAsia="黑体"/>
          <w:kern w:val="0"/>
          <w:szCs w:val="20"/>
        </w:rPr>
        <w:t>.3.5</w:t>
      </w:r>
      <w:r>
        <w:rPr>
          <w:rFonts w:hint="eastAsia"/>
        </w:rPr>
        <w:t xml:space="preserve"> </w:t>
      </w:r>
      <w:r>
        <w:rPr>
          <w:rFonts w:hint="eastAsia" w:ascii="宋体" w:hAnsi="Times New Roman"/>
          <w:bCs/>
          <w:kern w:val="0"/>
        </w:rPr>
        <w:t>采用缺口梁方式与主梁铰接连接的次梁的设计应符合下列规定：</w:t>
      </w:r>
    </w:p>
    <w:p>
      <w:pPr>
        <w:pStyle w:val="58"/>
        <w:ind w:left="840" w:leftChars="200" w:hanging="420" w:hangingChars="200"/>
        <w:rPr>
          <w:rFonts w:hint="eastAsia" w:eastAsia="宋体"/>
          <w:bCs/>
          <w:szCs w:val="21"/>
          <w:lang w:eastAsia="zh-CN"/>
        </w:rPr>
      </w:pPr>
      <w:r>
        <w:t>a</w:t>
      </w:r>
      <w:r>
        <w:rPr>
          <w:rFonts w:hint="eastAsia"/>
        </w:rPr>
        <w:t>)</w:t>
      </w:r>
      <w:r>
        <w:tab/>
      </w:r>
      <w:r>
        <w:rPr>
          <w:rFonts w:hint="eastAsia"/>
          <w:bCs/>
          <w:szCs w:val="21"/>
        </w:rPr>
        <w:t>缺口梁端部高度</w:t>
      </w:r>
      <w:r>
        <w:rPr>
          <w:rFonts w:ascii="Times New Roman"/>
          <w:bCs/>
          <w:i/>
          <w:iCs/>
          <w:szCs w:val="21"/>
        </w:rPr>
        <w:t>h</w:t>
      </w:r>
      <w:r>
        <w:rPr>
          <w:rFonts w:ascii="Times New Roman"/>
          <w:bCs/>
          <w:szCs w:val="21"/>
          <w:vertAlign w:val="subscript"/>
        </w:rPr>
        <w:t>1</w:t>
      </w:r>
      <w:r>
        <w:rPr>
          <w:rFonts w:hint="eastAsia"/>
          <w:bCs/>
          <w:szCs w:val="21"/>
        </w:rPr>
        <w:t>不宜小于0.5倍的叠合梁截面高度h，挑出部分长度</w:t>
      </w:r>
      <w:r>
        <w:rPr>
          <w:rFonts w:ascii="Times New Roman"/>
          <w:bCs/>
          <w:i/>
          <w:iCs/>
          <w:szCs w:val="21"/>
        </w:rPr>
        <w:t>α</w:t>
      </w:r>
      <w:r>
        <w:rPr>
          <w:rFonts w:hint="eastAsia"/>
          <w:bCs/>
          <w:szCs w:val="21"/>
        </w:rPr>
        <w:t>可取缺口梁端部高度</w:t>
      </w:r>
      <w:r>
        <w:rPr>
          <w:rFonts w:ascii="Times New Roman"/>
          <w:bCs/>
          <w:i/>
          <w:iCs/>
          <w:szCs w:val="21"/>
        </w:rPr>
        <w:t>h</w:t>
      </w:r>
      <w:r>
        <w:rPr>
          <w:rFonts w:ascii="Times New Roman"/>
          <w:bCs/>
          <w:szCs w:val="21"/>
          <w:vertAlign w:val="subscript"/>
        </w:rPr>
        <w:t>1</w:t>
      </w:r>
      <w:r>
        <w:rPr>
          <w:rFonts w:hint="eastAsia"/>
          <w:bCs/>
          <w:szCs w:val="21"/>
        </w:rPr>
        <w:t>缺口拐角处宜做斜角</w:t>
      </w:r>
      <w:r>
        <w:rPr>
          <w:rFonts w:hint="eastAsia"/>
          <w:bCs/>
          <w:szCs w:val="21"/>
          <w:lang w:eastAsia="zh-CN"/>
        </w:rPr>
        <w:t>；</w:t>
      </w:r>
    </w:p>
    <w:p>
      <w:pPr>
        <w:pStyle w:val="58"/>
        <w:ind w:left="840" w:leftChars="200" w:hanging="420" w:hangingChars="200"/>
        <w:rPr>
          <w:bCs/>
          <w:szCs w:val="21"/>
        </w:rPr>
      </w:pPr>
      <w:r>
        <w:t>b</w:t>
      </w:r>
      <w:r>
        <w:rPr>
          <w:rFonts w:hint="eastAsia"/>
        </w:rPr>
        <w:t>)</w:t>
      </w:r>
      <w:r>
        <w:tab/>
      </w:r>
      <w:r>
        <w:rPr>
          <w:rFonts w:hint="eastAsia"/>
          <w:bCs/>
          <w:szCs w:val="21"/>
        </w:rPr>
        <w:t>缺口梁梁端受剪截面应符合下列规定：</w:t>
      </w:r>
    </w:p>
    <w:p>
      <w:pPr>
        <w:adjustRightInd/>
        <w:spacing w:line="240" w:lineRule="auto"/>
        <w:jc w:val="center"/>
        <w:rPr>
          <w:rFonts w:ascii="Times New Roman" w:hAnsi="Times New Roman"/>
        </w:rPr>
      </w:pPr>
      <w:r>
        <w:rPr>
          <w:rFonts w:ascii="Times New Roman" w:hAnsi="Times New Roman"/>
        </w:rPr>
        <w:drawing>
          <wp:inline distT="0" distB="0" distL="0" distR="0">
            <wp:extent cx="1052195" cy="24003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1093055" cy="249502"/>
                    </a:xfrm>
                    <a:prstGeom prst="rect">
                      <a:avLst/>
                    </a:prstGeom>
                    <a:noFill/>
                    <a:ln>
                      <a:noFill/>
                    </a:ln>
                  </pic:spPr>
                </pic:pic>
              </a:graphicData>
            </a:graphic>
          </wp:inline>
        </w:drawing>
      </w:r>
    </w:p>
    <w:p>
      <w:pPr>
        <w:spacing w:line="240" w:lineRule="auto"/>
        <w:ind w:firstLine="420" w:firstLineChars="200"/>
      </w:pPr>
      <w:r>
        <w:rPr>
          <w:rFonts w:hint="eastAsia"/>
        </w:rPr>
        <w:t>式中：</w:t>
      </w:r>
    </w:p>
    <w:tbl>
      <w:tblPr>
        <w:tblStyle w:val="27"/>
        <w:tblW w:w="9329" w:type="dxa"/>
        <w:tblInd w:w="135" w:type="dxa"/>
        <w:tblLayout w:type="fixed"/>
        <w:tblCellMar>
          <w:top w:w="0" w:type="dxa"/>
          <w:left w:w="108" w:type="dxa"/>
          <w:bottom w:w="0" w:type="dxa"/>
          <w:right w:w="108" w:type="dxa"/>
        </w:tblCellMar>
      </w:tblPr>
      <w:tblGrid>
        <w:gridCol w:w="824"/>
        <w:gridCol w:w="850"/>
        <w:gridCol w:w="7655"/>
      </w:tblGrid>
      <w:tr>
        <w:tblPrEx>
          <w:tblCellMar>
            <w:top w:w="0" w:type="dxa"/>
            <w:left w:w="108" w:type="dxa"/>
            <w:bottom w:w="0" w:type="dxa"/>
            <w:right w:w="108" w:type="dxa"/>
          </w:tblCellMar>
        </w:tblPrEx>
        <w:trPr>
          <w:trHeight w:val="443" w:hRule="atLeast"/>
        </w:trPr>
        <w:tc>
          <w:tcPr>
            <w:tcW w:w="824" w:type="dxa"/>
          </w:tcPr>
          <w:p>
            <w:pPr>
              <w:autoSpaceDE w:val="0"/>
              <w:snapToGrid w:val="0"/>
              <w:spacing w:line="240" w:lineRule="auto"/>
              <w:jc w:val="right"/>
              <w:rPr>
                <w:rFonts w:ascii="宋体" w:hAnsi="宋体"/>
                <w:color w:val="000000"/>
                <w:sz w:val="28"/>
                <w:szCs w:val="28"/>
              </w:rPr>
            </w:pPr>
            <w:r>
              <w:rPr>
                <w:rFonts w:ascii="Times New Roman" w:hAnsi="Times New Roman"/>
                <w:position w:val="-12"/>
              </w:rPr>
              <w:drawing>
                <wp:inline distT="0" distB="0" distL="0" distR="0">
                  <wp:extent cx="215900" cy="21590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215900" cy="215900"/>
                          </a:xfrm>
                          <a:prstGeom prst="rect">
                            <a:avLst/>
                          </a:prstGeom>
                          <a:noFill/>
                          <a:ln>
                            <a:noFill/>
                          </a:ln>
                        </pic:spPr>
                      </pic:pic>
                    </a:graphicData>
                  </a:graphic>
                </wp:inline>
              </w:drawing>
            </w:r>
          </w:p>
        </w:tc>
        <w:tc>
          <w:tcPr>
            <w:tcW w:w="850" w:type="dxa"/>
          </w:tcPr>
          <w:p>
            <w:pPr>
              <w:autoSpaceDE w:val="0"/>
              <w:snapToGrid w:val="0"/>
              <w:spacing w:line="240" w:lineRule="auto"/>
              <w:jc w:val="center"/>
              <w:rPr>
                <w:rFonts w:ascii="Times New Roman" w:hAnsi="Times New Roman"/>
                <w:color w:val="000000"/>
                <w:sz w:val="28"/>
                <w:szCs w:val="28"/>
              </w:rPr>
            </w:pPr>
            <w:r>
              <w:rPr>
                <w:rFonts w:ascii="Times New Roman" w:hAnsi="Times New Roman"/>
                <w:color w:val="000000"/>
                <w:sz w:val="28"/>
                <w:szCs w:val="28"/>
              </w:rPr>
              <w:t>——</w:t>
            </w:r>
          </w:p>
        </w:tc>
        <w:tc>
          <w:tcPr>
            <w:tcW w:w="7655" w:type="dxa"/>
            <w:vAlign w:val="center"/>
          </w:tcPr>
          <w:p>
            <w:pPr>
              <w:autoSpaceDE w:val="0"/>
              <w:adjustRightInd/>
              <w:spacing w:line="240" w:lineRule="auto"/>
              <w:textAlignment w:val="center"/>
              <w:rPr>
                <w:rFonts w:ascii="Times New Roman" w:hAnsi="Times New Roman"/>
              </w:rPr>
            </w:pPr>
            <w:r>
              <w:rPr>
                <w:rFonts w:ascii="Times New Roman" w:hAnsi="Times New Roman"/>
              </w:rPr>
              <w:t>缺口梁梁端支座反力设计值（N</w:t>
            </w:r>
            <w:r>
              <w:rPr>
                <w:rFonts w:ascii="宋体" w:hAnsi="宋体"/>
              </w:rPr>
              <w:t>）；</w:t>
            </w:r>
          </w:p>
        </w:tc>
      </w:tr>
      <w:tr>
        <w:tblPrEx>
          <w:tblCellMar>
            <w:top w:w="0" w:type="dxa"/>
            <w:left w:w="108" w:type="dxa"/>
            <w:bottom w:w="0" w:type="dxa"/>
            <w:right w:w="108" w:type="dxa"/>
          </w:tblCellMar>
        </w:tblPrEx>
        <w:trPr>
          <w:trHeight w:val="443" w:hRule="atLeast"/>
        </w:trPr>
        <w:tc>
          <w:tcPr>
            <w:tcW w:w="824" w:type="dxa"/>
          </w:tcPr>
          <w:p>
            <w:pPr>
              <w:autoSpaceDE w:val="0"/>
              <w:snapToGrid w:val="0"/>
              <w:spacing w:line="240" w:lineRule="auto"/>
              <w:jc w:val="right"/>
              <w:rPr>
                <w:rFonts w:ascii="Times New Roman" w:hAnsi="Times New Roman"/>
              </w:rPr>
            </w:pPr>
            <w:r>
              <w:rPr>
                <w:rFonts w:ascii="Times New Roman" w:hAnsi="Times New Roman"/>
                <w:position w:val="-6"/>
                <w:sz w:val="24"/>
                <w:szCs w:val="24"/>
              </w:rPr>
              <w:drawing>
                <wp:inline distT="0" distB="0" distL="0" distR="0">
                  <wp:extent cx="155575" cy="21590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155575" cy="215900"/>
                          </a:xfrm>
                          <a:prstGeom prst="rect">
                            <a:avLst/>
                          </a:prstGeom>
                          <a:noFill/>
                          <a:ln>
                            <a:noFill/>
                          </a:ln>
                        </pic:spPr>
                      </pic:pic>
                    </a:graphicData>
                  </a:graphic>
                </wp:inline>
              </w:drawing>
            </w:r>
          </w:p>
        </w:tc>
        <w:tc>
          <w:tcPr>
            <w:tcW w:w="850" w:type="dxa"/>
          </w:tcPr>
          <w:p>
            <w:pPr>
              <w:autoSpaceDE w:val="0"/>
              <w:snapToGrid w:val="0"/>
              <w:spacing w:line="240" w:lineRule="auto"/>
              <w:jc w:val="center"/>
              <w:rPr>
                <w:rFonts w:ascii="Times New Roman" w:hAnsi="Times New Roman"/>
                <w:color w:val="000000"/>
                <w:sz w:val="28"/>
                <w:szCs w:val="28"/>
              </w:rPr>
            </w:pPr>
            <w:r>
              <w:rPr>
                <w:rFonts w:ascii="Times New Roman" w:hAnsi="Times New Roman"/>
                <w:color w:val="000000"/>
                <w:sz w:val="28"/>
                <w:szCs w:val="28"/>
              </w:rPr>
              <w:t>——</w:t>
            </w:r>
          </w:p>
        </w:tc>
        <w:tc>
          <w:tcPr>
            <w:tcW w:w="7655" w:type="dxa"/>
            <w:vAlign w:val="center"/>
          </w:tcPr>
          <w:p>
            <w:pPr>
              <w:autoSpaceDE w:val="0"/>
              <w:adjustRightInd/>
              <w:spacing w:line="240" w:lineRule="auto"/>
              <w:textAlignment w:val="center"/>
              <w:rPr>
                <w:rFonts w:ascii="Times New Roman" w:hAnsi="Times New Roman"/>
              </w:rPr>
            </w:pPr>
            <w:r>
              <w:rPr>
                <w:rFonts w:ascii="Times New Roman" w:hAnsi="Times New Roman"/>
              </w:rPr>
              <w:t>缺口梁截面宽度（mm</w:t>
            </w:r>
            <w:r>
              <w:rPr>
                <w:rFonts w:ascii="宋体" w:hAnsi="宋体"/>
              </w:rPr>
              <w:t>）；</w:t>
            </w:r>
          </w:p>
        </w:tc>
      </w:tr>
      <w:tr>
        <w:tblPrEx>
          <w:tblCellMar>
            <w:top w:w="0" w:type="dxa"/>
            <w:left w:w="108" w:type="dxa"/>
            <w:bottom w:w="0" w:type="dxa"/>
            <w:right w:w="108" w:type="dxa"/>
          </w:tblCellMar>
        </w:tblPrEx>
        <w:trPr>
          <w:trHeight w:val="443" w:hRule="atLeast"/>
        </w:trPr>
        <w:tc>
          <w:tcPr>
            <w:tcW w:w="824" w:type="dxa"/>
          </w:tcPr>
          <w:p>
            <w:pPr>
              <w:autoSpaceDE w:val="0"/>
              <w:snapToGrid w:val="0"/>
              <w:spacing w:line="240" w:lineRule="auto"/>
              <w:jc w:val="right"/>
              <w:rPr>
                <w:rFonts w:ascii="Times New Roman" w:hAnsi="Times New Roman"/>
              </w:rPr>
            </w:pPr>
            <w:r>
              <w:rPr>
                <w:rFonts w:ascii="Times New Roman" w:hAnsi="Times New Roman"/>
                <w:position w:val="-12"/>
                <w:sz w:val="24"/>
                <w:szCs w:val="24"/>
              </w:rPr>
              <w:drawing>
                <wp:inline distT="0" distB="0" distL="0" distR="0">
                  <wp:extent cx="207010" cy="259080"/>
                  <wp:effectExtent l="0" t="0" r="2540" b="762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207010" cy="259080"/>
                          </a:xfrm>
                          <a:prstGeom prst="rect">
                            <a:avLst/>
                          </a:prstGeom>
                          <a:noFill/>
                          <a:ln>
                            <a:noFill/>
                          </a:ln>
                        </pic:spPr>
                      </pic:pic>
                    </a:graphicData>
                  </a:graphic>
                </wp:inline>
              </w:drawing>
            </w:r>
          </w:p>
        </w:tc>
        <w:tc>
          <w:tcPr>
            <w:tcW w:w="850" w:type="dxa"/>
          </w:tcPr>
          <w:p>
            <w:pPr>
              <w:autoSpaceDE w:val="0"/>
              <w:snapToGrid w:val="0"/>
              <w:spacing w:line="240" w:lineRule="auto"/>
              <w:jc w:val="center"/>
              <w:rPr>
                <w:rFonts w:ascii="Times New Roman" w:hAnsi="Times New Roman"/>
                <w:color w:val="000000"/>
                <w:sz w:val="28"/>
                <w:szCs w:val="28"/>
              </w:rPr>
            </w:pPr>
            <w:r>
              <w:rPr>
                <w:rFonts w:ascii="Times New Roman" w:hAnsi="Times New Roman"/>
                <w:color w:val="000000"/>
                <w:sz w:val="28"/>
                <w:szCs w:val="28"/>
              </w:rPr>
              <w:t>——</w:t>
            </w:r>
          </w:p>
        </w:tc>
        <w:tc>
          <w:tcPr>
            <w:tcW w:w="7655" w:type="dxa"/>
            <w:vAlign w:val="center"/>
          </w:tcPr>
          <w:p>
            <w:pPr>
              <w:autoSpaceDE w:val="0"/>
              <w:adjustRightInd/>
              <w:spacing w:line="240" w:lineRule="auto"/>
              <w:rPr>
                <w:rFonts w:ascii="Times New Roman" w:hAnsi="Times New Roman"/>
              </w:rPr>
            </w:pPr>
            <w:r>
              <w:rPr>
                <w:rFonts w:ascii="Times New Roman" w:hAnsi="Times New Roman"/>
              </w:rPr>
              <w:t>混凝土强度影响系数，当混凝土强度等级不超过C50</w:t>
            </w:r>
            <w:r>
              <w:rPr>
                <w:rFonts w:ascii="宋体" w:hAnsi="宋体"/>
              </w:rPr>
              <w:t>时，取</w:t>
            </w:r>
            <w:r>
              <w:rPr>
                <w:rFonts w:ascii="Times New Roman" w:hAnsi="Times New Roman"/>
                <w:i/>
                <w:iCs/>
              </w:rPr>
              <w:t>β</w:t>
            </w:r>
            <w:r>
              <w:rPr>
                <w:rFonts w:ascii="Times New Roman" w:hAnsi="Times New Roman"/>
                <w:i/>
                <w:iCs/>
                <w:vertAlign w:val="subscript"/>
              </w:rPr>
              <w:t>c</w:t>
            </w:r>
            <w:r>
              <w:rPr>
                <w:rFonts w:hint="eastAsia" w:ascii="Times New Roman" w:hAnsi="Times New Roman"/>
              </w:rPr>
              <w:t>=1.0</w:t>
            </w:r>
            <w:r>
              <w:rPr>
                <w:rFonts w:ascii="Times New Roman" w:hAnsi="Times New Roman"/>
              </w:rPr>
              <w:t>；</w:t>
            </w:r>
          </w:p>
        </w:tc>
      </w:tr>
      <w:tr>
        <w:tblPrEx>
          <w:tblCellMar>
            <w:top w:w="0" w:type="dxa"/>
            <w:left w:w="108" w:type="dxa"/>
            <w:bottom w:w="0" w:type="dxa"/>
            <w:right w:w="108" w:type="dxa"/>
          </w:tblCellMar>
        </w:tblPrEx>
        <w:trPr>
          <w:trHeight w:val="443" w:hRule="atLeast"/>
        </w:trPr>
        <w:tc>
          <w:tcPr>
            <w:tcW w:w="824" w:type="dxa"/>
          </w:tcPr>
          <w:p>
            <w:pPr>
              <w:autoSpaceDE w:val="0"/>
              <w:snapToGrid w:val="0"/>
              <w:spacing w:line="240" w:lineRule="auto"/>
              <w:jc w:val="right"/>
              <w:rPr>
                <w:rFonts w:ascii="宋体" w:hAnsi="宋体"/>
                <w:color w:val="000000"/>
                <w:sz w:val="28"/>
                <w:szCs w:val="28"/>
              </w:rPr>
            </w:pPr>
            <w:r>
              <w:rPr>
                <w:rFonts w:ascii="Times New Roman" w:hAnsi="Times New Roman"/>
                <w:position w:val="-12"/>
                <w:sz w:val="24"/>
                <w:szCs w:val="24"/>
              </w:rPr>
              <w:drawing>
                <wp:inline distT="0" distB="0" distL="0" distR="0">
                  <wp:extent cx="215900" cy="259080"/>
                  <wp:effectExtent l="0" t="0" r="0" b="762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215900" cy="259080"/>
                          </a:xfrm>
                          <a:prstGeom prst="rect">
                            <a:avLst/>
                          </a:prstGeom>
                          <a:noFill/>
                          <a:ln>
                            <a:noFill/>
                          </a:ln>
                        </pic:spPr>
                      </pic:pic>
                    </a:graphicData>
                  </a:graphic>
                </wp:inline>
              </w:drawing>
            </w:r>
          </w:p>
        </w:tc>
        <w:tc>
          <w:tcPr>
            <w:tcW w:w="850" w:type="dxa"/>
          </w:tcPr>
          <w:p>
            <w:pPr>
              <w:autoSpaceDE w:val="0"/>
              <w:snapToGrid w:val="0"/>
              <w:spacing w:line="240" w:lineRule="auto"/>
              <w:jc w:val="center"/>
              <w:rPr>
                <w:rFonts w:ascii="Times New Roman" w:hAnsi="Times New Roman"/>
                <w:color w:val="000000"/>
                <w:sz w:val="28"/>
                <w:szCs w:val="28"/>
              </w:rPr>
            </w:pPr>
            <w:r>
              <w:rPr>
                <w:rFonts w:ascii="Times New Roman" w:hAnsi="Times New Roman"/>
                <w:color w:val="000000"/>
                <w:sz w:val="28"/>
                <w:szCs w:val="28"/>
              </w:rPr>
              <w:t>——</w:t>
            </w:r>
          </w:p>
        </w:tc>
        <w:tc>
          <w:tcPr>
            <w:tcW w:w="7655" w:type="dxa"/>
            <w:vAlign w:val="center"/>
          </w:tcPr>
          <w:p>
            <w:pPr>
              <w:autoSpaceDE w:val="0"/>
              <w:adjustRightInd/>
              <w:spacing w:line="240" w:lineRule="auto"/>
              <w:rPr>
                <w:rFonts w:ascii="Times New Roman" w:hAnsi="Times New Roman"/>
              </w:rPr>
            </w:pPr>
            <w:r>
              <w:rPr>
                <w:rFonts w:ascii="Times New Roman" w:hAnsi="Times New Roman"/>
              </w:rPr>
              <w:t>缺口梁端部截面有效高度（mm</w:t>
            </w:r>
            <w:r>
              <w:rPr>
                <w:rFonts w:ascii="宋体" w:hAnsi="宋体"/>
              </w:rPr>
              <w:t>）</w:t>
            </w:r>
            <w:r>
              <w:rPr>
                <w:rFonts w:hint="eastAsia" w:ascii="Times New Roman" w:hAnsi="Times New Roman"/>
              </w:rPr>
              <w:t>；</w:t>
            </w:r>
          </w:p>
        </w:tc>
      </w:tr>
      <w:tr>
        <w:tblPrEx>
          <w:tblCellMar>
            <w:top w:w="0" w:type="dxa"/>
            <w:left w:w="108" w:type="dxa"/>
            <w:bottom w:w="0" w:type="dxa"/>
            <w:right w:w="108" w:type="dxa"/>
          </w:tblCellMar>
        </w:tblPrEx>
        <w:trPr>
          <w:trHeight w:val="423" w:hRule="atLeast"/>
        </w:trPr>
        <w:tc>
          <w:tcPr>
            <w:tcW w:w="824" w:type="dxa"/>
          </w:tcPr>
          <w:p>
            <w:pPr>
              <w:autoSpaceDE w:val="0"/>
              <w:snapToGrid w:val="0"/>
              <w:spacing w:line="240" w:lineRule="auto"/>
              <w:jc w:val="right"/>
              <w:rPr>
                <w:rFonts w:ascii="Times New Roman" w:hAnsi="Times New Roman"/>
              </w:rPr>
            </w:pPr>
            <w:r>
              <w:rPr>
                <w:rFonts w:ascii="Times New Roman" w:hAnsi="Times New Roman"/>
                <w:position w:val="-12"/>
                <w:sz w:val="24"/>
                <w:szCs w:val="24"/>
              </w:rPr>
              <w:drawing>
                <wp:inline distT="0" distB="0" distL="0" distR="0">
                  <wp:extent cx="189865" cy="259080"/>
                  <wp:effectExtent l="0" t="0" r="635" b="762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189865" cy="259080"/>
                          </a:xfrm>
                          <a:prstGeom prst="rect">
                            <a:avLst/>
                          </a:prstGeom>
                          <a:noFill/>
                          <a:ln>
                            <a:noFill/>
                          </a:ln>
                        </pic:spPr>
                      </pic:pic>
                    </a:graphicData>
                  </a:graphic>
                </wp:inline>
              </w:drawing>
            </w:r>
          </w:p>
        </w:tc>
        <w:tc>
          <w:tcPr>
            <w:tcW w:w="850" w:type="dxa"/>
          </w:tcPr>
          <w:p>
            <w:pPr>
              <w:autoSpaceDE w:val="0"/>
              <w:snapToGrid w:val="0"/>
              <w:spacing w:line="240" w:lineRule="auto"/>
              <w:jc w:val="center"/>
              <w:rPr>
                <w:rFonts w:ascii="Times New Roman" w:hAnsi="Times New Roman"/>
                <w:color w:val="000000"/>
                <w:sz w:val="28"/>
                <w:szCs w:val="28"/>
              </w:rPr>
            </w:pPr>
            <w:r>
              <w:rPr>
                <w:rFonts w:ascii="Times New Roman" w:hAnsi="Times New Roman"/>
                <w:color w:val="000000"/>
                <w:sz w:val="28"/>
                <w:szCs w:val="28"/>
              </w:rPr>
              <w:t>——</w:t>
            </w:r>
          </w:p>
        </w:tc>
        <w:tc>
          <w:tcPr>
            <w:tcW w:w="7655" w:type="dxa"/>
            <w:vAlign w:val="center"/>
          </w:tcPr>
          <w:p>
            <w:pPr>
              <w:autoSpaceDE w:val="0"/>
              <w:adjustRightInd/>
              <w:spacing w:line="240" w:lineRule="auto"/>
              <w:rPr>
                <w:rFonts w:ascii="Times New Roman" w:hAnsi="Times New Roman"/>
              </w:rPr>
            </w:pPr>
            <w:r>
              <w:rPr>
                <w:rFonts w:ascii="Times New Roman" w:hAnsi="Times New Roman"/>
              </w:rPr>
              <w:t>混凝土</w:t>
            </w:r>
            <w:r>
              <w:rPr>
                <w:rFonts w:hint="eastAsia" w:ascii="Times New Roman" w:hAnsi="Times New Roman"/>
              </w:rPr>
              <w:t>轴心抗压</w:t>
            </w:r>
            <w:r>
              <w:rPr>
                <w:rFonts w:ascii="Times New Roman" w:hAnsi="Times New Roman"/>
              </w:rPr>
              <w:t>强度</w:t>
            </w:r>
            <w:r>
              <w:rPr>
                <w:rFonts w:hint="eastAsia" w:ascii="Times New Roman" w:hAnsi="Times New Roman"/>
              </w:rPr>
              <w:t>设计值</w:t>
            </w:r>
            <w:r>
              <w:rPr>
                <w:rFonts w:ascii="Times New Roman" w:hAnsi="Times New Roman"/>
              </w:rPr>
              <w:t>（N/mm</w:t>
            </w:r>
            <w:r>
              <w:rPr>
                <w:rFonts w:ascii="Times New Roman" w:hAnsi="Times New Roman"/>
                <w:vertAlign w:val="superscript"/>
              </w:rPr>
              <w:t>2</w:t>
            </w:r>
            <w:r>
              <w:rPr>
                <w:rFonts w:ascii="Times New Roman" w:hAnsi="Times New Roman"/>
              </w:rPr>
              <w:t>）。</w:t>
            </w:r>
          </w:p>
        </w:tc>
      </w:tr>
    </w:tbl>
    <w:p>
      <w:pPr>
        <w:pStyle w:val="58"/>
        <w:ind w:left="840" w:leftChars="200" w:hanging="420" w:hangingChars="200"/>
        <w:rPr>
          <w:bCs/>
          <w:szCs w:val="21"/>
        </w:rPr>
      </w:pPr>
      <w:r>
        <w:t>c</w:t>
      </w:r>
      <w:r>
        <w:rPr>
          <w:rFonts w:hint="eastAsia"/>
        </w:rPr>
        <w:t>)</w:t>
      </w:r>
      <w:r>
        <w:tab/>
      </w:r>
      <w:r>
        <w:rPr>
          <w:rFonts w:hint="eastAsia"/>
          <w:bCs/>
          <w:szCs w:val="21"/>
        </w:rPr>
        <w:t>缺口梁端部箍筋的截面面积</w:t>
      </w:r>
      <w:r>
        <w:rPr>
          <w:rFonts w:ascii="Times New Roman"/>
          <w:bCs/>
          <w:i/>
          <w:iCs/>
          <w:szCs w:val="21"/>
        </w:rPr>
        <w:t>A</w:t>
      </w:r>
      <w:r>
        <w:rPr>
          <w:rFonts w:ascii="Times New Roman"/>
          <w:bCs/>
          <w:szCs w:val="21"/>
          <w:vertAlign w:val="subscript"/>
        </w:rPr>
        <w:t>v</w:t>
      </w:r>
      <w:r>
        <w:rPr>
          <w:rFonts w:hint="eastAsia"/>
          <w:bCs/>
          <w:szCs w:val="21"/>
        </w:rPr>
        <w:t>应符合下式规定：</w:t>
      </w:r>
    </w:p>
    <w:p>
      <w:pPr>
        <w:pStyle w:val="58"/>
        <w:ind w:left="840" w:leftChars="200" w:hanging="420" w:hangingChars="200"/>
        <w:jc w:val="center"/>
        <w:rPr>
          <w:bCs/>
          <w:szCs w:val="21"/>
        </w:rPr>
      </w:pPr>
      <w:r>
        <w:drawing>
          <wp:inline distT="0" distB="0" distL="0" distR="0">
            <wp:extent cx="749935" cy="493395"/>
            <wp:effectExtent l="0" t="0" r="0" b="0"/>
            <wp:docPr id="235"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104"/>
                    <pic:cNvPicPr>
                      <a:picLocks noChangeAspect="1" noChangeArrowheads="1"/>
                    </pic:cNvPicPr>
                  </pic:nvPicPr>
                  <pic:blipFill>
                    <a:blip r:embed="rId57" cstate="print"/>
                    <a:srcRect/>
                    <a:stretch>
                      <a:fillRect/>
                    </a:stretch>
                  </pic:blipFill>
                  <pic:spPr>
                    <a:xfrm>
                      <a:off x="0" y="0"/>
                      <a:ext cx="754997" cy="496940"/>
                    </a:xfrm>
                    <a:prstGeom prst="rect">
                      <a:avLst/>
                    </a:prstGeom>
                    <a:noFill/>
                    <a:ln w="9525">
                      <a:noFill/>
                      <a:miter lim="800000"/>
                      <a:headEnd/>
                      <a:tailEnd/>
                    </a:ln>
                  </pic:spPr>
                </pic:pic>
              </a:graphicData>
            </a:graphic>
          </wp:inline>
        </w:drawing>
      </w:r>
    </w:p>
    <w:p>
      <w:pPr>
        <w:spacing w:line="240" w:lineRule="auto"/>
        <w:ind w:firstLine="420" w:firstLineChars="200"/>
      </w:pPr>
      <w:r>
        <w:rPr>
          <w:rFonts w:hint="eastAsia"/>
        </w:rPr>
        <w:t>式中：</w:t>
      </w:r>
    </w:p>
    <w:tbl>
      <w:tblPr>
        <w:tblStyle w:val="27"/>
        <w:tblW w:w="7518" w:type="dxa"/>
        <w:tblInd w:w="135" w:type="dxa"/>
        <w:tblLayout w:type="fixed"/>
        <w:tblCellMar>
          <w:top w:w="0" w:type="dxa"/>
          <w:left w:w="108" w:type="dxa"/>
          <w:bottom w:w="0" w:type="dxa"/>
          <w:right w:w="108" w:type="dxa"/>
        </w:tblCellMar>
      </w:tblPr>
      <w:tblGrid>
        <w:gridCol w:w="966"/>
        <w:gridCol w:w="850"/>
        <w:gridCol w:w="5702"/>
      </w:tblGrid>
      <w:tr>
        <w:tblPrEx>
          <w:tblCellMar>
            <w:top w:w="0" w:type="dxa"/>
            <w:left w:w="108" w:type="dxa"/>
            <w:bottom w:w="0" w:type="dxa"/>
            <w:right w:w="108" w:type="dxa"/>
          </w:tblCellMar>
        </w:tblPrEx>
        <w:trPr>
          <w:trHeight w:val="357" w:hRule="atLeast"/>
        </w:trPr>
        <w:tc>
          <w:tcPr>
            <w:tcW w:w="966" w:type="dxa"/>
          </w:tcPr>
          <w:p>
            <w:pPr>
              <w:autoSpaceDE w:val="0"/>
              <w:snapToGrid w:val="0"/>
              <w:spacing w:line="240" w:lineRule="auto"/>
              <w:jc w:val="right"/>
              <w:rPr>
                <w:rFonts w:ascii="Times New Roman" w:hAnsi="Times New Roman"/>
              </w:rPr>
            </w:pPr>
            <w:r>
              <w:rPr>
                <w:rFonts w:ascii="Times New Roman" w:hAnsi="Times New Roman"/>
                <w:position w:val="-14"/>
                <w:sz w:val="24"/>
                <w:szCs w:val="24"/>
              </w:rPr>
              <w:drawing>
                <wp:inline distT="0" distB="0" distL="0" distR="0">
                  <wp:extent cx="284480" cy="259080"/>
                  <wp:effectExtent l="0" t="0" r="0" b="762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284480" cy="259080"/>
                          </a:xfrm>
                          <a:prstGeom prst="rect">
                            <a:avLst/>
                          </a:prstGeom>
                          <a:noFill/>
                          <a:ln>
                            <a:noFill/>
                          </a:ln>
                        </pic:spPr>
                      </pic:pic>
                    </a:graphicData>
                  </a:graphic>
                </wp:inline>
              </w:drawing>
            </w:r>
          </w:p>
        </w:tc>
        <w:tc>
          <w:tcPr>
            <w:tcW w:w="850" w:type="dxa"/>
          </w:tcPr>
          <w:p>
            <w:pPr>
              <w:autoSpaceDE w:val="0"/>
              <w:snapToGrid w:val="0"/>
              <w:spacing w:line="240" w:lineRule="auto"/>
              <w:jc w:val="center"/>
              <w:rPr>
                <w:rFonts w:ascii="Times New Roman" w:hAnsi="Times New Roman"/>
                <w:color w:val="000000"/>
                <w:sz w:val="28"/>
                <w:szCs w:val="28"/>
              </w:rPr>
            </w:pPr>
            <w:r>
              <w:rPr>
                <w:rFonts w:ascii="Times New Roman" w:hAnsi="Times New Roman"/>
                <w:color w:val="000000"/>
                <w:sz w:val="28"/>
                <w:szCs w:val="28"/>
              </w:rPr>
              <w:t>——</w:t>
            </w:r>
          </w:p>
        </w:tc>
        <w:tc>
          <w:tcPr>
            <w:tcW w:w="5702" w:type="dxa"/>
            <w:vAlign w:val="center"/>
          </w:tcPr>
          <w:p>
            <w:pPr>
              <w:autoSpaceDE w:val="0"/>
              <w:adjustRightInd/>
              <w:spacing w:line="240" w:lineRule="auto"/>
              <w:textAlignment w:val="center"/>
              <w:rPr>
                <w:rFonts w:ascii="Times New Roman" w:hAnsi="Times New Roman"/>
              </w:rPr>
            </w:pPr>
            <w:r>
              <w:rPr>
                <w:rFonts w:ascii="Times New Roman" w:hAnsi="Times New Roman"/>
              </w:rPr>
              <w:t>箍筋抗拉强度设计值（N/mm</w:t>
            </w:r>
            <w:r>
              <w:rPr>
                <w:rFonts w:ascii="Times New Roman" w:hAnsi="Times New Roman"/>
                <w:vertAlign w:val="superscript"/>
              </w:rPr>
              <w:t>2</w:t>
            </w:r>
            <w:r>
              <w:rPr>
                <w:rFonts w:ascii="Times New Roman" w:hAnsi="Times New Roman"/>
              </w:rPr>
              <w:t>）。</w:t>
            </w:r>
          </w:p>
        </w:tc>
      </w:tr>
    </w:tbl>
    <w:p>
      <w:pPr>
        <w:pStyle w:val="58"/>
        <w:ind w:left="840" w:leftChars="200" w:hanging="420" w:hangingChars="200"/>
        <w:rPr>
          <w:bCs/>
          <w:szCs w:val="21"/>
        </w:rPr>
      </w:pPr>
      <w:r>
        <w:t>d</w:t>
      </w:r>
      <w:r>
        <w:rPr>
          <w:rFonts w:hint="eastAsia"/>
        </w:rPr>
        <w:t>)</w:t>
      </w:r>
      <w:r>
        <w:tab/>
      </w:r>
      <w:r>
        <w:rPr>
          <w:rFonts w:hint="eastAsia"/>
          <w:bCs/>
          <w:szCs w:val="21"/>
        </w:rPr>
        <w:t>缺口梁凸出部位梁底纵筋的截面面积</w:t>
      </w:r>
      <w:r>
        <w:rPr>
          <w:rFonts w:ascii="Times New Roman"/>
          <w:bCs/>
          <w:i/>
          <w:iCs/>
          <w:szCs w:val="21"/>
        </w:rPr>
        <w:t>A</w:t>
      </w:r>
      <w:r>
        <w:rPr>
          <w:rFonts w:ascii="Times New Roman"/>
          <w:bCs/>
          <w:szCs w:val="21"/>
          <w:vertAlign w:val="subscript"/>
        </w:rPr>
        <w:t>t1</w:t>
      </w:r>
      <w:r>
        <w:rPr>
          <w:rFonts w:hint="eastAsia"/>
          <w:bCs/>
          <w:szCs w:val="21"/>
        </w:rPr>
        <w:t>应符合下式规定：</w:t>
      </w:r>
    </w:p>
    <w:p>
      <w:pPr>
        <w:spacing w:line="240" w:lineRule="auto"/>
        <w:jc w:val="center"/>
      </w:pPr>
      <w:r>
        <w:drawing>
          <wp:inline distT="0" distB="0" distL="0" distR="0">
            <wp:extent cx="1966595" cy="4699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1981075" cy="473569"/>
                    </a:xfrm>
                    <a:prstGeom prst="rect">
                      <a:avLst/>
                    </a:prstGeom>
                    <a:noFill/>
                    <a:ln>
                      <a:noFill/>
                    </a:ln>
                  </pic:spPr>
                </pic:pic>
              </a:graphicData>
            </a:graphic>
          </wp:inline>
        </w:drawing>
      </w:r>
    </w:p>
    <w:p>
      <w:pPr>
        <w:spacing w:line="240" w:lineRule="auto"/>
        <w:ind w:firstLine="420" w:firstLineChars="200"/>
      </w:pPr>
      <w:r>
        <w:rPr>
          <w:rFonts w:hint="eastAsia"/>
        </w:rPr>
        <w:t>式中：</w:t>
      </w:r>
    </w:p>
    <w:tbl>
      <w:tblPr>
        <w:tblStyle w:val="27"/>
        <w:tblW w:w="9329" w:type="dxa"/>
        <w:tblInd w:w="135" w:type="dxa"/>
        <w:tblLayout w:type="fixed"/>
        <w:tblCellMar>
          <w:top w:w="0" w:type="dxa"/>
          <w:left w:w="108" w:type="dxa"/>
          <w:bottom w:w="0" w:type="dxa"/>
          <w:right w:w="108" w:type="dxa"/>
        </w:tblCellMar>
      </w:tblPr>
      <w:tblGrid>
        <w:gridCol w:w="824"/>
        <w:gridCol w:w="850"/>
        <w:gridCol w:w="7655"/>
      </w:tblGrid>
      <w:tr>
        <w:tblPrEx>
          <w:tblCellMar>
            <w:top w:w="0" w:type="dxa"/>
            <w:left w:w="108" w:type="dxa"/>
            <w:bottom w:w="0" w:type="dxa"/>
            <w:right w:w="108" w:type="dxa"/>
          </w:tblCellMar>
        </w:tblPrEx>
        <w:trPr>
          <w:trHeight w:val="443" w:hRule="atLeast"/>
        </w:trPr>
        <w:tc>
          <w:tcPr>
            <w:tcW w:w="824" w:type="dxa"/>
          </w:tcPr>
          <w:p>
            <w:pPr>
              <w:autoSpaceDE w:val="0"/>
              <w:snapToGrid w:val="0"/>
              <w:spacing w:line="240" w:lineRule="auto"/>
              <w:jc w:val="right"/>
              <w:rPr>
                <w:rFonts w:ascii="宋体" w:hAnsi="宋体"/>
                <w:color w:val="000000"/>
                <w:sz w:val="28"/>
                <w:szCs w:val="28"/>
              </w:rPr>
            </w:pPr>
            <w:r>
              <w:rPr>
                <w:position w:val="-12"/>
                <w:sz w:val="24"/>
                <w:szCs w:val="24"/>
              </w:rPr>
              <w:drawing>
                <wp:inline distT="0" distB="0" distL="0" distR="0">
                  <wp:extent cx="180975" cy="21590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180975" cy="215900"/>
                          </a:xfrm>
                          <a:prstGeom prst="rect">
                            <a:avLst/>
                          </a:prstGeom>
                          <a:noFill/>
                          <a:ln>
                            <a:noFill/>
                          </a:ln>
                        </pic:spPr>
                      </pic:pic>
                    </a:graphicData>
                  </a:graphic>
                </wp:inline>
              </w:drawing>
            </w:r>
          </w:p>
        </w:tc>
        <w:tc>
          <w:tcPr>
            <w:tcW w:w="850" w:type="dxa"/>
          </w:tcPr>
          <w:p>
            <w:pPr>
              <w:autoSpaceDE w:val="0"/>
              <w:snapToGrid w:val="0"/>
              <w:spacing w:line="240" w:lineRule="auto"/>
              <w:jc w:val="center"/>
              <w:rPr>
                <w:rFonts w:ascii="Times New Roman" w:hAnsi="Times New Roman"/>
                <w:color w:val="000000"/>
                <w:sz w:val="28"/>
                <w:szCs w:val="28"/>
              </w:rPr>
            </w:pPr>
            <w:r>
              <w:rPr>
                <w:rFonts w:ascii="Times New Roman" w:hAnsi="Times New Roman"/>
                <w:color w:val="000000"/>
                <w:sz w:val="28"/>
                <w:szCs w:val="28"/>
              </w:rPr>
              <w:t>——</w:t>
            </w:r>
          </w:p>
        </w:tc>
        <w:tc>
          <w:tcPr>
            <w:tcW w:w="7655" w:type="dxa"/>
            <w:vAlign w:val="center"/>
          </w:tcPr>
          <w:p>
            <w:pPr>
              <w:pStyle w:val="235"/>
              <w:autoSpaceDE w:val="0"/>
              <w:spacing w:line="240" w:lineRule="auto"/>
              <w:jc w:val="both"/>
              <w:rPr>
                <w:rFonts w:ascii="宋体" w:hAnsi="宋体"/>
                <w:sz w:val="21"/>
                <w:szCs w:val="21"/>
              </w:rPr>
            </w:pPr>
            <w:r>
              <w:rPr>
                <w:rFonts w:ascii="宋体" w:hAnsi="宋体"/>
                <w:sz w:val="21"/>
                <w:szCs w:val="21"/>
              </w:rPr>
              <w:t>缺口梁梁端支座反力与吊筋合力点之间的距离（mm）。反力作用点位置：梁底有预埋钢板可取为预埋钢板中点，无预埋钢板可取为梁端凸出部位的中点；</w:t>
            </w:r>
          </w:p>
        </w:tc>
      </w:tr>
      <w:tr>
        <w:tblPrEx>
          <w:tblCellMar>
            <w:top w:w="0" w:type="dxa"/>
            <w:left w:w="108" w:type="dxa"/>
            <w:bottom w:w="0" w:type="dxa"/>
            <w:right w:w="108" w:type="dxa"/>
          </w:tblCellMar>
        </w:tblPrEx>
        <w:trPr>
          <w:trHeight w:val="443" w:hRule="atLeast"/>
        </w:trPr>
        <w:tc>
          <w:tcPr>
            <w:tcW w:w="824" w:type="dxa"/>
          </w:tcPr>
          <w:p>
            <w:pPr>
              <w:autoSpaceDE w:val="0"/>
              <w:snapToGrid w:val="0"/>
              <w:spacing w:line="240" w:lineRule="auto"/>
              <w:jc w:val="right"/>
              <w:rPr>
                <w:rFonts w:ascii="Times New Roman" w:hAnsi="Times New Roman"/>
              </w:rPr>
            </w:pPr>
            <w:r>
              <w:rPr>
                <w:position w:val="-10"/>
                <w:sz w:val="24"/>
                <w:szCs w:val="24"/>
              </w:rPr>
              <w:drawing>
                <wp:inline distT="0" distB="0" distL="0" distR="0">
                  <wp:extent cx="189865" cy="29337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189865" cy="293370"/>
                          </a:xfrm>
                          <a:prstGeom prst="rect">
                            <a:avLst/>
                          </a:prstGeom>
                          <a:noFill/>
                          <a:ln>
                            <a:noFill/>
                          </a:ln>
                        </pic:spPr>
                      </pic:pic>
                    </a:graphicData>
                  </a:graphic>
                </wp:inline>
              </w:drawing>
            </w:r>
          </w:p>
        </w:tc>
        <w:tc>
          <w:tcPr>
            <w:tcW w:w="850" w:type="dxa"/>
          </w:tcPr>
          <w:p>
            <w:pPr>
              <w:autoSpaceDE w:val="0"/>
              <w:snapToGrid w:val="0"/>
              <w:spacing w:line="240" w:lineRule="auto"/>
              <w:jc w:val="center"/>
              <w:rPr>
                <w:rFonts w:ascii="Times New Roman" w:hAnsi="Times New Roman"/>
                <w:color w:val="000000"/>
                <w:sz w:val="28"/>
                <w:szCs w:val="28"/>
              </w:rPr>
            </w:pPr>
            <w:r>
              <w:rPr>
                <w:rFonts w:ascii="Times New Roman" w:hAnsi="Times New Roman"/>
                <w:color w:val="000000"/>
                <w:sz w:val="28"/>
                <w:szCs w:val="28"/>
              </w:rPr>
              <w:t>——</w:t>
            </w:r>
          </w:p>
        </w:tc>
        <w:tc>
          <w:tcPr>
            <w:tcW w:w="7655" w:type="dxa"/>
            <w:vAlign w:val="center"/>
          </w:tcPr>
          <w:p>
            <w:pPr>
              <w:pStyle w:val="235"/>
              <w:autoSpaceDE w:val="0"/>
              <w:spacing w:line="240" w:lineRule="auto"/>
              <w:jc w:val="both"/>
              <w:rPr>
                <w:rFonts w:ascii="宋体" w:hAnsi="宋体"/>
                <w:sz w:val="21"/>
                <w:szCs w:val="21"/>
              </w:rPr>
            </w:pPr>
            <w:r>
              <w:rPr>
                <w:rFonts w:ascii="宋体" w:hAnsi="宋体"/>
                <w:sz w:val="21"/>
                <w:szCs w:val="21"/>
              </w:rPr>
              <w:t>可取0.85倍缺口梁端部截面有效高度；</w:t>
            </w:r>
          </w:p>
        </w:tc>
      </w:tr>
      <w:tr>
        <w:tblPrEx>
          <w:tblCellMar>
            <w:top w:w="0" w:type="dxa"/>
            <w:left w:w="108" w:type="dxa"/>
            <w:bottom w:w="0" w:type="dxa"/>
            <w:right w:w="108" w:type="dxa"/>
          </w:tblCellMar>
        </w:tblPrEx>
        <w:trPr>
          <w:trHeight w:val="455" w:hRule="atLeast"/>
        </w:trPr>
        <w:tc>
          <w:tcPr>
            <w:tcW w:w="824" w:type="dxa"/>
          </w:tcPr>
          <w:p>
            <w:pPr>
              <w:autoSpaceDE w:val="0"/>
              <w:snapToGrid w:val="0"/>
              <w:spacing w:line="240" w:lineRule="auto"/>
              <w:jc w:val="right"/>
              <w:rPr>
                <w:rFonts w:ascii="Times New Roman" w:hAnsi="Times New Roman"/>
              </w:rPr>
            </w:pPr>
            <w:r>
              <w:rPr>
                <w:position w:val="-4"/>
                <w:sz w:val="24"/>
                <w:szCs w:val="24"/>
              </w:rPr>
              <w:drawing>
                <wp:inline distT="0" distB="0" distL="0" distR="0">
                  <wp:extent cx="207010" cy="18097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07010" cy="180975"/>
                          </a:xfrm>
                          <a:prstGeom prst="rect">
                            <a:avLst/>
                          </a:prstGeom>
                          <a:noFill/>
                          <a:ln>
                            <a:noFill/>
                          </a:ln>
                        </pic:spPr>
                      </pic:pic>
                    </a:graphicData>
                  </a:graphic>
                </wp:inline>
              </w:drawing>
            </w:r>
          </w:p>
        </w:tc>
        <w:tc>
          <w:tcPr>
            <w:tcW w:w="850" w:type="dxa"/>
          </w:tcPr>
          <w:p>
            <w:pPr>
              <w:autoSpaceDE w:val="0"/>
              <w:snapToGrid w:val="0"/>
              <w:spacing w:line="240" w:lineRule="auto"/>
              <w:jc w:val="center"/>
              <w:rPr>
                <w:rFonts w:ascii="Times New Roman" w:hAnsi="Times New Roman"/>
                <w:color w:val="000000"/>
                <w:sz w:val="28"/>
                <w:szCs w:val="28"/>
              </w:rPr>
            </w:pPr>
            <w:r>
              <w:rPr>
                <w:rFonts w:ascii="Times New Roman" w:hAnsi="Times New Roman"/>
                <w:color w:val="000000"/>
                <w:sz w:val="28"/>
                <w:szCs w:val="28"/>
              </w:rPr>
              <w:t>——</w:t>
            </w:r>
          </w:p>
        </w:tc>
        <w:tc>
          <w:tcPr>
            <w:tcW w:w="7655" w:type="dxa"/>
            <w:vAlign w:val="center"/>
          </w:tcPr>
          <w:p>
            <w:pPr>
              <w:autoSpaceDE w:val="0"/>
              <w:spacing w:line="240" w:lineRule="auto"/>
              <w:rPr>
                <w:rFonts w:ascii="宋体" w:hAnsi="宋体"/>
              </w:rPr>
            </w:pPr>
            <w:r>
              <w:rPr>
                <w:rFonts w:ascii="宋体" w:hAnsi="宋体"/>
              </w:rPr>
              <w:t>梁底有预埋钢板可取0.2N，无预埋钢板可取0.65N，另有计算的除外；</w:t>
            </w:r>
          </w:p>
        </w:tc>
      </w:tr>
      <w:tr>
        <w:tblPrEx>
          <w:tblCellMar>
            <w:top w:w="0" w:type="dxa"/>
            <w:left w:w="108" w:type="dxa"/>
            <w:bottom w:w="0" w:type="dxa"/>
            <w:right w:w="108" w:type="dxa"/>
          </w:tblCellMar>
        </w:tblPrEx>
        <w:trPr>
          <w:trHeight w:val="443" w:hRule="atLeast"/>
        </w:trPr>
        <w:tc>
          <w:tcPr>
            <w:tcW w:w="824" w:type="dxa"/>
          </w:tcPr>
          <w:p>
            <w:pPr>
              <w:autoSpaceDE w:val="0"/>
              <w:snapToGrid w:val="0"/>
              <w:spacing w:line="240" w:lineRule="auto"/>
              <w:jc w:val="right"/>
              <w:rPr>
                <w:rFonts w:ascii="Times New Roman" w:hAnsi="Times New Roman"/>
              </w:rPr>
            </w:pPr>
            <w:r>
              <w:rPr>
                <w:position w:val="-14"/>
                <w:sz w:val="24"/>
                <w:szCs w:val="24"/>
              </w:rPr>
              <w:drawing>
                <wp:inline distT="0" distB="0" distL="0" distR="0">
                  <wp:extent cx="224155" cy="25908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24155" cy="259080"/>
                          </a:xfrm>
                          <a:prstGeom prst="rect">
                            <a:avLst/>
                          </a:prstGeom>
                          <a:noFill/>
                          <a:ln>
                            <a:noFill/>
                          </a:ln>
                        </pic:spPr>
                      </pic:pic>
                    </a:graphicData>
                  </a:graphic>
                </wp:inline>
              </w:drawing>
            </w:r>
          </w:p>
        </w:tc>
        <w:tc>
          <w:tcPr>
            <w:tcW w:w="850" w:type="dxa"/>
          </w:tcPr>
          <w:p>
            <w:pPr>
              <w:autoSpaceDE w:val="0"/>
              <w:snapToGrid w:val="0"/>
              <w:spacing w:line="240" w:lineRule="auto"/>
              <w:jc w:val="center"/>
              <w:rPr>
                <w:rFonts w:ascii="Times New Roman" w:hAnsi="Times New Roman"/>
                <w:color w:val="000000"/>
                <w:sz w:val="28"/>
                <w:szCs w:val="28"/>
              </w:rPr>
            </w:pPr>
            <w:r>
              <w:rPr>
                <w:rFonts w:ascii="Times New Roman" w:hAnsi="Times New Roman"/>
                <w:color w:val="000000"/>
                <w:sz w:val="28"/>
                <w:szCs w:val="28"/>
              </w:rPr>
              <w:t>——</w:t>
            </w:r>
          </w:p>
        </w:tc>
        <w:tc>
          <w:tcPr>
            <w:tcW w:w="7655" w:type="dxa"/>
            <w:vAlign w:val="center"/>
          </w:tcPr>
          <w:p>
            <w:pPr>
              <w:autoSpaceDE w:val="0"/>
              <w:spacing w:line="240" w:lineRule="auto"/>
              <w:rPr>
                <w:rFonts w:ascii="宋体" w:hAnsi="宋体"/>
              </w:rPr>
            </w:pPr>
            <w:r>
              <w:rPr>
                <w:rFonts w:ascii="宋体" w:hAnsi="宋体"/>
              </w:rPr>
              <w:t>钢筋抗拉强度设计值（</w:t>
            </w:r>
            <w:r>
              <w:rPr>
                <w:rFonts w:ascii="Times New Roman" w:hAnsi="Times New Roman"/>
              </w:rPr>
              <w:t>N/mm</w:t>
            </w:r>
            <w:r>
              <w:rPr>
                <w:rFonts w:ascii="Times New Roman" w:hAnsi="Times New Roman"/>
                <w:vertAlign w:val="superscript"/>
              </w:rPr>
              <w:t>2</w:t>
            </w:r>
            <w:r>
              <w:rPr>
                <w:rFonts w:ascii="宋体" w:hAnsi="宋体"/>
              </w:rPr>
              <w:t>）。</w:t>
            </w:r>
          </w:p>
        </w:tc>
      </w:tr>
    </w:tbl>
    <w:p>
      <w:pPr>
        <w:pStyle w:val="58"/>
        <w:ind w:left="840" w:leftChars="200" w:hanging="420" w:hangingChars="200"/>
        <w:rPr>
          <w:bCs/>
          <w:szCs w:val="21"/>
        </w:rPr>
      </w:pPr>
      <w:r>
        <w:t>e</w:t>
      </w:r>
      <w:r>
        <w:rPr>
          <w:rFonts w:hint="eastAsia"/>
        </w:rPr>
        <w:t>)</w:t>
      </w:r>
      <w:r>
        <w:tab/>
      </w:r>
      <w:r>
        <w:rPr>
          <w:rFonts w:hint="eastAsia"/>
          <w:bCs/>
          <w:szCs w:val="21"/>
        </w:rPr>
        <w:t>缺口梁凸出部位腰筋的截面面积</w:t>
      </w:r>
      <w:r>
        <w:rPr>
          <w:rFonts w:ascii="Times New Roman"/>
          <w:bCs/>
          <w:i/>
          <w:iCs/>
          <w:szCs w:val="21"/>
        </w:rPr>
        <w:t>A</w:t>
      </w:r>
      <w:r>
        <w:rPr>
          <w:rFonts w:ascii="Times New Roman"/>
          <w:bCs/>
          <w:szCs w:val="21"/>
          <w:vertAlign w:val="subscript"/>
        </w:rPr>
        <w:t>t2</w:t>
      </w:r>
      <w:r>
        <w:rPr>
          <w:rFonts w:hint="eastAsia"/>
          <w:bCs/>
          <w:szCs w:val="21"/>
        </w:rPr>
        <w:t>应符合下式规定：</w:t>
      </w:r>
    </w:p>
    <w:p>
      <w:pPr>
        <w:spacing w:line="240" w:lineRule="auto"/>
        <w:jc w:val="center"/>
      </w:pPr>
      <w:r>
        <w:drawing>
          <wp:inline distT="0" distB="0" distL="0" distR="0">
            <wp:extent cx="765810" cy="240665"/>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791229" cy="249181"/>
                    </a:xfrm>
                    <a:prstGeom prst="rect">
                      <a:avLst/>
                    </a:prstGeom>
                    <a:noFill/>
                    <a:ln>
                      <a:noFill/>
                    </a:ln>
                  </pic:spPr>
                </pic:pic>
              </a:graphicData>
            </a:graphic>
          </wp:inline>
        </w:drawing>
      </w:r>
    </w:p>
    <w:p>
      <w:pPr>
        <w:pStyle w:val="58"/>
        <w:ind w:left="840" w:leftChars="200" w:hanging="420" w:hangingChars="200"/>
        <w:rPr>
          <w:bCs/>
          <w:szCs w:val="21"/>
        </w:rPr>
      </w:pPr>
      <w:r>
        <w:t>f</w:t>
      </w:r>
      <w:r>
        <w:rPr>
          <w:rFonts w:hint="eastAsia"/>
        </w:rPr>
        <w:t>)</w:t>
      </w:r>
      <w:r>
        <w:tab/>
      </w:r>
      <w:r>
        <w:rPr>
          <w:rFonts w:hint="eastAsia"/>
          <w:bCs/>
          <w:szCs w:val="21"/>
        </w:rPr>
        <w:t>缺口梁凸出部位箍筋的截面面积</w:t>
      </w:r>
      <w:r>
        <w:rPr>
          <w:rFonts w:ascii="Times New Roman"/>
          <w:bCs/>
          <w:i/>
          <w:iCs/>
          <w:szCs w:val="21"/>
        </w:rPr>
        <w:t>A</w:t>
      </w:r>
      <w:r>
        <w:rPr>
          <w:rFonts w:ascii="Times New Roman"/>
          <w:bCs/>
          <w:szCs w:val="21"/>
          <w:vertAlign w:val="subscript"/>
        </w:rPr>
        <w:t>v1</w:t>
      </w:r>
      <w:r>
        <w:rPr>
          <w:rFonts w:hint="eastAsia"/>
          <w:bCs/>
          <w:szCs w:val="21"/>
        </w:rPr>
        <w:t>应符合下列规定：</w:t>
      </w:r>
    </w:p>
    <w:p>
      <w:pPr>
        <w:adjustRightInd/>
        <w:spacing w:line="240" w:lineRule="auto"/>
        <w:jc w:val="center"/>
        <w:rPr>
          <w:rFonts w:ascii="Times New Roman" w:hAnsi="Times New Roman"/>
        </w:rPr>
      </w:pPr>
      <w:r>
        <w:rPr>
          <w:rFonts w:ascii="Times New Roman" w:hAnsi="Times New Roman"/>
        </w:rPr>
        <w:drawing>
          <wp:inline distT="0" distB="0" distL="0" distR="0">
            <wp:extent cx="1569720" cy="52578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1592320" cy="533683"/>
                    </a:xfrm>
                    <a:prstGeom prst="rect">
                      <a:avLst/>
                    </a:prstGeom>
                    <a:noFill/>
                    <a:ln>
                      <a:noFill/>
                    </a:ln>
                  </pic:spPr>
                </pic:pic>
              </a:graphicData>
            </a:graphic>
          </wp:inline>
        </w:drawing>
      </w:r>
    </w:p>
    <w:p>
      <w:pPr>
        <w:ind w:firstLine="420" w:firstLineChars="200"/>
      </w:pPr>
      <w:r>
        <w:rPr>
          <w:rFonts w:hint="eastAsia" w:ascii="Times New Roman" w:hAnsi="Times New Roman"/>
        </w:rPr>
        <w:t>当挑出部分长度</w:t>
      </w:r>
      <w:r>
        <w:rPr>
          <w:rFonts w:hint="eastAsia" w:ascii="Times New Roman" w:hAnsi="Times New Roman"/>
          <w:i/>
          <w:iCs/>
        </w:rPr>
        <w:t>a</w:t>
      </w:r>
      <w:r>
        <w:rPr>
          <w:rFonts w:hint="eastAsia" w:ascii="Times New Roman" w:hAnsi="Times New Roman"/>
        </w:rPr>
        <w:t>不大于150mm时，</w:t>
      </w:r>
      <w:r>
        <w:rPr>
          <w:rFonts w:hint="eastAsia" w:ascii="Times New Roman" w:hAnsi="Times New Roman"/>
          <w:i/>
          <w:iCs/>
        </w:rPr>
        <w:t>A</w:t>
      </w:r>
      <w:r>
        <w:rPr>
          <w:rFonts w:hint="eastAsia" w:ascii="Times New Roman" w:hAnsi="Times New Roman"/>
          <w:vertAlign w:val="subscript"/>
        </w:rPr>
        <w:t>v1</w:t>
      </w:r>
      <w:r>
        <w:rPr>
          <w:rFonts w:hint="eastAsia" w:ascii="Times New Roman" w:hAnsi="Times New Roman"/>
        </w:rPr>
        <w:t>可适当减少，但不应少于</w:t>
      </w:r>
      <w:r>
        <w:rPr>
          <w:rFonts w:hint="eastAsia" w:ascii="Times New Roman" w:hAnsi="Times New Roman"/>
          <w:i/>
          <w:iCs/>
        </w:rPr>
        <w:t>A</w:t>
      </w:r>
      <w:r>
        <w:rPr>
          <w:rFonts w:hint="eastAsia" w:ascii="Times New Roman" w:hAnsi="Times New Roman"/>
          <w:vertAlign w:val="subscript"/>
        </w:rPr>
        <w:t>v1</w:t>
      </w:r>
      <w:r>
        <w:rPr>
          <w:rFonts w:ascii="Times New Roman" w:hAnsi="Times New Roman"/>
          <w:vertAlign w:val="subscript"/>
        </w:rPr>
        <w:t>,min</w:t>
      </w:r>
      <w:r>
        <w:rPr>
          <w:rFonts w:hint="eastAsia" w:ascii="Times New Roman" w:hAnsi="Times New Roman"/>
        </w:rPr>
        <w:t>，</w:t>
      </w:r>
      <w:r>
        <w:rPr>
          <w:rFonts w:hint="eastAsia" w:ascii="Times New Roman" w:hAnsi="Times New Roman"/>
          <w:i/>
          <w:iCs/>
        </w:rPr>
        <w:t>A</w:t>
      </w:r>
      <w:r>
        <w:rPr>
          <w:rFonts w:hint="eastAsia" w:ascii="Times New Roman" w:hAnsi="Times New Roman"/>
          <w:vertAlign w:val="subscript"/>
        </w:rPr>
        <w:t>v1</w:t>
      </w:r>
      <w:r>
        <w:rPr>
          <w:rFonts w:ascii="Times New Roman" w:hAnsi="Times New Roman"/>
          <w:vertAlign w:val="subscript"/>
        </w:rPr>
        <w:t>,min</w:t>
      </w:r>
      <w:r>
        <w:rPr>
          <w:rFonts w:hint="eastAsia" w:ascii="Times New Roman" w:hAnsi="Times New Roman"/>
        </w:rPr>
        <w:t>应符合下列规定：</w:t>
      </w:r>
    </w:p>
    <w:p>
      <w:pPr>
        <w:adjustRightInd/>
        <w:spacing w:line="240" w:lineRule="auto"/>
        <w:jc w:val="center"/>
        <w:rPr>
          <w:rFonts w:ascii="Times New Roman" w:hAnsi="Times New Roman"/>
        </w:rPr>
      </w:pPr>
      <w:r>
        <w:rPr>
          <w:rFonts w:ascii="Times New Roman" w:hAnsi="Times New Roman"/>
        </w:rPr>
        <w:drawing>
          <wp:inline distT="0" distB="0" distL="0" distR="0">
            <wp:extent cx="2104390" cy="51943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119410" cy="523526"/>
                    </a:xfrm>
                    <a:prstGeom prst="rect">
                      <a:avLst/>
                    </a:prstGeom>
                    <a:noFill/>
                    <a:ln>
                      <a:noFill/>
                    </a:ln>
                  </pic:spPr>
                </pic:pic>
              </a:graphicData>
            </a:graphic>
          </wp:inline>
        </w:drawing>
      </w:r>
    </w:p>
    <w:p>
      <w:pPr>
        <w:spacing w:line="240" w:lineRule="auto"/>
      </w:pPr>
      <w:r>
        <w:rPr>
          <w:rFonts w:hint="eastAsia" w:ascii="Times New Roman" w:hAnsi="Times New Roman"/>
        </w:rPr>
        <w:t>且</w:t>
      </w:r>
      <w:r>
        <w:rPr>
          <w:rFonts w:hint="eastAsia" w:ascii="Times New Roman" w:hAnsi="Times New Roman"/>
          <w:i/>
          <w:iCs/>
        </w:rPr>
        <w:t>A</w:t>
      </w:r>
      <w:r>
        <w:rPr>
          <w:rFonts w:hint="eastAsia" w:ascii="Times New Roman" w:hAnsi="Times New Roman"/>
          <w:vertAlign w:val="subscript"/>
        </w:rPr>
        <w:t>v1</w:t>
      </w:r>
      <w:r>
        <w:rPr>
          <w:rFonts w:ascii="Times New Roman" w:hAnsi="Times New Roman"/>
          <w:vertAlign w:val="subscript"/>
        </w:rPr>
        <w:t>,min</w:t>
      </w:r>
      <w:r>
        <w:rPr>
          <w:rFonts w:hint="eastAsia" w:ascii="Times New Roman" w:hAnsi="Times New Roman"/>
        </w:rPr>
        <w:t>不小于</w:t>
      </w:r>
      <w:r>
        <w:rPr>
          <w:rFonts w:ascii="Times New Roman" w:hAnsi="Times New Roman"/>
        </w:rPr>
        <w:t>0.24</w:t>
      </w:r>
      <w:r>
        <w:rPr>
          <w:rFonts w:ascii="Times New Roman" w:hAnsi="Times New Roman"/>
          <w:i/>
          <w:iCs/>
        </w:rPr>
        <w:t>bh</w:t>
      </w:r>
      <w:r>
        <w:rPr>
          <w:rFonts w:ascii="Times New Roman" w:hAnsi="Times New Roman"/>
          <w:vertAlign w:val="subscript"/>
        </w:rPr>
        <w:t>1</w:t>
      </w:r>
      <w:r>
        <w:rPr>
          <w:rFonts w:ascii="Times New Roman" w:hAnsi="Times New Roman"/>
          <w:i/>
          <w:iCs/>
        </w:rPr>
        <w:t>f</w:t>
      </w:r>
      <w:r>
        <w:rPr>
          <w:rFonts w:ascii="Times New Roman" w:hAnsi="Times New Roman"/>
          <w:vertAlign w:val="subscript"/>
        </w:rPr>
        <w:t>t</w:t>
      </w:r>
      <w:r>
        <w:rPr>
          <w:rFonts w:ascii="Times New Roman" w:hAnsi="Times New Roman"/>
        </w:rPr>
        <w:t>/</w:t>
      </w:r>
      <w:r>
        <w:rPr>
          <w:rFonts w:ascii="Times New Roman" w:hAnsi="Times New Roman"/>
          <w:i/>
          <w:iCs/>
        </w:rPr>
        <w:t>f</w:t>
      </w:r>
      <w:r>
        <w:rPr>
          <w:rFonts w:ascii="Times New Roman" w:hAnsi="Times New Roman"/>
          <w:vertAlign w:val="subscript"/>
        </w:rPr>
        <w:t>yv</w:t>
      </w:r>
      <w:r>
        <w:rPr>
          <w:rFonts w:hint="eastAsia" w:ascii="Times New Roman" w:hAnsi="Times New Roman"/>
        </w:rPr>
        <w:t>。</w:t>
      </w:r>
    </w:p>
    <w:p>
      <w:pPr>
        <w:spacing w:line="240" w:lineRule="auto"/>
        <w:ind w:firstLine="420" w:firstLineChars="200"/>
      </w:pPr>
      <w:r>
        <w:rPr>
          <w:rFonts w:hint="eastAsia"/>
        </w:rPr>
        <w:t>式中：</w:t>
      </w:r>
    </w:p>
    <w:tbl>
      <w:tblPr>
        <w:tblStyle w:val="27"/>
        <w:tblW w:w="7518" w:type="dxa"/>
        <w:tblInd w:w="135" w:type="dxa"/>
        <w:tblLayout w:type="fixed"/>
        <w:tblCellMar>
          <w:top w:w="0" w:type="dxa"/>
          <w:left w:w="108" w:type="dxa"/>
          <w:bottom w:w="0" w:type="dxa"/>
          <w:right w:w="108" w:type="dxa"/>
        </w:tblCellMar>
      </w:tblPr>
      <w:tblGrid>
        <w:gridCol w:w="824"/>
        <w:gridCol w:w="850"/>
        <w:gridCol w:w="5844"/>
      </w:tblGrid>
      <w:tr>
        <w:tblPrEx>
          <w:tblCellMar>
            <w:top w:w="0" w:type="dxa"/>
            <w:left w:w="108" w:type="dxa"/>
            <w:bottom w:w="0" w:type="dxa"/>
            <w:right w:w="108" w:type="dxa"/>
          </w:tblCellMar>
        </w:tblPrEx>
        <w:trPr>
          <w:trHeight w:val="443" w:hRule="atLeast"/>
        </w:trPr>
        <w:tc>
          <w:tcPr>
            <w:tcW w:w="824" w:type="dxa"/>
          </w:tcPr>
          <w:p>
            <w:pPr>
              <w:autoSpaceDE w:val="0"/>
              <w:snapToGrid w:val="0"/>
              <w:spacing w:line="240" w:lineRule="auto"/>
              <w:jc w:val="right"/>
              <w:rPr>
                <w:rFonts w:ascii="Times New Roman" w:hAnsi="Times New Roman"/>
              </w:rPr>
            </w:pPr>
            <w:r>
              <w:rPr>
                <w:position w:val="-12"/>
                <w:sz w:val="28"/>
                <w:szCs w:val="28"/>
              </w:rPr>
              <w:drawing>
                <wp:inline distT="0" distB="0" distL="0" distR="0">
                  <wp:extent cx="207010" cy="293370"/>
                  <wp:effectExtent l="0" t="0" r="0" b="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22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207010" cy="293370"/>
                          </a:xfrm>
                          <a:prstGeom prst="rect">
                            <a:avLst/>
                          </a:prstGeom>
                          <a:noFill/>
                          <a:ln>
                            <a:noFill/>
                          </a:ln>
                        </pic:spPr>
                      </pic:pic>
                    </a:graphicData>
                  </a:graphic>
                </wp:inline>
              </w:drawing>
            </w:r>
          </w:p>
        </w:tc>
        <w:tc>
          <w:tcPr>
            <w:tcW w:w="850" w:type="dxa"/>
          </w:tcPr>
          <w:p>
            <w:pPr>
              <w:autoSpaceDE w:val="0"/>
              <w:snapToGrid w:val="0"/>
              <w:spacing w:line="240" w:lineRule="auto"/>
              <w:jc w:val="center"/>
              <w:rPr>
                <w:rFonts w:ascii="Times New Roman" w:hAnsi="Times New Roman"/>
                <w:color w:val="000000"/>
                <w:sz w:val="28"/>
                <w:szCs w:val="28"/>
              </w:rPr>
            </w:pPr>
            <w:r>
              <w:rPr>
                <w:rFonts w:ascii="Times New Roman" w:hAnsi="Times New Roman"/>
                <w:color w:val="000000"/>
                <w:sz w:val="28"/>
                <w:szCs w:val="28"/>
              </w:rPr>
              <w:t>——</w:t>
            </w:r>
          </w:p>
        </w:tc>
        <w:tc>
          <w:tcPr>
            <w:tcW w:w="5844" w:type="dxa"/>
            <w:vAlign w:val="center"/>
          </w:tcPr>
          <w:p>
            <w:pPr>
              <w:autoSpaceDE w:val="0"/>
              <w:spacing w:line="240" w:lineRule="auto"/>
              <w:rPr>
                <w:rFonts w:ascii="Times New Roman" w:hAnsi="Times New Roman"/>
              </w:rPr>
            </w:pPr>
            <w:r>
              <w:t>混凝土抗拉强度设计值（</w:t>
            </w:r>
            <w:r>
              <w:rPr>
                <w:rFonts w:ascii="Times New Roman" w:hAnsi="Times New Roman"/>
              </w:rPr>
              <w:t>N/mm</w:t>
            </w:r>
            <w:r>
              <w:rPr>
                <w:rFonts w:ascii="Times New Roman" w:hAnsi="Times New Roman"/>
                <w:vertAlign w:val="superscript"/>
              </w:rPr>
              <w:t>2</w:t>
            </w:r>
            <w:r>
              <w:t>）。</w:t>
            </w:r>
          </w:p>
        </w:tc>
      </w:tr>
    </w:tbl>
    <w:p>
      <w:pPr>
        <w:pStyle w:val="58"/>
        <w:ind w:left="840" w:leftChars="200" w:hanging="420" w:hangingChars="200"/>
        <w:rPr>
          <w:rFonts w:hint="eastAsia" w:eastAsia="宋体"/>
          <w:bCs/>
          <w:szCs w:val="21"/>
          <w:lang w:eastAsia="zh-CN"/>
        </w:rPr>
      </w:pPr>
      <w:r>
        <w:t>g</w:t>
      </w:r>
      <w:r>
        <w:rPr>
          <w:rFonts w:hint="eastAsia"/>
        </w:rPr>
        <w:t>)</w:t>
      </w:r>
      <w:r>
        <w:tab/>
      </w:r>
      <w:r>
        <w:rPr>
          <w:rFonts w:hint="eastAsia"/>
          <w:bCs/>
          <w:szCs w:val="21"/>
        </w:rPr>
        <w:t>缺口梁凸出部位纵筋</w:t>
      </w:r>
      <w:r>
        <w:rPr>
          <w:rFonts w:ascii="Times New Roman"/>
          <w:bCs/>
          <w:i/>
          <w:iCs/>
          <w:szCs w:val="21"/>
        </w:rPr>
        <w:t>A</w:t>
      </w:r>
      <w:r>
        <w:rPr>
          <w:rFonts w:ascii="Times New Roman"/>
          <w:bCs/>
          <w:szCs w:val="21"/>
          <w:vertAlign w:val="subscript"/>
        </w:rPr>
        <w:t>t1</w:t>
      </w:r>
      <w:r>
        <w:rPr>
          <w:rFonts w:hint="eastAsia"/>
          <w:bCs/>
          <w:szCs w:val="21"/>
        </w:rPr>
        <w:t>及腰筋</w:t>
      </w:r>
      <w:r>
        <w:rPr>
          <w:rFonts w:ascii="Times New Roman"/>
          <w:bCs/>
          <w:i/>
          <w:iCs/>
          <w:szCs w:val="21"/>
        </w:rPr>
        <w:t>A</w:t>
      </w:r>
      <w:r>
        <w:rPr>
          <w:rFonts w:ascii="Times New Roman"/>
          <w:bCs/>
          <w:szCs w:val="21"/>
          <w:vertAlign w:val="subscript"/>
        </w:rPr>
        <w:t>t2</w:t>
      </w:r>
      <w:r>
        <w:rPr>
          <w:rFonts w:hint="eastAsia"/>
          <w:bCs/>
          <w:szCs w:val="21"/>
        </w:rPr>
        <w:t>应做成U形，从垂直裂缝（图</w:t>
      </w:r>
      <w:r>
        <w:rPr>
          <w:bCs/>
          <w:szCs w:val="21"/>
        </w:rPr>
        <w:t>1</w:t>
      </w:r>
      <w:r>
        <w:rPr>
          <w:rFonts w:hint="eastAsia"/>
          <w:bCs/>
          <w:szCs w:val="21"/>
        </w:rPr>
        <w:t>）伸入梁内的延伸长度可取为1.7倍钢筋的锚固长度</w:t>
      </w:r>
      <w:r>
        <w:rPr>
          <w:rFonts w:ascii="Times New Roman"/>
          <w:bCs/>
          <w:i/>
          <w:iCs/>
          <w:szCs w:val="21"/>
        </w:rPr>
        <w:t>l</w:t>
      </w:r>
      <w:r>
        <w:rPr>
          <w:rFonts w:hint="eastAsia"/>
          <w:bCs/>
          <w:szCs w:val="21"/>
          <w:vertAlign w:val="subscript"/>
        </w:rPr>
        <w:t>a</w:t>
      </w:r>
      <w:r>
        <w:rPr>
          <w:rFonts w:hint="eastAsia"/>
          <w:bCs/>
          <w:szCs w:val="21"/>
        </w:rPr>
        <w:t>。腰筋</w:t>
      </w:r>
      <w:r>
        <w:rPr>
          <w:rFonts w:ascii="Times New Roman"/>
          <w:bCs/>
          <w:i/>
          <w:iCs/>
          <w:szCs w:val="21"/>
        </w:rPr>
        <w:t>A</w:t>
      </w:r>
      <w:r>
        <w:rPr>
          <w:rFonts w:ascii="Times New Roman"/>
          <w:bCs/>
          <w:szCs w:val="21"/>
          <w:vertAlign w:val="subscript"/>
        </w:rPr>
        <w:t>t2</w:t>
      </w:r>
      <w:r>
        <w:rPr>
          <w:rFonts w:hint="eastAsia"/>
          <w:bCs/>
          <w:szCs w:val="21"/>
        </w:rPr>
        <w:t>间距以及与</w:t>
      </w:r>
      <w:r>
        <w:rPr>
          <w:rFonts w:ascii="Times New Roman"/>
          <w:bCs/>
          <w:i/>
          <w:iCs/>
          <w:szCs w:val="21"/>
        </w:rPr>
        <w:t>A</w:t>
      </w:r>
      <w:r>
        <w:rPr>
          <w:rFonts w:ascii="Times New Roman"/>
          <w:bCs/>
          <w:szCs w:val="21"/>
          <w:vertAlign w:val="subscript"/>
        </w:rPr>
        <w:t>t1</w:t>
      </w:r>
      <w:r>
        <w:rPr>
          <w:rFonts w:hint="eastAsia"/>
          <w:bCs/>
          <w:szCs w:val="21"/>
        </w:rPr>
        <w:t>之间的距离不宜大于100mm，不应小于50mm，最上排腰筋与梁顶距离不应小于缺口梁端部高度</w:t>
      </w:r>
      <w:r>
        <w:rPr>
          <w:rFonts w:ascii="Times New Roman"/>
          <w:bCs/>
          <w:i/>
          <w:iCs/>
          <w:szCs w:val="21"/>
        </w:rPr>
        <w:t>h</w:t>
      </w:r>
      <w:r>
        <w:rPr>
          <w:rFonts w:ascii="Times New Roman"/>
          <w:bCs/>
          <w:szCs w:val="21"/>
          <w:vertAlign w:val="subscript"/>
        </w:rPr>
        <w:t>1</w:t>
      </w:r>
      <w:r>
        <w:rPr>
          <w:rFonts w:hint="eastAsia"/>
          <w:bCs/>
          <w:szCs w:val="21"/>
        </w:rPr>
        <w:t>的1/3</w:t>
      </w:r>
      <w:r>
        <w:rPr>
          <w:rFonts w:hint="eastAsia"/>
          <w:bCs/>
          <w:szCs w:val="21"/>
          <w:lang w:eastAsia="zh-CN"/>
        </w:rPr>
        <w:t>；</w:t>
      </w:r>
    </w:p>
    <w:p>
      <w:pPr>
        <w:pStyle w:val="58"/>
        <w:ind w:left="840" w:leftChars="200" w:hanging="420" w:hangingChars="200"/>
        <w:rPr>
          <w:rFonts w:hint="eastAsia" w:eastAsia="宋体"/>
          <w:bCs/>
          <w:szCs w:val="21"/>
          <w:lang w:eastAsia="zh-CN"/>
        </w:rPr>
      </w:pPr>
      <w:r>
        <w:t>h</w:t>
      </w:r>
      <w:r>
        <w:rPr>
          <w:rFonts w:hint="eastAsia"/>
        </w:rPr>
        <w:t>)</w:t>
      </w:r>
      <w:r>
        <w:tab/>
      </w:r>
      <w:r>
        <w:rPr>
          <w:rFonts w:hint="eastAsia"/>
          <w:bCs/>
          <w:szCs w:val="21"/>
        </w:rPr>
        <w:t>缺口梁凸出部位箍筋</w:t>
      </w:r>
      <w:r>
        <w:rPr>
          <w:rFonts w:ascii="Times New Roman"/>
          <w:bCs/>
          <w:i/>
          <w:iCs/>
          <w:szCs w:val="21"/>
        </w:rPr>
        <w:t>A</w:t>
      </w:r>
      <w:r>
        <w:rPr>
          <w:rFonts w:ascii="Times New Roman"/>
          <w:bCs/>
          <w:szCs w:val="21"/>
          <w:vertAlign w:val="subscript"/>
        </w:rPr>
        <w:t>v1</w:t>
      </w:r>
      <w:r>
        <w:rPr>
          <w:rFonts w:hint="eastAsia"/>
          <w:bCs/>
          <w:szCs w:val="21"/>
        </w:rPr>
        <w:t>和箍筋</w:t>
      </w:r>
      <w:r>
        <w:rPr>
          <w:rFonts w:ascii="Times New Roman"/>
          <w:bCs/>
          <w:i/>
          <w:iCs/>
          <w:szCs w:val="21"/>
        </w:rPr>
        <w:t>A</w:t>
      </w:r>
      <w:r>
        <w:rPr>
          <w:rFonts w:ascii="Times New Roman"/>
          <w:bCs/>
          <w:szCs w:val="21"/>
          <w:vertAlign w:val="subscript"/>
        </w:rPr>
        <w:t>v</w:t>
      </w:r>
      <w:r>
        <w:rPr>
          <w:rFonts w:hint="eastAsia"/>
          <w:bCs/>
          <w:szCs w:val="21"/>
        </w:rPr>
        <w:t>应为封闭箍筋，距梁边距离不应大于40mm，</w:t>
      </w:r>
      <w:r>
        <w:rPr>
          <w:rFonts w:ascii="Times New Roman"/>
          <w:bCs/>
          <w:i/>
          <w:iCs/>
          <w:szCs w:val="21"/>
        </w:rPr>
        <w:t>A</w:t>
      </w:r>
      <w:r>
        <w:rPr>
          <w:rFonts w:ascii="Times New Roman"/>
          <w:bCs/>
          <w:szCs w:val="21"/>
          <w:vertAlign w:val="subscript"/>
        </w:rPr>
        <w:t>v</w:t>
      </w:r>
      <w:r>
        <w:rPr>
          <w:rFonts w:hint="eastAsia"/>
          <w:bCs/>
          <w:szCs w:val="21"/>
        </w:rPr>
        <w:t>应配置在缺口梁端部高度的1/2的范围内。</w:t>
      </w:r>
      <w:r>
        <w:rPr>
          <w:rFonts w:ascii="Times New Roman"/>
          <w:bCs/>
          <w:i/>
          <w:iCs/>
          <w:szCs w:val="21"/>
        </w:rPr>
        <w:t>A</w:t>
      </w:r>
      <w:r>
        <w:rPr>
          <w:rFonts w:ascii="Times New Roman"/>
          <w:bCs/>
          <w:szCs w:val="21"/>
          <w:vertAlign w:val="subscript"/>
        </w:rPr>
        <w:t>v1</w:t>
      </w:r>
      <w:r>
        <w:rPr>
          <w:rFonts w:hint="eastAsia"/>
          <w:bCs/>
          <w:szCs w:val="21"/>
        </w:rPr>
        <w:t>不应少于3道，间距不应大于100mm</w:t>
      </w:r>
      <w:r>
        <w:rPr>
          <w:rFonts w:hint="eastAsia"/>
          <w:bCs/>
          <w:szCs w:val="21"/>
          <w:lang w:eastAsia="zh-CN"/>
        </w:rPr>
        <w:t>；</w:t>
      </w:r>
    </w:p>
    <w:p>
      <w:pPr>
        <w:pStyle w:val="58"/>
        <w:ind w:left="840" w:leftChars="200" w:hanging="420" w:hangingChars="200"/>
        <w:rPr>
          <w:kern w:val="2"/>
          <w:szCs w:val="21"/>
        </w:rPr>
      </w:pPr>
      <w:r>
        <w:t>i</w:t>
      </w:r>
      <w:r>
        <w:rPr>
          <w:rFonts w:hint="eastAsia"/>
        </w:rPr>
        <w:t>)</w:t>
      </w:r>
      <w:r>
        <w:tab/>
      </w:r>
      <w:r>
        <w:rPr>
          <w:rFonts w:hint="eastAsia"/>
          <w:bCs/>
          <w:szCs w:val="21"/>
        </w:rPr>
        <w:t>缺口梁底部纵筋在梁端的锚固可采用梁底水平U形钢筋</w:t>
      </w:r>
      <w:r>
        <w:rPr>
          <w:rFonts w:ascii="Times New Roman"/>
          <w:bCs/>
          <w:i/>
          <w:iCs/>
          <w:szCs w:val="21"/>
        </w:rPr>
        <w:t>A</w:t>
      </w:r>
      <w:r>
        <w:rPr>
          <w:rFonts w:ascii="Times New Roman"/>
          <w:bCs/>
          <w:i/>
          <w:iCs/>
          <w:szCs w:val="21"/>
          <w:vertAlign w:val="subscript"/>
        </w:rPr>
        <w:t>l</w:t>
      </w:r>
      <w:r>
        <w:rPr>
          <w:rFonts w:ascii="Times New Roman"/>
          <w:bCs/>
          <w:szCs w:val="21"/>
          <w:vertAlign w:val="subscript"/>
        </w:rPr>
        <w:t>1</w:t>
      </w:r>
      <w:r>
        <w:rPr>
          <w:rFonts w:hint="eastAsia"/>
          <w:bCs/>
          <w:szCs w:val="21"/>
        </w:rPr>
        <w:t>及</w:t>
      </w:r>
      <w:r>
        <w:rPr>
          <w:rFonts w:ascii="Times New Roman"/>
          <w:bCs/>
          <w:i/>
          <w:iCs/>
          <w:szCs w:val="21"/>
        </w:rPr>
        <w:t>A</w:t>
      </w:r>
      <w:r>
        <w:rPr>
          <w:rFonts w:ascii="Times New Roman"/>
          <w:bCs/>
          <w:i/>
          <w:iCs/>
          <w:szCs w:val="21"/>
          <w:vertAlign w:val="subscript"/>
        </w:rPr>
        <w:t>l</w:t>
      </w:r>
      <w:r>
        <w:rPr>
          <w:rFonts w:ascii="Times New Roman"/>
          <w:bCs/>
          <w:szCs w:val="21"/>
          <w:vertAlign w:val="subscript"/>
        </w:rPr>
        <w:t>2</w:t>
      </w:r>
      <w:r>
        <w:rPr>
          <w:rFonts w:hint="eastAsia"/>
          <w:bCs/>
          <w:szCs w:val="21"/>
        </w:rPr>
        <w:t>与其搭接的方式，</w:t>
      </w:r>
      <w:r>
        <w:rPr>
          <w:rFonts w:ascii="Times New Roman"/>
          <w:bCs/>
          <w:i/>
          <w:iCs/>
          <w:szCs w:val="21"/>
        </w:rPr>
        <w:t>A</w:t>
      </w:r>
      <w:r>
        <w:rPr>
          <w:rFonts w:ascii="Times New Roman"/>
          <w:bCs/>
          <w:i/>
          <w:iCs/>
          <w:szCs w:val="21"/>
          <w:vertAlign w:val="subscript"/>
        </w:rPr>
        <w:t>l</w:t>
      </w:r>
      <w:r>
        <w:rPr>
          <w:rFonts w:ascii="Times New Roman"/>
          <w:bCs/>
          <w:szCs w:val="21"/>
          <w:vertAlign w:val="subscript"/>
        </w:rPr>
        <w:t>1</w:t>
      </w:r>
      <w:r>
        <w:rPr>
          <w:rFonts w:hint="eastAsia"/>
          <w:bCs/>
          <w:szCs w:val="21"/>
        </w:rPr>
        <w:t>及</w:t>
      </w:r>
      <w:r>
        <w:rPr>
          <w:rFonts w:ascii="Times New Roman"/>
          <w:bCs/>
          <w:i/>
          <w:iCs/>
          <w:szCs w:val="21"/>
        </w:rPr>
        <w:t>A</w:t>
      </w:r>
      <w:r>
        <w:rPr>
          <w:rFonts w:ascii="Times New Roman"/>
          <w:bCs/>
          <w:i/>
          <w:iCs/>
          <w:szCs w:val="21"/>
          <w:vertAlign w:val="subscript"/>
        </w:rPr>
        <w:t>l</w:t>
      </w:r>
      <w:r>
        <w:rPr>
          <w:rFonts w:ascii="Times New Roman"/>
          <w:bCs/>
          <w:szCs w:val="21"/>
          <w:vertAlign w:val="subscript"/>
        </w:rPr>
        <w:t>2</w:t>
      </w:r>
      <w:r>
        <w:rPr>
          <w:rFonts w:hint="eastAsia"/>
          <w:bCs/>
          <w:szCs w:val="21"/>
        </w:rPr>
        <w:t>的直段长度可取为1.7倍钢筋的锚固长度</w:t>
      </w:r>
      <w:r>
        <w:rPr>
          <w:rFonts w:ascii="Times New Roman"/>
          <w:bCs/>
          <w:i/>
          <w:iCs/>
          <w:szCs w:val="21"/>
        </w:rPr>
        <w:t>l</w:t>
      </w:r>
      <w:r>
        <w:rPr>
          <w:rFonts w:hint="eastAsia"/>
          <w:bCs/>
          <w:szCs w:val="21"/>
          <w:vertAlign w:val="subscript"/>
        </w:rPr>
        <w:t>a</w:t>
      </w:r>
      <w:r>
        <w:rPr>
          <w:rFonts w:hint="eastAsia"/>
          <w:bCs/>
          <w:szCs w:val="21"/>
        </w:rPr>
        <w:t>，截面面积不应小于梁底普通钢筋及预应力筋换算为普通钢筋的面积之和</w:t>
      </w:r>
      <w:r>
        <w:rPr>
          <w:rFonts w:ascii="Times New Roman"/>
          <w:bCs/>
          <w:i/>
          <w:iCs/>
          <w:szCs w:val="21"/>
        </w:rPr>
        <w:t>A</w:t>
      </w:r>
      <w:r>
        <w:rPr>
          <w:rFonts w:ascii="Times New Roman"/>
          <w:bCs/>
          <w:szCs w:val="21"/>
          <w:vertAlign w:val="subscript"/>
        </w:rPr>
        <w:t>t</w:t>
      </w:r>
      <w:r>
        <w:rPr>
          <w:rFonts w:hint="eastAsia"/>
          <w:bCs/>
          <w:szCs w:val="21"/>
        </w:rPr>
        <w:t xml:space="preserve">的1/3。 </w:t>
      </w:r>
      <w:r>
        <w:rPr>
          <w:bCs/>
          <w:szCs w:val="21"/>
        </w:rPr>
        <w:t xml:space="preserve">   </w:t>
      </w:r>
    </w:p>
    <w:p>
      <w:pPr>
        <w:pStyle w:val="58"/>
        <w:ind w:left="840" w:leftChars="200" w:hanging="420" w:hangingChars="200"/>
        <w:rPr>
          <w:bCs/>
          <w:szCs w:val="21"/>
        </w:rPr>
      </w:pPr>
    </w:p>
    <w:p>
      <w:pPr>
        <w:pStyle w:val="58"/>
        <w:ind w:left="840" w:leftChars="200" w:hanging="420" w:hangingChars="200"/>
        <w:jc w:val="center"/>
        <w:rPr>
          <w:bCs/>
          <w:szCs w:val="21"/>
        </w:rPr>
      </w:pPr>
      <w:r>
        <w:rPr>
          <w:bCs/>
          <w:szCs w:val="21"/>
        </w:rPr>
        <w:drawing>
          <wp:inline distT="0" distB="0" distL="0" distR="0">
            <wp:extent cx="2415540" cy="2380615"/>
            <wp:effectExtent l="0" t="0" r="0" b="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22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2508941" cy="2472674"/>
                    </a:xfrm>
                    <a:prstGeom prst="rect">
                      <a:avLst/>
                    </a:prstGeom>
                    <a:noFill/>
                  </pic:spPr>
                </pic:pic>
              </a:graphicData>
            </a:graphic>
          </wp:inline>
        </w:drawing>
      </w:r>
    </w:p>
    <w:p>
      <w:pPr>
        <w:pStyle w:val="58"/>
        <w:ind w:left="780" w:leftChars="200" w:hanging="360" w:hangingChars="200"/>
        <w:jc w:val="left"/>
        <w:rPr>
          <w:bCs/>
          <w:sz w:val="18"/>
          <w:szCs w:val="18"/>
        </w:rPr>
      </w:pPr>
      <w:r>
        <w:rPr>
          <w:rFonts w:hint="eastAsia"/>
          <w:bCs/>
          <w:sz w:val="18"/>
          <w:szCs w:val="18"/>
        </w:rPr>
        <w:t>标引序号说明：</w:t>
      </w:r>
    </w:p>
    <w:p>
      <w:pPr>
        <w:spacing w:line="240" w:lineRule="auto"/>
        <w:ind w:firstLine="180" w:firstLineChars="100"/>
        <w:rPr>
          <w:rFonts w:ascii="宋体" w:hAnsi="宋体"/>
          <w:color w:val="000000"/>
          <w:sz w:val="18"/>
          <w:szCs w:val="18"/>
        </w:rPr>
      </w:pPr>
      <w:r>
        <w:rPr>
          <w:rFonts w:hint="eastAsia" w:ascii="宋体" w:hAnsi="宋体"/>
          <w:sz w:val="18"/>
          <w:szCs w:val="18"/>
        </w:rPr>
        <w:t>1、7</w:t>
      </w:r>
      <w:r>
        <w:rPr>
          <w:rFonts w:ascii="宋体" w:hAnsi="宋体"/>
          <w:sz w:val="18"/>
          <w:szCs w:val="18"/>
        </w:rPr>
        <w:softHyphen/>
      </w:r>
      <w:r>
        <w:rPr>
          <w:rFonts w:ascii="Times New Roman" w:hAnsi="Times New Roman"/>
          <w:color w:val="000000"/>
          <w:sz w:val="18"/>
          <w:szCs w:val="18"/>
        </w:rPr>
        <w:t>——</w:t>
      </w:r>
      <w:r>
        <w:rPr>
          <w:rFonts w:hint="eastAsia" w:ascii="宋体" w:hAnsi="宋体"/>
          <w:color w:val="000000"/>
          <w:sz w:val="18"/>
          <w:szCs w:val="18"/>
        </w:rPr>
        <w:t>梁底水平U型钢筋（</w:t>
      </w:r>
      <w:r>
        <w:rPr>
          <w:rFonts w:ascii="Times New Roman" w:hAnsi="Times New Roman"/>
          <w:bCs/>
          <w:i/>
          <w:iCs/>
          <w:sz w:val="18"/>
          <w:szCs w:val="18"/>
        </w:rPr>
        <w:t>A</w:t>
      </w:r>
      <w:r>
        <w:rPr>
          <w:rFonts w:ascii="Times New Roman" w:hAnsi="Times New Roman"/>
          <w:bCs/>
          <w:i/>
          <w:iCs/>
          <w:sz w:val="18"/>
          <w:szCs w:val="18"/>
          <w:vertAlign w:val="subscript"/>
        </w:rPr>
        <w:t>l</w:t>
      </w:r>
      <w:r>
        <w:rPr>
          <w:rFonts w:ascii="Times New Roman" w:hAnsi="Times New Roman"/>
          <w:bCs/>
          <w:sz w:val="18"/>
          <w:szCs w:val="18"/>
          <w:vertAlign w:val="subscript"/>
        </w:rPr>
        <w:t>1</w:t>
      </w:r>
      <w:r>
        <w:rPr>
          <w:rFonts w:hint="eastAsia" w:ascii="宋体" w:hAnsi="宋体"/>
          <w:color w:val="000000"/>
          <w:sz w:val="18"/>
          <w:szCs w:val="18"/>
        </w:rPr>
        <w:t>、</w:t>
      </w:r>
      <w:r>
        <w:rPr>
          <w:rFonts w:ascii="Times New Roman" w:hAnsi="Times New Roman"/>
          <w:bCs/>
          <w:i/>
          <w:iCs/>
          <w:sz w:val="18"/>
          <w:szCs w:val="18"/>
        </w:rPr>
        <w:t>A</w:t>
      </w:r>
      <w:r>
        <w:rPr>
          <w:rFonts w:ascii="Times New Roman" w:hAnsi="Times New Roman"/>
          <w:bCs/>
          <w:i/>
          <w:iCs/>
          <w:sz w:val="18"/>
          <w:szCs w:val="18"/>
          <w:vertAlign w:val="subscript"/>
        </w:rPr>
        <w:t>l</w:t>
      </w:r>
      <w:r>
        <w:rPr>
          <w:rFonts w:ascii="Times New Roman" w:hAnsi="Times New Roman"/>
          <w:bCs/>
          <w:sz w:val="18"/>
          <w:szCs w:val="18"/>
          <w:vertAlign w:val="subscript"/>
        </w:rPr>
        <w:t>2</w:t>
      </w:r>
      <w:r>
        <w:rPr>
          <w:rFonts w:hint="eastAsia" w:ascii="宋体" w:hAnsi="宋体"/>
          <w:color w:val="000000"/>
          <w:sz w:val="18"/>
          <w:szCs w:val="18"/>
        </w:rPr>
        <w:t>）；</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2</w:t>
      </w:r>
      <w:r>
        <w:rPr>
          <w:rFonts w:ascii="Times New Roman" w:hAnsi="Times New Roman"/>
          <w:color w:val="000000"/>
          <w:sz w:val="18"/>
          <w:szCs w:val="18"/>
        </w:rPr>
        <w:t>——</w:t>
      </w:r>
      <w:r>
        <w:rPr>
          <w:rFonts w:hint="eastAsia" w:ascii="Times New Roman" w:hAnsi="Times New Roman"/>
          <w:color w:val="000000"/>
          <w:sz w:val="18"/>
          <w:szCs w:val="18"/>
        </w:rPr>
        <w:t>凸</w:t>
      </w:r>
      <w:r>
        <w:rPr>
          <w:rFonts w:hint="eastAsia" w:ascii="宋体" w:hAnsi="宋体"/>
          <w:color w:val="000000"/>
          <w:sz w:val="18"/>
          <w:szCs w:val="18"/>
        </w:rPr>
        <w:t>出部位梁底纵筋（</w:t>
      </w:r>
      <w:r>
        <w:rPr>
          <w:rFonts w:ascii="Times New Roman" w:hAnsi="Times New Roman"/>
          <w:bCs/>
          <w:i/>
          <w:iCs/>
          <w:sz w:val="18"/>
          <w:szCs w:val="18"/>
        </w:rPr>
        <w:t>A</w:t>
      </w:r>
      <w:r>
        <w:rPr>
          <w:rFonts w:ascii="Times New Roman" w:hAnsi="Times New Roman"/>
          <w:bCs/>
          <w:sz w:val="18"/>
          <w:szCs w:val="18"/>
          <w:vertAlign w:val="subscript"/>
        </w:rPr>
        <w:t>t1</w:t>
      </w:r>
      <w:r>
        <w:rPr>
          <w:rFonts w:hint="eastAsia" w:ascii="宋体" w:hAnsi="宋体"/>
          <w:color w:val="000000"/>
          <w:sz w:val="18"/>
          <w:szCs w:val="18"/>
        </w:rPr>
        <w:t>）；</w:t>
      </w:r>
    </w:p>
    <w:p>
      <w:pPr>
        <w:spacing w:line="240" w:lineRule="auto"/>
        <w:ind w:firstLine="450" w:firstLineChars="250"/>
        <w:rPr>
          <w:rFonts w:ascii="宋体" w:hAnsi="宋体"/>
          <w:sz w:val="18"/>
          <w:szCs w:val="18"/>
        </w:rPr>
      </w:pPr>
      <w:r>
        <w:rPr>
          <w:rFonts w:ascii="宋体" w:hAnsi="宋体"/>
          <w:color w:val="000000"/>
          <w:sz w:val="18"/>
          <w:szCs w:val="18"/>
        </w:rPr>
        <w:t>3</w:t>
      </w:r>
      <w:r>
        <w:rPr>
          <w:rFonts w:ascii="Times New Roman" w:hAnsi="Times New Roman"/>
          <w:color w:val="000000"/>
          <w:sz w:val="18"/>
          <w:szCs w:val="18"/>
        </w:rPr>
        <w:t>——</w:t>
      </w:r>
      <w:r>
        <w:rPr>
          <w:rFonts w:ascii="宋体" w:hAnsi="宋体"/>
          <w:sz w:val="18"/>
          <w:szCs w:val="18"/>
        </w:rPr>
        <w:t>凸出部位腰筋（</w:t>
      </w:r>
      <w:r>
        <w:rPr>
          <w:rFonts w:ascii="Times New Roman" w:hAnsi="Times New Roman"/>
          <w:bCs/>
          <w:i/>
          <w:iCs/>
          <w:sz w:val="18"/>
          <w:szCs w:val="18"/>
        </w:rPr>
        <w:t>A</w:t>
      </w:r>
      <w:r>
        <w:rPr>
          <w:rFonts w:ascii="Times New Roman" w:hAnsi="Times New Roman"/>
          <w:bCs/>
          <w:sz w:val="18"/>
          <w:szCs w:val="18"/>
          <w:vertAlign w:val="subscript"/>
        </w:rPr>
        <w:t>t2</w:t>
      </w:r>
      <w:r>
        <w:rPr>
          <w:rFonts w:ascii="宋体" w:hAnsi="宋体"/>
          <w:sz w:val="18"/>
          <w:szCs w:val="18"/>
        </w:rPr>
        <w:t>）</w:t>
      </w:r>
      <w:r>
        <w:rPr>
          <w:rFonts w:hint="eastAsia" w:ascii="宋体" w:hAnsi="宋体"/>
          <w:sz w:val="18"/>
          <w:szCs w:val="18"/>
        </w:rPr>
        <w:t>；</w:t>
      </w:r>
    </w:p>
    <w:p>
      <w:pPr>
        <w:spacing w:line="240" w:lineRule="auto"/>
        <w:ind w:firstLine="450" w:firstLineChars="250"/>
        <w:rPr>
          <w:rFonts w:ascii="Times New Roman" w:hAnsi="Times New Roman"/>
          <w:bCs/>
          <w:sz w:val="18"/>
          <w:szCs w:val="18"/>
        </w:rPr>
      </w:pPr>
      <w:r>
        <w:rPr>
          <w:rFonts w:ascii="宋体" w:hAnsi="宋体"/>
          <w:sz w:val="18"/>
          <w:szCs w:val="18"/>
        </w:rPr>
        <w:t>4</w:t>
      </w:r>
      <w:r>
        <w:rPr>
          <w:rFonts w:ascii="Times New Roman" w:hAnsi="Times New Roman"/>
          <w:color w:val="000000"/>
          <w:sz w:val="18"/>
          <w:szCs w:val="18"/>
        </w:rPr>
        <w:t>——</w:t>
      </w:r>
      <w:r>
        <w:rPr>
          <w:rFonts w:hint="eastAsia" w:ascii="宋体" w:hAnsi="宋体"/>
          <w:color w:val="000000"/>
          <w:sz w:val="18"/>
          <w:szCs w:val="18"/>
        </w:rPr>
        <w:t>箍筋（</w:t>
      </w:r>
      <w:r>
        <w:rPr>
          <w:rFonts w:ascii="Times New Roman" w:hAnsi="Times New Roman"/>
          <w:bCs/>
          <w:i/>
          <w:iCs/>
          <w:sz w:val="18"/>
          <w:szCs w:val="18"/>
        </w:rPr>
        <w:t>A</w:t>
      </w:r>
      <w:r>
        <w:rPr>
          <w:rFonts w:ascii="Times New Roman" w:hAnsi="Times New Roman"/>
          <w:bCs/>
          <w:sz w:val="18"/>
          <w:szCs w:val="18"/>
          <w:vertAlign w:val="subscript"/>
        </w:rPr>
        <w:t>v</w:t>
      </w:r>
      <w:r>
        <w:rPr>
          <w:rFonts w:hint="eastAsia" w:ascii="宋体" w:hAnsi="宋体"/>
          <w:color w:val="000000"/>
          <w:sz w:val="18"/>
          <w:szCs w:val="18"/>
        </w:rPr>
        <w:t>），设置范围≤</w:t>
      </w:r>
      <w:r>
        <w:rPr>
          <w:rFonts w:ascii="Times New Roman" w:hAnsi="Times New Roman"/>
          <w:bCs/>
          <w:i/>
          <w:iCs/>
          <w:sz w:val="18"/>
          <w:szCs w:val="18"/>
        </w:rPr>
        <w:t>h</w:t>
      </w:r>
      <w:r>
        <w:rPr>
          <w:rFonts w:ascii="Times New Roman" w:hAnsi="Times New Roman"/>
          <w:bCs/>
          <w:sz w:val="18"/>
          <w:szCs w:val="18"/>
          <w:vertAlign w:val="subscript"/>
        </w:rPr>
        <w:t>1</w:t>
      </w:r>
      <w:r>
        <w:rPr>
          <w:rFonts w:ascii="Times New Roman" w:hAnsi="Times New Roman"/>
          <w:bCs/>
          <w:sz w:val="18"/>
          <w:szCs w:val="18"/>
        </w:rPr>
        <w:t>/2</w:t>
      </w:r>
      <w:r>
        <w:rPr>
          <w:rFonts w:hint="eastAsia" w:ascii="Times New Roman" w:hAnsi="Times New Roman"/>
          <w:bCs/>
          <w:sz w:val="18"/>
          <w:szCs w:val="18"/>
        </w:rPr>
        <w:t>；</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5</w:t>
      </w:r>
      <w:r>
        <w:rPr>
          <w:rFonts w:ascii="Times New Roman" w:hAnsi="Times New Roman"/>
          <w:color w:val="000000"/>
          <w:sz w:val="18"/>
          <w:szCs w:val="18"/>
        </w:rPr>
        <w:t>——</w:t>
      </w:r>
      <w:r>
        <w:rPr>
          <w:rFonts w:hint="eastAsia" w:ascii="宋体" w:hAnsi="宋体"/>
          <w:color w:val="000000"/>
          <w:sz w:val="18"/>
          <w:szCs w:val="18"/>
        </w:rPr>
        <w:t>凸出部位箍筋（</w:t>
      </w:r>
      <w:r>
        <w:rPr>
          <w:rFonts w:ascii="Times New Roman" w:hAnsi="Times New Roman"/>
          <w:bCs/>
          <w:i/>
          <w:iCs/>
          <w:sz w:val="18"/>
          <w:szCs w:val="18"/>
        </w:rPr>
        <w:t>A</w:t>
      </w:r>
      <w:r>
        <w:rPr>
          <w:rFonts w:ascii="Times New Roman" w:hAnsi="Times New Roman"/>
          <w:bCs/>
          <w:sz w:val="18"/>
          <w:szCs w:val="18"/>
          <w:vertAlign w:val="subscript"/>
        </w:rPr>
        <w:t>v1</w:t>
      </w:r>
      <w:r>
        <w:rPr>
          <w:rFonts w:hint="eastAsia" w:ascii="宋体" w:hAnsi="宋体"/>
          <w:color w:val="000000"/>
          <w:sz w:val="18"/>
          <w:szCs w:val="18"/>
        </w:rPr>
        <w:t>）；</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6</w:t>
      </w:r>
      <w:r>
        <w:rPr>
          <w:rFonts w:ascii="Times New Roman" w:hAnsi="Times New Roman"/>
          <w:color w:val="000000"/>
          <w:sz w:val="18"/>
          <w:szCs w:val="18"/>
        </w:rPr>
        <w:t>——</w:t>
      </w:r>
      <w:r>
        <w:rPr>
          <w:rFonts w:hint="eastAsia" w:ascii="宋体" w:hAnsi="宋体"/>
          <w:color w:val="000000"/>
          <w:sz w:val="18"/>
          <w:szCs w:val="18"/>
        </w:rPr>
        <w:t>预制次梁；</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8</w:t>
      </w:r>
      <w:r>
        <w:rPr>
          <w:rFonts w:ascii="Times New Roman" w:hAnsi="Times New Roman"/>
          <w:color w:val="000000"/>
          <w:sz w:val="18"/>
          <w:szCs w:val="18"/>
        </w:rPr>
        <w:t>——</w:t>
      </w:r>
      <w:r>
        <w:rPr>
          <w:rFonts w:hint="eastAsia" w:ascii="宋体" w:hAnsi="宋体"/>
          <w:color w:val="000000"/>
          <w:sz w:val="18"/>
          <w:szCs w:val="18"/>
        </w:rPr>
        <w:t>垂直裂缝；</w:t>
      </w:r>
    </w:p>
    <w:p>
      <w:pPr>
        <w:spacing w:line="240" w:lineRule="auto"/>
        <w:ind w:firstLine="90" w:firstLineChars="50"/>
        <w:rPr>
          <w:rFonts w:ascii="宋体" w:hAnsi="宋体"/>
          <w:color w:val="000000"/>
          <w:sz w:val="18"/>
          <w:szCs w:val="18"/>
        </w:rPr>
      </w:pPr>
      <w:r>
        <w:rPr>
          <w:rFonts w:hint="eastAsia" w:ascii="宋体" w:hAnsi="宋体"/>
          <w:color w:val="000000"/>
          <w:sz w:val="18"/>
          <w:szCs w:val="18"/>
        </w:rPr>
        <w:t>9、1</w:t>
      </w:r>
      <w:r>
        <w:rPr>
          <w:rFonts w:ascii="宋体" w:hAnsi="宋体"/>
          <w:color w:val="000000"/>
          <w:sz w:val="18"/>
          <w:szCs w:val="18"/>
        </w:rPr>
        <w:t>0</w:t>
      </w:r>
      <w:r>
        <w:rPr>
          <w:rFonts w:ascii="宋体" w:hAnsi="宋体"/>
          <w:color w:val="000000"/>
          <w:sz w:val="18"/>
          <w:szCs w:val="18"/>
        </w:rPr>
        <w:softHyphen/>
      </w:r>
      <w:r>
        <w:rPr>
          <w:rFonts w:ascii="Times New Roman" w:hAnsi="Times New Roman"/>
          <w:color w:val="000000"/>
          <w:sz w:val="18"/>
          <w:szCs w:val="18"/>
        </w:rPr>
        <w:t>——</w:t>
      </w:r>
      <w:r>
        <w:rPr>
          <w:rFonts w:hint="eastAsia" w:ascii="宋体" w:hAnsi="宋体"/>
          <w:color w:val="000000"/>
          <w:sz w:val="18"/>
          <w:szCs w:val="18"/>
        </w:rPr>
        <w:t>斜裂缝。</w:t>
      </w:r>
    </w:p>
    <w:p>
      <w:pPr>
        <w:spacing w:before="156" w:beforeLines="50" w:after="156" w:afterLines="50" w:line="240" w:lineRule="auto"/>
        <w:jc w:val="center"/>
        <w:rPr>
          <w:rFonts w:ascii="黑体" w:hAnsi="黑体" w:eastAsia="黑体"/>
        </w:rPr>
      </w:pPr>
      <w:r>
        <w:rPr>
          <w:rFonts w:ascii="黑体" w:hAnsi="黑体" w:eastAsia="黑体"/>
          <w:color w:val="000000"/>
        </w:rPr>
        <w:t>图1 预制次梁的端部配筋</w:t>
      </w:r>
      <w:r>
        <w:rPr>
          <w:rFonts w:hint="eastAsia" w:ascii="黑体" w:hAnsi="黑体" w:eastAsia="黑体"/>
          <w:color w:val="000000"/>
        </w:rPr>
        <w:t>示意</w:t>
      </w:r>
    </w:p>
    <w:p>
      <w:pPr>
        <w:pStyle w:val="58"/>
        <w:spacing w:before="312" w:beforeLines="100" w:after="312" w:afterLines="100"/>
        <w:ind w:firstLine="0" w:firstLineChars="0"/>
        <w:outlineLvl w:val="1"/>
        <w:rPr>
          <w:rFonts w:ascii="黑体" w:hAnsi="黑体" w:eastAsia="黑体"/>
        </w:rPr>
      </w:pPr>
      <w:bookmarkStart w:id="100" w:name="_Toc142923600"/>
      <w:r>
        <w:rPr>
          <w:rFonts w:ascii="黑体" w:hAnsi="黑体" w:eastAsia="黑体"/>
        </w:rPr>
        <w:t>5</w:t>
      </w:r>
      <w:r>
        <w:rPr>
          <w:rFonts w:hint="eastAsia" w:ascii="黑体" w:hAnsi="黑体" w:eastAsia="黑体"/>
        </w:rPr>
        <w:t>.</w:t>
      </w:r>
      <w:r>
        <w:rPr>
          <w:rFonts w:ascii="黑体" w:hAnsi="黑体" w:eastAsia="黑体"/>
        </w:rPr>
        <w:t>4</w:t>
      </w:r>
      <w:r>
        <w:rPr>
          <w:rFonts w:hint="eastAsia" w:ascii="黑体" w:hAnsi="黑体" w:eastAsia="黑体"/>
        </w:rPr>
        <w:t xml:space="preserve"> 接缝受剪承载力计算</w:t>
      </w:r>
      <w:bookmarkEnd w:id="100"/>
    </w:p>
    <w:p>
      <w:pPr>
        <w:pStyle w:val="58"/>
        <w:ind w:firstLine="0" w:firstLineChars="0"/>
        <w:rPr>
          <w:rFonts w:hAnsi="黑体"/>
          <w:bCs/>
        </w:rPr>
      </w:pPr>
      <w:r>
        <w:rPr>
          <w:rFonts w:ascii="黑体" w:hAnsi="黑体" w:eastAsia="黑体"/>
        </w:rPr>
        <w:t>5</w:t>
      </w:r>
      <w:r>
        <w:rPr>
          <w:rFonts w:hint="eastAsia" w:ascii="黑体" w:hAnsi="黑体" w:eastAsia="黑体"/>
        </w:rPr>
        <w:t>.</w:t>
      </w:r>
      <w:r>
        <w:rPr>
          <w:rFonts w:ascii="黑体" w:hAnsi="黑体" w:eastAsia="黑体"/>
        </w:rPr>
        <w:t>4.1</w:t>
      </w:r>
      <w:r>
        <w:rPr>
          <w:rFonts w:hint="eastAsia" w:ascii="黑体" w:hAnsi="黑体" w:eastAsia="黑体"/>
        </w:rPr>
        <w:t xml:space="preserve"> </w:t>
      </w:r>
      <w:r>
        <w:rPr>
          <w:rFonts w:hint="eastAsia" w:hAnsi="黑体"/>
          <w:bCs/>
        </w:rPr>
        <w:t>接缝的受剪承载力应符合下列规定：</w:t>
      </w:r>
    </w:p>
    <w:p>
      <w:pPr>
        <w:pStyle w:val="58"/>
        <w:ind w:left="840" w:leftChars="200" w:hanging="420" w:hangingChars="200"/>
        <w:rPr>
          <w:bCs/>
          <w:szCs w:val="21"/>
        </w:rPr>
      </w:pPr>
      <w:r>
        <w:t>a</w:t>
      </w:r>
      <w:r>
        <w:rPr>
          <w:rFonts w:hint="eastAsia"/>
        </w:rPr>
        <w:t>)</w:t>
      </w:r>
      <w:r>
        <w:tab/>
      </w:r>
      <w:r>
        <w:rPr>
          <w:rFonts w:hint="eastAsia"/>
          <w:bCs/>
          <w:szCs w:val="21"/>
        </w:rPr>
        <w:t>持久设计状况：</w:t>
      </w:r>
    </w:p>
    <w:p>
      <w:pPr>
        <w:spacing w:line="240" w:lineRule="auto"/>
        <w:jc w:val="center"/>
      </w:pPr>
      <w:r>
        <w:drawing>
          <wp:inline distT="0" distB="0" distL="0" distR="0">
            <wp:extent cx="862330" cy="293370"/>
            <wp:effectExtent l="0" t="0" r="0"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22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862330" cy="293370"/>
                    </a:xfrm>
                    <a:prstGeom prst="rect">
                      <a:avLst/>
                    </a:prstGeom>
                    <a:noFill/>
                    <a:ln>
                      <a:noFill/>
                    </a:ln>
                  </pic:spPr>
                </pic:pic>
              </a:graphicData>
            </a:graphic>
          </wp:inline>
        </w:drawing>
      </w:r>
    </w:p>
    <w:p>
      <w:pPr>
        <w:pStyle w:val="58"/>
        <w:ind w:left="840" w:leftChars="200" w:hanging="420" w:hangingChars="200"/>
        <w:rPr>
          <w:bCs/>
          <w:szCs w:val="21"/>
        </w:rPr>
      </w:pPr>
      <w:r>
        <w:t>b</w:t>
      </w:r>
      <w:r>
        <w:rPr>
          <w:rFonts w:hint="eastAsia"/>
        </w:rPr>
        <w:t>)</w:t>
      </w:r>
      <w:r>
        <w:tab/>
      </w:r>
      <w:r>
        <w:rPr>
          <w:rFonts w:hint="eastAsia"/>
          <w:bCs/>
          <w:szCs w:val="21"/>
        </w:rPr>
        <w:t>地震设计状况：</w:t>
      </w:r>
    </w:p>
    <w:p>
      <w:pPr>
        <w:spacing w:line="240" w:lineRule="auto"/>
        <w:jc w:val="center"/>
      </w:pPr>
      <w:r>
        <w:drawing>
          <wp:inline distT="0" distB="0" distL="0" distR="0">
            <wp:extent cx="1190625" cy="293370"/>
            <wp:effectExtent l="0" t="0" r="0" 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23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1190625" cy="293370"/>
                    </a:xfrm>
                    <a:prstGeom prst="rect">
                      <a:avLst/>
                    </a:prstGeom>
                    <a:noFill/>
                    <a:ln>
                      <a:noFill/>
                    </a:ln>
                  </pic:spPr>
                </pic:pic>
              </a:graphicData>
            </a:graphic>
          </wp:inline>
        </w:drawing>
      </w:r>
    </w:p>
    <w:p>
      <w:pPr>
        <w:pStyle w:val="58"/>
        <w:ind w:left="840" w:leftChars="200" w:hanging="420" w:hangingChars="200"/>
        <w:rPr>
          <w:rFonts w:ascii="Times New Roman"/>
          <w:kern w:val="2"/>
          <w:szCs w:val="21"/>
        </w:rPr>
      </w:pPr>
      <w:r>
        <w:rPr>
          <w:rFonts w:hint="eastAsia" w:ascii="Times New Roman"/>
          <w:kern w:val="2"/>
          <w:szCs w:val="21"/>
        </w:rPr>
        <w:t>在梁、柱端箍筋加密区及剪力墙底部加强部位，尚应符合下式规定：</w:t>
      </w:r>
    </w:p>
    <w:p>
      <w:pPr>
        <w:spacing w:line="240" w:lineRule="auto"/>
        <w:jc w:val="center"/>
      </w:pPr>
      <w:r>
        <w:drawing>
          <wp:inline distT="0" distB="0" distL="0" distR="0">
            <wp:extent cx="983615" cy="293370"/>
            <wp:effectExtent l="0" t="0" r="0" b="0"/>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23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983615" cy="293370"/>
                    </a:xfrm>
                    <a:prstGeom prst="rect">
                      <a:avLst/>
                    </a:prstGeom>
                    <a:noFill/>
                    <a:ln>
                      <a:noFill/>
                    </a:ln>
                  </pic:spPr>
                </pic:pic>
              </a:graphicData>
            </a:graphic>
          </wp:inline>
        </w:drawing>
      </w:r>
    </w:p>
    <w:p>
      <w:pPr>
        <w:spacing w:line="240" w:lineRule="auto"/>
        <w:ind w:firstLine="420" w:firstLineChars="200"/>
      </w:pPr>
      <w:r>
        <w:rPr>
          <w:rFonts w:hint="eastAsia"/>
        </w:rPr>
        <w:t>式中：</w:t>
      </w:r>
    </w:p>
    <w:tbl>
      <w:tblPr>
        <w:tblStyle w:val="27"/>
        <w:tblW w:w="9329" w:type="dxa"/>
        <w:tblInd w:w="135" w:type="dxa"/>
        <w:tblLayout w:type="fixed"/>
        <w:tblCellMar>
          <w:top w:w="0" w:type="dxa"/>
          <w:left w:w="108" w:type="dxa"/>
          <w:bottom w:w="0" w:type="dxa"/>
          <w:right w:w="108" w:type="dxa"/>
        </w:tblCellMar>
      </w:tblPr>
      <w:tblGrid>
        <w:gridCol w:w="824"/>
        <w:gridCol w:w="850"/>
        <w:gridCol w:w="7655"/>
      </w:tblGrid>
      <w:tr>
        <w:tblPrEx>
          <w:tblCellMar>
            <w:top w:w="0" w:type="dxa"/>
            <w:left w:w="108" w:type="dxa"/>
            <w:bottom w:w="0" w:type="dxa"/>
            <w:right w:w="108" w:type="dxa"/>
          </w:tblCellMar>
        </w:tblPrEx>
        <w:trPr>
          <w:trHeight w:val="443" w:hRule="atLeast"/>
        </w:trPr>
        <w:tc>
          <w:tcPr>
            <w:tcW w:w="824" w:type="dxa"/>
          </w:tcPr>
          <w:p>
            <w:pPr>
              <w:autoSpaceDE w:val="0"/>
              <w:snapToGrid w:val="0"/>
              <w:spacing w:line="240" w:lineRule="auto"/>
              <w:jc w:val="right"/>
              <w:rPr>
                <w:rFonts w:ascii="Times New Roman" w:hAnsi="Times New Roman"/>
              </w:rPr>
            </w:pPr>
            <w:r>
              <w:rPr>
                <w:kern w:val="0"/>
                <w:position w:val="-12"/>
                <w:sz w:val="24"/>
                <w:szCs w:val="24"/>
              </w:rPr>
              <w:drawing>
                <wp:inline distT="0" distB="0" distL="0" distR="0">
                  <wp:extent cx="206375" cy="258445"/>
                  <wp:effectExtent l="0" t="0" r="0" b="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24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207310" cy="259456"/>
                          </a:xfrm>
                          <a:prstGeom prst="rect">
                            <a:avLst/>
                          </a:prstGeom>
                          <a:noFill/>
                          <a:ln>
                            <a:noFill/>
                          </a:ln>
                        </pic:spPr>
                      </pic:pic>
                    </a:graphicData>
                  </a:graphic>
                </wp:inline>
              </w:drawing>
            </w:r>
          </w:p>
        </w:tc>
        <w:tc>
          <w:tcPr>
            <w:tcW w:w="850" w:type="dxa"/>
          </w:tcPr>
          <w:p>
            <w:pPr>
              <w:autoSpaceDE w:val="0"/>
              <w:snapToGrid w:val="0"/>
              <w:spacing w:line="240" w:lineRule="auto"/>
              <w:jc w:val="center"/>
              <w:rPr>
                <w:rFonts w:ascii="Times New Roman" w:hAnsi="Times New Roman"/>
                <w:color w:val="000000"/>
                <w:sz w:val="28"/>
                <w:szCs w:val="28"/>
              </w:rPr>
            </w:pPr>
            <w:r>
              <w:rPr>
                <w:rFonts w:ascii="Times New Roman" w:hAnsi="Times New Roman"/>
                <w:color w:val="000000"/>
                <w:sz w:val="28"/>
                <w:szCs w:val="28"/>
              </w:rPr>
              <w:t>——</w:t>
            </w:r>
          </w:p>
        </w:tc>
        <w:tc>
          <w:tcPr>
            <w:tcW w:w="7655" w:type="dxa"/>
            <w:vAlign w:val="center"/>
          </w:tcPr>
          <w:p>
            <w:pPr>
              <w:autoSpaceDE w:val="0"/>
              <w:spacing w:line="240" w:lineRule="auto"/>
              <w:rPr>
                <w:rFonts w:ascii="宋体" w:hAnsi="宋体"/>
              </w:rPr>
            </w:pPr>
            <w:r>
              <w:rPr>
                <w:rFonts w:ascii="宋体" w:hAnsi="宋体"/>
              </w:rPr>
              <w:t>结构重要性系数，安全等级为一级时不应小于1.1，安全等级为二级时不应小于1.0；</w:t>
            </w:r>
          </w:p>
        </w:tc>
      </w:tr>
      <w:tr>
        <w:tblPrEx>
          <w:tblCellMar>
            <w:top w:w="0" w:type="dxa"/>
            <w:left w:w="108" w:type="dxa"/>
            <w:bottom w:w="0" w:type="dxa"/>
            <w:right w:w="108" w:type="dxa"/>
          </w:tblCellMar>
        </w:tblPrEx>
        <w:trPr>
          <w:trHeight w:val="443" w:hRule="atLeast"/>
        </w:trPr>
        <w:tc>
          <w:tcPr>
            <w:tcW w:w="824" w:type="dxa"/>
          </w:tcPr>
          <w:p>
            <w:pPr>
              <w:autoSpaceDE w:val="0"/>
              <w:snapToGrid w:val="0"/>
              <w:spacing w:line="240" w:lineRule="auto"/>
              <w:jc w:val="right"/>
              <w:rPr>
                <w:rFonts w:ascii="Times New Roman" w:hAnsi="Times New Roman"/>
              </w:rPr>
            </w:pPr>
            <w:r>
              <w:rPr>
                <w:kern w:val="0"/>
                <w:position w:val="-14"/>
                <w:sz w:val="24"/>
                <w:szCs w:val="24"/>
              </w:rPr>
              <w:drawing>
                <wp:inline distT="0" distB="0" distL="0" distR="0">
                  <wp:extent cx="250190" cy="259080"/>
                  <wp:effectExtent l="0" t="0" r="0" b="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23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250190" cy="259080"/>
                          </a:xfrm>
                          <a:prstGeom prst="rect">
                            <a:avLst/>
                          </a:prstGeom>
                          <a:noFill/>
                          <a:ln>
                            <a:noFill/>
                          </a:ln>
                        </pic:spPr>
                      </pic:pic>
                    </a:graphicData>
                  </a:graphic>
                </wp:inline>
              </w:drawing>
            </w:r>
          </w:p>
        </w:tc>
        <w:tc>
          <w:tcPr>
            <w:tcW w:w="850" w:type="dxa"/>
          </w:tcPr>
          <w:p>
            <w:pPr>
              <w:autoSpaceDE w:val="0"/>
              <w:snapToGrid w:val="0"/>
              <w:spacing w:line="240" w:lineRule="auto"/>
              <w:jc w:val="center"/>
              <w:rPr>
                <w:rFonts w:ascii="Times New Roman" w:hAnsi="Times New Roman"/>
                <w:color w:val="000000"/>
                <w:sz w:val="28"/>
                <w:szCs w:val="28"/>
              </w:rPr>
            </w:pPr>
            <w:r>
              <w:rPr>
                <w:rFonts w:ascii="Times New Roman" w:hAnsi="Times New Roman"/>
                <w:color w:val="000000"/>
                <w:sz w:val="28"/>
                <w:szCs w:val="28"/>
              </w:rPr>
              <w:t>——</w:t>
            </w:r>
          </w:p>
        </w:tc>
        <w:tc>
          <w:tcPr>
            <w:tcW w:w="7655" w:type="dxa"/>
            <w:vAlign w:val="center"/>
          </w:tcPr>
          <w:p>
            <w:pPr>
              <w:autoSpaceDE w:val="0"/>
              <w:spacing w:line="240" w:lineRule="auto"/>
              <w:rPr>
                <w:rFonts w:ascii="宋体" w:hAnsi="宋体"/>
              </w:rPr>
            </w:pPr>
            <w:r>
              <w:rPr>
                <w:rFonts w:ascii="宋体" w:hAnsi="宋体"/>
              </w:rPr>
              <w:t>持久设计状况</w:t>
            </w:r>
            <w:r>
              <w:rPr>
                <w:rFonts w:hint="eastAsia" w:ascii="宋体" w:hAnsi="宋体"/>
              </w:rPr>
              <w:t>和短暂设计状况下</w:t>
            </w:r>
            <w:r>
              <w:rPr>
                <w:rFonts w:ascii="宋体" w:hAnsi="宋体"/>
              </w:rPr>
              <w:t>下接缝剪力设计值（N）；</w:t>
            </w:r>
          </w:p>
        </w:tc>
      </w:tr>
      <w:tr>
        <w:tblPrEx>
          <w:tblCellMar>
            <w:top w:w="0" w:type="dxa"/>
            <w:left w:w="108" w:type="dxa"/>
            <w:bottom w:w="0" w:type="dxa"/>
            <w:right w:w="108" w:type="dxa"/>
          </w:tblCellMar>
        </w:tblPrEx>
        <w:trPr>
          <w:trHeight w:val="443" w:hRule="atLeast"/>
        </w:trPr>
        <w:tc>
          <w:tcPr>
            <w:tcW w:w="824" w:type="dxa"/>
          </w:tcPr>
          <w:p>
            <w:pPr>
              <w:autoSpaceDE w:val="0"/>
              <w:snapToGrid w:val="0"/>
              <w:spacing w:line="240" w:lineRule="auto"/>
              <w:jc w:val="right"/>
              <w:rPr>
                <w:rFonts w:ascii="Times New Roman" w:hAnsi="Times New Roman"/>
              </w:rPr>
            </w:pPr>
            <w:r>
              <w:rPr>
                <w:kern w:val="0"/>
                <w:position w:val="-14"/>
                <w:sz w:val="24"/>
                <w:szCs w:val="24"/>
              </w:rPr>
              <w:drawing>
                <wp:inline distT="0" distB="0" distL="0" distR="0">
                  <wp:extent cx="293370" cy="259080"/>
                  <wp:effectExtent l="0" t="0" r="0" b="0"/>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23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293370" cy="259080"/>
                          </a:xfrm>
                          <a:prstGeom prst="rect">
                            <a:avLst/>
                          </a:prstGeom>
                          <a:noFill/>
                          <a:ln>
                            <a:noFill/>
                          </a:ln>
                        </pic:spPr>
                      </pic:pic>
                    </a:graphicData>
                  </a:graphic>
                </wp:inline>
              </w:drawing>
            </w:r>
          </w:p>
        </w:tc>
        <w:tc>
          <w:tcPr>
            <w:tcW w:w="850" w:type="dxa"/>
          </w:tcPr>
          <w:p>
            <w:pPr>
              <w:autoSpaceDE w:val="0"/>
              <w:snapToGrid w:val="0"/>
              <w:spacing w:line="240" w:lineRule="auto"/>
              <w:jc w:val="center"/>
              <w:rPr>
                <w:rFonts w:ascii="Times New Roman" w:hAnsi="Times New Roman"/>
                <w:color w:val="000000"/>
                <w:sz w:val="28"/>
                <w:szCs w:val="28"/>
              </w:rPr>
            </w:pPr>
            <w:r>
              <w:rPr>
                <w:rFonts w:ascii="Times New Roman" w:hAnsi="Times New Roman"/>
                <w:color w:val="000000"/>
                <w:sz w:val="28"/>
                <w:szCs w:val="28"/>
              </w:rPr>
              <w:t>——</w:t>
            </w:r>
          </w:p>
        </w:tc>
        <w:tc>
          <w:tcPr>
            <w:tcW w:w="7655" w:type="dxa"/>
            <w:vAlign w:val="center"/>
          </w:tcPr>
          <w:p>
            <w:pPr>
              <w:autoSpaceDE w:val="0"/>
              <w:spacing w:line="240" w:lineRule="auto"/>
              <w:rPr>
                <w:rFonts w:ascii="宋体" w:hAnsi="宋体"/>
              </w:rPr>
            </w:pPr>
            <w:r>
              <w:rPr>
                <w:rFonts w:ascii="宋体" w:hAnsi="宋体"/>
              </w:rPr>
              <w:t>地震设计状况下接缝剪力设计值</w:t>
            </w:r>
            <w:r>
              <w:rPr>
                <w:rFonts w:hint="eastAsia" w:ascii="宋体" w:hAnsi="宋体"/>
              </w:rPr>
              <w:t>（N）</w:t>
            </w:r>
            <w:r>
              <w:rPr>
                <w:rFonts w:ascii="宋体" w:hAnsi="宋体"/>
              </w:rPr>
              <w:t>；</w:t>
            </w:r>
          </w:p>
        </w:tc>
      </w:tr>
      <w:tr>
        <w:tblPrEx>
          <w:tblCellMar>
            <w:top w:w="0" w:type="dxa"/>
            <w:left w:w="108" w:type="dxa"/>
            <w:bottom w:w="0" w:type="dxa"/>
            <w:right w:w="108" w:type="dxa"/>
          </w:tblCellMar>
        </w:tblPrEx>
        <w:trPr>
          <w:trHeight w:val="443" w:hRule="atLeast"/>
        </w:trPr>
        <w:tc>
          <w:tcPr>
            <w:tcW w:w="824" w:type="dxa"/>
          </w:tcPr>
          <w:p>
            <w:pPr>
              <w:autoSpaceDE w:val="0"/>
              <w:snapToGrid w:val="0"/>
              <w:spacing w:line="240" w:lineRule="auto"/>
              <w:jc w:val="right"/>
              <w:rPr>
                <w:rFonts w:ascii="Times New Roman" w:hAnsi="Times New Roman"/>
              </w:rPr>
            </w:pPr>
            <w:r>
              <w:rPr>
                <w:kern w:val="0"/>
                <w:position w:val="-12"/>
                <w:sz w:val="24"/>
                <w:szCs w:val="24"/>
              </w:rPr>
              <w:drawing>
                <wp:inline distT="0" distB="0" distL="0" distR="0">
                  <wp:extent cx="207010" cy="259080"/>
                  <wp:effectExtent l="0" t="0" r="0" b="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23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207010" cy="259080"/>
                          </a:xfrm>
                          <a:prstGeom prst="rect">
                            <a:avLst/>
                          </a:prstGeom>
                          <a:noFill/>
                          <a:ln>
                            <a:noFill/>
                          </a:ln>
                        </pic:spPr>
                      </pic:pic>
                    </a:graphicData>
                  </a:graphic>
                </wp:inline>
              </w:drawing>
            </w:r>
          </w:p>
        </w:tc>
        <w:tc>
          <w:tcPr>
            <w:tcW w:w="850" w:type="dxa"/>
          </w:tcPr>
          <w:p>
            <w:pPr>
              <w:autoSpaceDE w:val="0"/>
              <w:snapToGrid w:val="0"/>
              <w:spacing w:line="240" w:lineRule="auto"/>
              <w:jc w:val="center"/>
              <w:rPr>
                <w:rFonts w:ascii="Times New Roman" w:hAnsi="Times New Roman"/>
                <w:color w:val="000000"/>
                <w:sz w:val="28"/>
                <w:szCs w:val="28"/>
              </w:rPr>
            </w:pPr>
            <w:r>
              <w:rPr>
                <w:rFonts w:ascii="Times New Roman" w:hAnsi="Times New Roman"/>
                <w:color w:val="000000"/>
                <w:sz w:val="28"/>
                <w:szCs w:val="28"/>
              </w:rPr>
              <w:t>——</w:t>
            </w:r>
          </w:p>
        </w:tc>
        <w:tc>
          <w:tcPr>
            <w:tcW w:w="7655" w:type="dxa"/>
            <w:vAlign w:val="center"/>
          </w:tcPr>
          <w:p>
            <w:pPr>
              <w:autoSpaceDE w:val="0"/>
              <w:spacing w:line="240" w:lineRule="auto"/>
              <w:rPr>
                <w:rFonts w:ascii="宋体" w:hAnsi="宋体"/>
              </w:rPr>
            </w:pPr>
            <w:r>
              <w:rPr>
                <w:rFonts w:ascii="宋体" w:hAnsi="宋体"/>
              </w:rPr>
              <w:t>持久设计状况</w:t>
            </w:r>
            <w:r>
              <w:rPr>
                <w:rFonts w:hint="eastAsia" w:ascii="宋体" w:hAnsi="宋体"/>
              </w:rPr>
              <w:t>和短暂设计状况</w:t>
            </w:r>
            <w:r>
              <w:rPr>
                <w:rFonts w:ascii="宋体" w:hAnsi="宋体"/>
              </w:rPr>
              <w:t>下梁端、柱端</w:t>
            </w:r>
            <w:r>
              <w:rPr>
                <w:rFonts w:hint="eastAsia" w:ascii="宋体" w:hAnsi="宋体"/>
              </w:rPr>
              <w:t>、剪力墙</w:t>
            </w:r>
            <w:r>
              <w:rPr>
                <w:rFonts w:ascii="宋体" w:hAnsi="宋体"/>
              </w:rPr>
              <w:t>底部接缝受剪承载力设计值</w:t>
            </w:r>
            <w:r>
              <w:rPr>
                <w:rFonts w:hint="eastAsia" w:ascii="宋体" w:hAnsi="宋体"/>
              </w:rPr>
              <w:t>（N）</w:t>
            </w:r>
            <w:r>
              <w:rPr>
                <w:rFonts w:ascii="宋体" w:hAnsi="宋体"/>
              </w:rPr>
              <w:t>；</w:t>
            </w:r>
          </w:p>
        </w:tc>
      </w:tr>
      <w:tr>
        <w:tblPrEx>
          <w:tblCellMar>
            <w:top w:w="0" w:type="dxa"/>
            <w:left w:w="108" w:type="dxa"/>
            <w:bottom w:w="0" w:type="dxa"/>
            <w:right w:w="108" w:type="dxa"/>
          </w:tblCellMar>
        </w:tblPrEx>
        <w:trPr>
          <w:trHeight w:val="443" w:hRule="atLeast"/>
        </w:trPr>
        <w:tc>
          <w:tcPr>
            <w:tcW w:w="824" w:type="dxa"/>
          </w:tcPr>
          <w:p>
            <w:pPr>
              <w:autoSpaceDE w:val="0"/>
              <w:snapToGrid w:val="0"/>
              <w:spacing w:line="240" w:lineRule="auto"/>
              <w:jc w:val="right"/>
              <w:rPr>
                <w:rFonts w:ascii="Times New Roman" w:hAnsi="Times New Roman"/>
              </w:rPr>
            </w:pPr>
            <w:r>
              <w:rPr>
                <w:kern w:val="0"/>
                <w:position w:val="-12"/>
                <w:sz w:val="24"/>
                <w:szCs w:val="24"/>
              </w:rPr>
              <w:drawing>
                <wp:inline distT="0" distB="0" distL="0" distR="0">
                  <wp:extent cx="259080" cy="259080"/>
                  <wp:effectExtent l="0" t="0" r="0" b="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23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259080" cy="259080"/>
                          </a:xfrm>
                          <a:prstGeom prst="rect">
                            <a:avLst/>
                          </a:prstGeom>
                          <a:noFill/>
                          <a:ln>
                            <a:noFill/>
                          </a:ln>
                        </pic:spPr>
                      </pic:pic>
                    </a:graphicData>
                  </a:graphic>
                </wp:inline>
              </w:drawing>
            </w:r>
          </w:p>
        </w:tc>
        <w:tc>
          <w:tcPr>
            <w:tcW w:w="850" w:type="dxa"/>
          </w:tcPr>
          <w:p>
            <w:pPr>
              <w:autoSpaceDE w:val="0"/>
              <w:snapToGrid w:val="0"/>
              <w:spacing w:line="240" w:lineRule="auto"/>
              <w:jc w:val="center"/>
              <w:rPr>
                <w:rFonts w:ascii="Times New Roman" w:hAnsi="Times New Roman"/>
                <w:color w:val="000000"/>
                <w:sz w:val="28"/>
                <w:szCs w:val="28"/>
              </w:rPr>
            </w:pPr>
            <w:r>
              <w:rPr>
                <w:rFonts w:ascii="Times New Roman" w:hAnsi="Times New Roman"/>
                <w:color w:val="000000"/>
                <w:sz w:val="28"/>
                <w:szCs w:val="28"/>
              </w:rPr>
              <w:t>——</w:t>
            </w:r>
          </w:p>
        </w:tc>
        <w:tc>
          <w:tcPr>
            <w:tcW w:w="7655" w:type="dxa"/>
            <w:vAlign w:val="center"/>
          </w:tcPr>
          <w:p>
            <w:pPr>
              <w:autoSpaceDE w:val="0"/>
              <w:spacing w:line="240" w:lineRule="auto"/>
              <w:rPr>
                <w:rFonts w:ascii="宋体" w:hAnsi="宋体"/>
              </w:rPr>
            </w:pPr>
            <w:r>
              <w:rPr>
                <w:rFonts w:ascii="宋体" w:hAnsi="宋体"/>
              </w:rPr>
              <w:t>地震设计状况下梁端、柱端</w:t>
            </w:r>
            <w:r>
              <w:rPr>
                <w:rFonts w:hint="eastAsia" w:ascii="宋体" w:hAnsi="宋体"/>
              </w:rPr>
              <w:t>、剪力墙</w:t>
            </w:r>
            <w:r>
              <w:rPr>
                <w:rFonts w:ascii="宋体" w:hAnsi="宋体"/>
              </w:rPr>
              <w:t>底部接缝受剪承载力设计值</w:t>
            </w:r>
            <w:r>
              <w:rPr>
                <w:rFonts w:hint="eastAsia" w:ascii="宋体" w:hAnsi="宋体"/>
              </w:rPr>
              <w:t>（N）</w:t>
            </w:r>
            <w:r>
              <w:rPr>
                <w:rFonts w:ascii="宋体" w:hAnsi="宋体"/>
              </w:rPr>
              <w:t>；</w:t>
            </w:r>
          </w:p>
        </w:tc>
      </w:tr>
      <w:tr>
        <w:tblPrEx>
          <w:tblCellMar>
            <w:top w:w="0" w:type="dxa"/>
            <w:left w:w="108" w:type="dxa"/>
            <w:bottom w:w="0" w:type="dxa"/>
            <w:right w:w="108" w:type="dxa"/>
          </w:tblCellMar>
        </w:tblPrEx>
        <w:trPr>
          <w:trHeight w:val="443" w:hRule="atLeast"/>
        </w:trPr>
        <w:tc>
          <w:tcPr>
            <w:tcW w:w="824" w:type="dxa"/>
          </w:tcPr>
          <w:p>
            <w:pPr>
              <w:autoSpaceDE w:val="0"/>
              <w:snapToGrid w:val="0"/>
              <w:spacing w:line="240" w:lineRule="auto"/>
              <w:jc w:val="right"/>
              <w:rPr>
                <w:rFonts w:ascii="Times New Roman" w:hAnsi="Times New Roman"/>
              </w:rPr>
            </w:pPr>
            <w:r>
              <w:rPr>
                <w:kern w:val="0"/>
                <w:position w:val="-12"/>
                <w:sz w:val="24"/>
                <w:szCs w:val="24"/>
              </w:rPr>
              <w:drawing>
                <wp:inline distT="0" distB="0" distL="0" distR="0">
                  <wp:extent cx="284480" cy="259080"/>
                  <wp:effectExtent l="0" t="0" r="0" b="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23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284480" cy="259080"/>
                          </a:xfrm>
                          <a:prstGeom prst="rect">
                            <a:avLst/>
                          </a:prstGeom>
                          <a:noFill/>
                          <a:ln>
                            <a:noFill/>
                          </a:ln>
                        </pic:spPr>
                      </pic:pic>
                    </a:graphicData>
                  </a:graphic>
                </wp:inline>
              </w:drawing>
            </w:r>
          </w:p>
        </w:tc>
        <w:tc>
          <w:tcPr>
            <w:tcW w:w="850" w:type="dxa"/>
          </w:tcPr>
          <w:p>
            <w:pPr>
              <w:autoSpaceDE w:val="0"/>
              <w:snapToGrid w:val="0"/>
              <w:spacing w:line="240" w:lineRule="auto"/>
              <w:jc w:val="center"/>
              <w:rPr>
                <w:rFonts w:ascii="Times New Roman" w:hAnsi="Times New Roman"/>
                <w:color w:val="000000"/>
                <w:sz w:val="28"/>
                <w:szCs w:val="28"/>
              </w:rPr>
            </w:pPr>
            <w:r>
              <w:rPr>
                <w:rFonts w:ascii="Times New Roman" w:hAnsi="Times New Roman"/>
                <w:color w:val="000000"/>
                <w:sz w:val="28"/>
                <w:szCs w:val="28"/>
              </w:rPr>
              <w:t>——</w:t>
            </w:r>
          </w:p>
        </w:tc>
        <w:tc>
          <w:tcPr>
            <w:tcW w:w="7655" w:type="dxa"/>
            <w:vAlign w:val="center"/>
          </w:tcPr>
          <w:p>
            <w:pPr>
              <w:autoSpaceDE w:val="0"/>
              <w:spacing w:line="240" w:lineRule="auto"/>
              <w:rPr>
                <w:rFonts w:ascii="宋体" w:hAnsi="宋体"/>
              </w:rPr>
            </w:pPr>
            <w:r>
              <w:rPr>
                <w:rFonts w:ascii="宋体" w:hAnsi="宋体"/>
              </w:rPr>
              <w:t>被连接构件端部按实配钢筋面积计算的斜截面受剪承载力设计值</w:t>
            </w:r>
            <w:r>
              <w:rPr>
                <w:rFonts w:hint="eastAsia" w:ascii="宋体" w:hAnsi="宋体"/>
              </w:rPr>
              <w:t>（N）</w:t>
            </w:r>
            <w:r>
              <w:rPr>
                <w:rFonts w:ascii="宋体" w:hAnsi="宋体"/>
              </w:rPr>
              <w:t>；</w:t>
            </w:r>
          </w:p>
        </w:tc>
      </w:tr>
      <w:tr>
        <w:tblPrEx>
          <w:tblCellMar>
            <w:top w:w="0" w:type="dxa"/>
            <w:left w:w="108" w:type="dxa"/>
            <w:bottom w:w="0" w:type="dxa"/>
            <w:right w:w="108" w:type="dxa"/>
          </w:tblCellMar>
        </w:tblPrEx>
        <w:trPr>
          <w:trHeight w:val="443" w:hRule="atLeast"/>
        </w:trPr>
        <w:tc>
          <w:tcPr>
            <w:tcW w:w="824" w:type="dxa"/>
          </w:tcPr>
          <w:p>
            <w:pPr>
              <w:autoSpaceDE w:val="0"/>
              <w:snapToGrid w:val="0"/>
              <w:spacing w:line="240" w:lineRule="auto"/>
              <w:jc w:val="right"/>
              <w:rPr>
                <w:rFonts w:ascii="Times New Roman" w:hAnsi="Times New Roman"/>
              </w:rPr>
            </w:pPr>
            <w:r>
              <w:rPr>
                <w:kern w:val="0"/>
                <w:position w:val="-10"/>
                <w:sz w:val="24"/>
                <w:szCs w:val="24"/>
              </w:rPr>
              <w:drawing>
                <wp:inline distT="0" distB="0" distL="0" distR="0">
                  <wp:extent cx="259080" cy="215900"/>
                  <wp:effectExtent l="0" t="0" r="0" b="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23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259080" cy="215900"/>
                          </a:xfrm>
                          <a:prstGeom prst="rect">
                            <a:avLst/>
                          </a:prstGeom>
                          <a:noFill/>
                          <a:ln>
                            <a:noFill/>
                          </a:ln>
                        </pic:spPr>
                      </pic:pic>
                    </a:graphicData>
                  </a:graphic>
                </wp:inline>
              </w:drawing>
            </w:r>
          </w:p>
        </w:tc>
        <w:tc>
          <w:tcPr>
            <w:tcW w:w="850" w:type="dxa"/>
          </w:tcPr>
          <w:p>
            <w:pPr>
              <w:autoSpaceDE w:val="0"/>
              <w:snapToGrid w:val="0"/>
              <w:spacing w:line="240" w:lineRule="auto"/>
              <w:jc w:val="center"/>
              <w:rPr>
                <w:rFonts w:ascii="Times New Roman" w:hAnsi="Times New Roman"/>
                <w:color w:val="000000"/>
                <w:sz w:val="28"/>
                <w:szCs w:val="28"/>
              </w:rPr>
            </w:pPr>
            <w:r>
              <w:rPr>
                <w:rFonts w:ascii="Times New Roman" w:hAnsi="Times New Roman"/>
                <w:color w:val="000000"/>
                <w:sz w:val="28"/>
                <w:szCs w:val="28"/>
              </w:rPr>
              <w:t>——</w:t>
            </w:r>
          </w:p>
        </w:tc>
        <w:tc>
          <w:tcPr>
            <w:tcW w:w="7655" w:type="dxa"/>
            <w:vAlign w:val="center"/>
          </w:tcPr>
          <w:p>
            <w:pPr>
              <w:autoSpaceDE w:val="0"/>
              <w:spacing w:line="240" w:lineRule="auto"/>
              <w:rPr>
                <w:rFonts w:ascii="宋体" w:hAnsi="宋体"/>
              </w:rPr>
            </w:pPr>
            <w:r>
              <w:rPr>
                <w:rFonts w:hint="eastAsia" w:ascii="宋体" w:hAnsi="宋体"/>
              </w:rPr>
              <w:t>接缝受剪承载力抗震调整系数，取0.85</w:t>
            </w:r>
            <w:r>
              <w:rPr>
                <w:rFonts w:ascii="宋体" w:hAnsi="宋体"/>
              </w:rPr>
              <w:t>；</w:t>
            </w:r>
          </w:p>
        </w:tc>
      </w:tr>
      <w:tr>
        <w:tblPrEx>
          <w:tblCellMar>
            <w:top w:w="0" w:type="dxa"/>
            <w:left w:w="108" w:type="dxa"/>
            <w:bottom w:w="0" w:type="dxa"/>
            <w:right w:w="108" w:type="dxa"/>
          </w:tblCellMar>
        </w:tblPrEx>
        <w:trPr>
          <w:trHeight w:val="443" w:hRule="atLeast"/>
        </w:trPr>
        <w:tc>
          <w:tcPr>
            <w:tcW w:w="824" w:type="dxa"/>
          </w:tcPr>
          <w:p>
            <w:pPr>
              <w:autoSpaceDE w:val="0"/>
              <w:snapToGrid w:val="0"/>
              <w:spacing w:line="240" w:lineRule="auto"/>
              <w:jc w:val="right"/>
              <w:rPr>
                <w:rFonts w:ascii="Times New Roman" w:hAnsi="Times New Roman"/>
              </w:rPr>
            </w:pPr>
            <w:r>
              <w:rPr>
                <w:kern w:val="0"/>
                <w:position w:val="-14"/>
                <w:sz w:val="24"/>
                <w:szCs w:val="24"/>
              </w:rPr>
              <w:drawing>
                <wp:inline distT="0" distB="0" distL="0" distR="0">
                  <wp:extent cx="207010" cy="259080"/>
                  <wp:effectExtent l="0" t="0" r="0" b="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23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207010" cy="259080"/>
                          </a:xfrm>
                          <a:prstGeom prst="rect">
                            <a:avLst/>
                          </a:prstGeom>
                          <a:noFill/>
                          <a:ln>
                            <a:noFill/>
                          </a:ln>
                        </pic:spPr>
                      </pic:pic>
                    </a:graphicData>
                  </a:graphic>
                </wp:inline>
              </w:drawing>
            </w:r>
          </w:p>
        </w:tc>
        <w:tc>
          <w:tcPr>
            <w:tcW w:w="850" w:type="dxa"/>
          </w:tcPr>
          <w:p>
            <w:pPr>
              <w:autoSpaceDE w:val="0"/>
              <w:snapToGrid w:val="0"/>
              <w:spacing w:line="240" w:lineRule="auto"/>
              <w:jc w:val="center"/>
              <w:rPr>
                <w:rFonts w:ascii="Times New Roman" w:hAnsi="Times New Roman"/>
                <w:color w:val="000000"/>
                <w:sz w:val="28"/>
                <w:szCs w:val="28"/>
              </w:rPr>
            </w:pPr>
            <w:r>
              <w:rPr>
                <w:rFonts w:ascii="Times New Roman" w:hAnsi="Times New Roman"/>
                <w:color w:val="000000"/>
                <w:sz w:val="28"/>
                <w:szCs w:val="28"/>
              </w:rPr>
              <w:t>——</w:t>
            </w:r>
          </w:p>
        </w:tc>
        <w:tc>
          <w:tcPr>
            <w:tcW w:w="7655" w:type="dxa"/>
            <w:vAlign w:val="center"/>
          </w:tcPr>
          <w:p>
            <w:pPr>
              <w:autoSpaceDE w:val="0"/>
              <w:spacing w:line="240" w:lineRule="auto"/>
              <w:rPr>
                <w:rFonts w:ascii="宋体" w:hAnsi="宋体"/>
              </w:rPr>
            </w:pPr>
            <w:r>
              <w:rPr>
                <w:rFonts w:ascii="宋体" w:hAnsi="宋体"/>
              </w:rPr>
              <w:t>接缝受剪承载力增大系数，抗震等级为一、二级取1.2，抗震等级为三、四级取1.1。</w:t>
            </w:r>
          </w:p>
        </w:tc>
      </w:tr>
    </w:tbl>
    <w:p>
      <w:pPr>
        <w:pStyle w:val="58"/>
        <w:ind w:firstLine="0" w:firstLineChars="0"/>
        <w:rPr>
          <w:rFonts w:hAnsi="黑体"/>
          <w:bCs/>
        </w:rPr>
      </w:pPr>
      <w:r>
        <w:rPr>
          <w:rFonts w:ascii="黑体" w:hAnsi="黑体" w:eastAsia="黑体"/>
        </w:rPr>
        <w:t>5</w:t>
      </w:r>
      <w:r>
        <w:rPr>
          <w:rFonts w:hint="eastAsia" w:ascii="黑体" w:hAnsi="黑体" w:eastAsia="黑体"/>
        </w:rPr>
        <w:t>.</w:t>
      </w:r>
      <w:r>
        <w:rPr>
          <w:rFonts w:ascii="黑体" w:hAnsi="黑体" w:eastAsia="黑体"/>
        </w:rPr>
        <w:t>4.2</w:t>
      </w:r>
      <w:r>
        <w:rPr>
          <w:rFonts w:hint="eastAsia" w:ascii="黑体" w:hAnsi="黑体" w:eastAsia="黑体"/>
        </w:rPr>
        <w:t xml:space="preserve"> </w:t>
      </w:r>
      <w:r>
        <w:rPr>
          <w:rFonts w:hint="eastAsia" w:hAnsi="黑体"/>
          <w:bCs/>
        </w:rPr>
        <w:t>叠合梁端竖向接缝的受剪承载力设计值应按下列公式计算：</w:t>
      </w:r>
    </w:p>
    <w:p>
      <w:pPr>
        <w:pStyle w:val="58"/>
        <w:ind w:left="840" w:leftChars="200" w:hanging="420" w:hangingChars="200"/>
        <w:rPr>
          <w:bCs/>
          <w:szCs w:val="21"/>
        </w:rPr>
      </w:pPr>
      <w:r>
        <w:t>a</w:t>
      </w:r>
      <w:r>
        <w:rPr>
          <w:rFonts w:hint="eastAsia"/>
        </w:rPr>
        <w:t>)</w:t>
      </w:r>
      <w:r>
        <w:tab/>
      </w:r>
      <w:r>
        <w:rPr>
          <w:rFonts w:hint="eastAsia"/>
          <w:bCs/>
          <w:szCs w:val="21"/>
        </w:rPr>
        <w:t>持久设计状况:</w:t>
      </w:r>
    </w:p>
    <w:p>
      <w:pPr>
        <w:spacing w:line="240" w:lineRule="auto"/>
        <w:jc w:val="center"/>
      </w:pPr>
      <w:r>
        <w:drawing>
          <wp:inline distT="0" distB="0" distL="0" distR="0">
            <wp:extent cx="2992755" cy="311150"/>
            <wp:effectExtent l="0" t="0" r="0" b="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24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3025729" cy="314900"/>
                    </a:xfrm>
                    <a:prstGeom prst="rect">
                      <a:avLst/>
                    </a:prstGeom>
                    <a:noFill/>
                    <a:ln>
                      <a:noFill/>
                    </a:ln>
                  </pic:spPr>
                </pic:pic>
              </a:graphicData>
            </a:graphic>
          </wp:inline>
        </w:drawing>
      </w:r>
    </w:p>
    <w:p>
      <w:pPr>
        <w:pStyle w:val="58"/>
        <w:ind w:left="840" w:leftChars="200" w:hanging="420" w:hangingChars="200"/>
        <w:rPr>
          <w:bCs/>
          <w:szCs w:val="21"/>
        </w:rPr>
      </w:pPr>
      <w:r>
        <w:t>b</w:t>
      </w:r>
      <w:r>
        <w:rPr>
          <w:rFonts w:hint="eastAsia"/>
        </w:rPr>
        <w:t>)</w:t>
      </w:r>
      <w:r>
        <w:tab/>
      </w:r>
      <w:r>
        <w:rPr>
          <w:rFonts w:hint="eastAsia"/>
          <w:bCs/>
          <w:szCs w:val="21"/>
        </w:rPr>
        <w:t>地震设计状况:</w:t>
      </w:r>
    </w:p>
    <w:p>
      <w:pPr>
        <w:adjustRightInd/>
        <w:spacing w:line="240" w:lineRule="auto"/>
        <w:jc w:val="center"/>
        <w:rPr>
          <w:rFonts w:ascii="Times New Roman" w:hAnsi="Times New Roman"/>
        </w:rPr>
      </w:pPr>
      <w:r>
        <w:rPr>
          <w:rFonts w:ascii="Times New Roman" w:hAnsi="Times New Roman"/>
        </w:rPr>
        <w:drawing>
          <wp:inline distT="0" distB="0" distL="0" distR="0">
            <wp:extent cx="3104515" cy="315595"/>
            <wp:effectExtent l="0" t="0" r="0" b="0"/>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24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3128333" cy="318575"/>
                    </a:xfrm>
                    <a:prstGeom prst="rect">
                      <a:avLst/>
                    </a:prstGeom>
                    <a:noFill/>
                    <a:ln>
                      <a:noFill/>
                    </a:ln>
                  </pic:spPr>
                </pic:pic>
              </a:graphicData>
            </a:graphic>
          </wp:inline>
        </w:drawing>
      </w:r>
    </w:p>
    <w:p>
      <w:pPr>
        <w:spacing w:line="240" w:lineRule="auto"/>
        <w:ind w:firstLine="420" w:firstLineChars="200"/>
      </w:pPr>
      <w:r>
        <w:rPr>
          <w:rFonts w:hint="eastAsia"/>
        </w:rPr>
        <w:t>式中：</w:t>
      </w:r>
    </w:p>
    <w:tbl>
      <w:tblPr>
        <w:tblStyle w:val="27"/>
        <w:tblW w:w="9329" w:type="dxa"/>
        <w:tblInd w:w="135" w:type="dxa"/>
        <w:tblLayout w:type="fixed"/>
        <w:tblCellMar>
          <w:top w:w="0" w:type="dxa"/>
          <w:left w:w="108" w:type="dxa"/>
          <w:bottom w:w="0" w:type="dxa"/>
          <w:right w:w="108" w:type="dxa"/>
        </w:tblCellMar>
      </w:tblPr>
      <w:tblGrid>
        <w:gridCol w:w="966"/>
        <w:gridCol w:w="850"/>
        <w:gridCol w:w="7513"/>
      </w:tblGrid>
      <w:tr>
        <w:tblPrEx>
          <w:tblCellMar>
            <w:top w:w="0" w:type="dxa"/>
            <w:left w:w="108" w:type="dxa"/>
            <w:bottom w:w="0" w:type="dxa"/>
            <w:right w:w="108" w:type="dxa"/>
          </w:tblCellMar>
        </w:tblPrEx>
        <w:trPr>
          <w:trHeight w:val="443" w:hRule="atLeast"/>
        </w:trPr>
        <w:tc>
          <w:tcPr>
            <w:tcW w:w="966" w:type="dxa"/>
          </w:tcPr>
          <w:p>
            <w:pPr>
              <w:autoSpaceDE w:val="0"/>
              <w:snapToGrid w:val="0"/>
              <w:spacing w:line="240" w:lineRule="auto"/>
              <w:jc w:val="right"/>
              <w:rPr>
                <w:rFonts w:ascii="Times New Roman" w:hAnsi="Times New Roman"/>
              </w:rPr>
            </w:pPr>
            <w:r>
              <w:rPr>
                <w:rFonts w:ascii="Times New Roman" w:hAnsi="Times New Roman"/>
                <w:kern w:val="0"/>
                <w:position w:val="-12"/>
                <w:sz w:val="24"/>
                <w:szCs w:val="24"/>
              </w:rPr>
              <w:drawing>
                <wp:inline distT="0" distB="0" distL="0" distR="0">
                  <wp:extent cx="293370" cy="293370"/>
                  <wp:effectExtent l="0" t="0" r="0" b="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24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293370" cy="293370"/>
                          </a:xfrm>
                          <a:prstGeom prst="rect">
                            <a:avLst/>
                          </a:prstGeom>
                          <a:noFill/>
                          <a:ln>
                            <a:noFill/>
                          </a:ln>
                        </pic:spPr>
                      </pic:pic>
                    </a:graphicData>
                  </a:graphic>
                </wp:inline>
              </w:drawing>
            </w:r>
          </w:p>
        </w:tc>
        <w:tc>
          <w:tcPr>
            <w:tcW w:w="850" w:type="dxa"/>
          </w:tcPr>
          <w:p>
            <w:pPr>
              <w:autoSpaceDE w:val="0"/>
              <w:snapToGrid w:val="0"/>
              <w:spacing w:line="240" w:lineRule="auto"/>
              <w:jc w:val="center"/>
              <w:rPr>
                <w:rFonts w:ascii="Times New Roman" w:hAnsi="Times New Roman"/>
                <w:color w:val="000000"/>
                <w:sz w:val="28"/>
                <w:szCs w:val="28"/>
              </w:rPr>
            </w:pPr>
            <w:r>
              <w:rPr>
                <w:rFonts w:ascii="Times New Roman" w:hAnsi="Times New Roman"/>
                <w:color w:val="000000"/>
                <w:sz w:val="28"/>
                <w:szCs w:val="28"/>
              </w:rPr>
              <w:t>——</w:t>
            </w:r>
          </w:p>
        </w:tc>
        <w:tc>
          <w:tcPr>
            <w:tcW w:w="7513" w:type="dxa"/>
            <w:vAlign w:val="center"/>
          </w:tcPr>
          <w:p>
            <w:pPr>
              <w:autoSpaceDE w:val="0"/>
              <w:adjustRightInd/>
              <w:spacing w:line="240" w:lineRule="auto"/>
              <w:rPr>
                <w:rFonts w:ascii="Times New Roman" w:hAnsi="Times New Roman"/>
              </w:rPr>
            </w:pPr>
            <w:r>
              <w:rPr>
                <w:rFonts w:ascii="Times New Roman" w:hAnsi="Times New Roman"/>
              </w:rPr>
              <w:t>叠合梁端截面后浇混凝土叠合层截面面积（mm</w:t>
            </w:r>
            <w:r>
              <w:rPr>
                <w:rFonts w:ascii="Times New Roman" w:hAnsi="Times New Roman"/>
                <w:vertAlign w:val="superscript"/>
              </w:rPr>
              <w:t>2</w:t>
            </w:r>
            <w:r>
              <w:rPr>
                <w:rFonts w:ascii="Times New Roman" w:hAnsi="Times New Roman"/>
              </w:rPr>
              <w:t>）；</w:t>
            </w:r>
          </w:p>
        </w:tc>
      </w:tr>
      <w:tr>
        <w:tblPrEx>
          <w:tblCellMar>
            <w:top w:w="0" w:type="dxa"/>
            <w:left w:w="108" w:type="dxa"/>
            <w:bottom w:w="0" w:type="dxa"/>
            <w:right w:w="108" w:type="dxa"/>
          </w:tblCellMar>
        </w:tblPrEx>
        <w:trPr>
          <w:trHeight w:val="443" w:hRule="atLeast"/>
        </w:trPr>
        <w:tc>
          <w:tcPr>
            <w:tcW w:w="966" w:type="dxa"/>
          </w:tcPr>
          <w:p>
            <w:pPr>
              <w:autoSpaceDE w:val="0"/>
              <w:snapToGrid w:val="0"/>
              <w:spacing w:line="240" w:lineRule="auto"/>
              <w:jc w:val="right"/>
              <w:rPr>
                <w:rFonts w:ascii="Times New Roman" w:hAnsi="Times New Roman"/>
              </w:rPr>
            </w:pPr>
            <w:r>
              <w:rPr>
                <w:rFonts w:ascii="Times New Roman" w:hAnsi="Times New Roman"/>
                <w:kern w:val="0"/>
                <w:position w:val="-12"/>
                <w:sz w:val="24"/>
                <w:szCs w:val="24"/>
              </w:rPr>
              <w:drawing>
                <wp:inline distT="0" distB="0" distL="0" distR="0">
                  <wp:extent cx="241300" cy="293370"/>
                  <wp:effectExtent l="0" t="0" r="0" b="0"/>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24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241300" cy="293370"/>
                          </a:xfrm>
                          <a:prstGeom prst="rect">
                            <a:avLst/>
                          </a:prstGeom>
                          <a:noFill/>
                          <a:ln>
                            <a:noFill/>
                          </a:ln>
                        </pic:spPr>
                      </pic:pic>
                    </a:graphicData>
                  </a:graphic>
                </wp:inline>
              </w:drawing>
            </w:r>
          </w:p>
        </w:tc>
        <w:tc>
          <w:tcPr>
            <w:tcW w:w="850" w:type="dxa"/>
          </w:tcPr>
          <w:p>
            <w:pPr>
              <w:autoSpaceDE w:val="0"/>
              <w:snapToGrid w:val="0"/>
              <w:spacing w:line="240" w:lineRule="auto"/>
              <w:jc w:val="center"/>
              <w:rPr>
                <w:rFonts w:ascii="Times New Roman" w:hAnsi="Times New Roman"/>
                <w:color w:val="000000"/>
                <w:sz w:val="28"/>
                <w:szCs w:val="28"/>
              </w:rPr>
            </w:pPr>
            <w:r>
              <w:rPr>
                <w:rFonts w:ascii="Times New Roman" w:hAnsi="Times New Roman"/>
                <w:color w:val="000000"/>
                <w:sz w:val="28"/>
                <w:szCs w:val="28"/>
              </w:rPr>
              <w:t>——</w:t>
            </w:r>
          </w:p>
        </w:tc>
        <w:tc>
          <w:tcPr>
            <w:tcW w:w="7513" w:type="dxa"/>
            <w:vAlign w:val="center"/>
          </w:tcPr>
          <w:p>
            <w:pPr>
              <w:autoSpaceDE w:val="0"/>
              <w:adjustRightInd/>
              <w:spacing w:line="240" w:lineRule="auto"/>
              <w:rPr>
                <w:rFonts w:ascii="Times New Roman" w:hAnsi="Times New Roman"/>
              </w:rPr>
            </w:pPr>
            <w:r>
              <w:rPr>
                <w:rFonts w:ascii="Times New Roman" w:hAnsi="Times New Roman"/>
              </w:rPr>
              <w:t>预制构件混凝土轴心抗压强度设计值（N/mm</w:t>
            </w:r>
            <w:r>
              <w:rPr>
                <w:rFonts w:ascii="Times New Roman" w:hAnsi="Times New Roman"/>
                <w:vertAlign w:val="superscript"/>
              </w:rPr>
              <w:t>2</w:t>
            </w:r>
            <w:r>
              <w:rPr>
                <w:rFonts w:ascii="Times New Roman" w:hAnsi="Times New Roman"/>
              </w:rPr>
              <w:t>）；</w:t>
            </w:r>
          </w:p>
        </w:tc>
      </w:tr>
      <w:tr>
        <w:tblPrEx>
          <w:tblCellMar>
            <w:top w:w="0" w:type="dxa"/>
            <w:left w:w="108" w:type="dxa"/>
            <w:bottom w:w="0" w:type="dxa"/>
            <w:right w:w="108" w:type="dxa"/>
          </w:tblCellMar>
        </w:tblPrEx>
        <w:trPr>
          <w:trHeight w:val="443" w:hRule="atLeast"/>
        </w:trPr>
        <w:tc>
          <w:tcPr>
            <w:tcW w:w="966" w:type="dxa"/>
          </w:tcPr>
          <w:p>
            <w:pPr>
              <w:autoSpaceDE w:val="0"/>
              <w:snapToGrid w:val="0"/>
              <w:spacing w:line="240" w:lineRule="auto"/>
              <w:jc w:val="right"/>
              <w:rPr>
                <w:rFonts w:ascii="Times New Roman" w:hAnsi="Times New Roman"/>
              </w:rPr>
            </w:pPr>
            <w:r>
              <w:rPr>
                <w:rFonts w:ascii="Times New Roman" w:hAnsi="Times New Roman"/>
                <w:kern w:val="0"/>
                <w:position w:val="-14"/>
                <w:sz w:val="24"/>
                <w:szCs w:val="24"/>
              </w:rPr>
              <w:drawing>
                <wp:inline distT="0" distB="0" distL="0" distR="0">
                  <wp:extent cx="259080" cy="293370"/>
                  <wp:effectExtent l="0" t="0" r="0" b="0"/>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24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259080" cy="293370"/>
                          </a:xfrm>
                          <a:prstGeom prst="rect">
                            <a:avLst/>
                          </a:prstGeom>
                          <a:noFill/>
                          <a:ln>
                            <a:noFill/>
                          </a:ln>
                        </pic:spPr>
                      </pic:pic>
                    </a:graphicData>
                  </a:graphic>
                </wp:inline>
              </w:drawing>
            </w:r>
          </w:p>
        </w:tc>
        <w:tc>
          <w:tcPr>
            <w:tcW w:w="850" w:type="dxa"/>
          </w:tcPr>
          <w:p>
            <w:pPr>
              <w:autoSpaceDE w:val="0"/>
              <w:snapToGrid w:val="0"/>
              <w:spacing w:line="240" w:lineRule="auto"/>
              <w:jc w:val="center"/>
              <w:rPr>
                <w:rFonts w:ascii="Times New Roman" w:hAnsi="Times New Roman"/>
                <w:color w:val="000000"/>
                <w:sz w:val="28"/>
                <w:szCs w:val="28"/>
              </w:rPr>
            </w:pPr>
            <w:r>
              <w:rPr>
                <w:rFonts w:ascii="Times New Roman" w:hAnsi="Times New Roman"/>
                <w:color w:val="000000"/>
                <w:sz w:val="28"/>
                <w:szCs w:val="28"/>
              </w:rPr>
              <w:t>——</w:t>
            </w:r>
          </w:p>
        </w:tc>
        <w:tc>
          <w:tcPr>
            <w:tcW w:w="7513" w:type="dxa"/>
            <w:vAlign w:val="center"/>
          </w:tcPr>
          <w:p>
            <w:pPr>
              <w:autoSpaceDE w:val="0"/>
              <w:adjustRightInd/>
              <w:spacing w:line="240" w:lineRule="auto"/>
              <w:rPr>
                <w:rFonts w:ascii="Times New Roman" w:hAnsi="Times New Roman"/>
              </w:rPr>
            </w:pPr>
            <w:r>
              <w:rPr>
                <w:rFonts w:ascii="Times New Roman" w:hAnsi="Times New Roman"/>
              </w:rPr>
              <w:t>垂直穿过结合面</w:t>
            </w:r>
            <w:r>
              <w:rPr>
                <w:rFonts w:hint="eastAsia" w:ascii="Times New Roman" w:hAnsi="Times New Roman"/>
              </w:rPr>
              <w:t>的</w:t>
            </w:r>
            <w:r>
              <w:rPr>
                <w:rFonts w:ascii="Times New Roman" w:hAnsi="Times New Roman"/>
              </w:rPr>
              <w:t>钢筋抗拉强度设计值（N/mm</w:t>
            </w:r>
            <w:r>
              <w:rPr>
                <w:rFonts w:ascii="Times New Roman" w:hAnsi="Times New Roman"/>
                <w:vertAlign w:val="superscript"/>
              </w:rPr>
              <w:t>2</w:t>
            </w:r>
            <w:r>
              <w:rPr>
                <w:rFonts w:ascii="Times New Roman" w:hAnsi="Times New Roman"/>
              </w:rPr>
              <w:t>）；</w:t>
            </w:r>
          </w:p>
        </w:tc>
      </w:tr>
      <w:tr>
        <w:tblPrEx>
          <w:tblCellMar>
            <w:top w:w="0" w:type="dxa"/>
            <w:left w:w="108" w:type="dxa"/>
            <w:bottom w:w="0" w:type="dxa"/>
            <w:right w:w="108" w:type="dxa"/>
          </w:tblCellMar>
        </w:tblPrEx>
        <w:trPr>
          <w:trHeight w:val="443" w:hRule="atLeast"/>
        </w:trPr>
        <w:tc>
          <w:tcPr>
            <w:tcW w:w="966" w:type="dxa"/>
          </w:tcPr>
          <w:p>
            <w:pPr>
              <w:autoSpaceDE w:val="0"/>
              <w:snapToGrid w:val="0"/>
              <w:spacing w:line="240" w:lineRule="auto"/>
              <w:jc w:val="right"/>
              <w:rPr>
                <w:rFonts w:ascii="Times New Roman" w:hAnsi="Times New Roman"/>
              </w:rPr>
            </w:pPr>
            <w:r>
              <w:rPr>
                <w:rFonts w:ascii="Times New Roman" w:hAnsi="Times New Roman"/>
                <w:kern w:val="0"/>
                <w:position w:val="-10"/>
                <w:sz w:val="24"/>
                <w:szCs w:val="24"/>
              </w:rPr>
              <w:drawing>
                <wp:inline distT="0" distB="0" distL="0" distR="0">
                  <wp:extent cx="241300" cy="293370"/>
                  <wp:effectExtent l="0" t="0" r="6350" b="0"/>
                  <wp:docPr id="249"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 24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241300" cy="293370"/>
                          </a:xfrm>
                          <a:prstGeom prst="rect">
                            <a:avLst/>
                          </a:prstGeom>
                          <a:noFill/>
                          <a:ln>
                            <a:noFill/>
                          </a:ln>
                        </pic:spPr>
                      </pic:pic>
                    </a:graphicData>
                  </a:graphic>
                </wp:inline>
              </w:drawing>
            </w:r>
          </w:p>
        </w:tc>
        <w:tc>
          <w:tcPr>
            <w:tcW w:w="850" w:type="dxa"/>
          </w:tcPr>
          <w:p>
            <w:pPr>
              <w:autoSpaceDE w:val="0"/>
              <w:snapToGrid w:val="0"/>
              <w:spacing w:line="240" w:lineRule="auto"/>
              <w:jc w:val="center"/>
              <w:rPr>
                <w:rFonts w:ascii="Times New Roman" w:hAnsi="Times New Roman"/>
                <w:color w:val="000000"/>
                <w:sz w:val="28"/>
                <w:szCs w:val="28"/>
              </w:rPr>
            </w:pPr>
            <w:r>
              <w:rPr>
                <w:rFonts w:ascii="Times New Roman" w:hAnsi="Times New Roman"/>
                <w:color w:val="000000"/>
                <w:sz w:val="28"/>
                <w:szCs w:val="28"/>
              </w:rPr>
              <w:t>——</w:t>
            </w:r>
          </w:p>
        </w:tc>
        <w:tc>
          <w:tcPr>
            <w:tcW w:w="7513" w:type="dxa"/>
            <w:vAlign w:val="center"/>
          </w:tcPr>
          <w:p>
            <w:pPr>
              <w:autoSpaceDE w:val="0"/>
              <w:adjustRightInd/>
              <w:spacing w:line="240" w:lineRule="auto"/>
              <w:rPr>
                <w:rFonts w:ascii="Times New Roman" w:hAnsi="Times New Roman"/>
              </w:rPr>
            </w:pPr>
            <w:r>
              <w:rPr>
                <w:rFonts w:ascii="Times New Roman" w:hAnsi="Times New Roman"/>
              </w:rPr>
              <w:t>各凹槽的根部截面面积之和，按后浇凹槽根部截面和预制凹槽根部截面分别计算，并取二者的较小值</w:t>
            </w:r>
            <w:r>
              <w:rPr>
                <w:rFonts w:hint="eastAsia" w:ascii="Times New Roman" w:hAnsi="Times New Roman"/>
              </w:rPr>
              <w:t>（</w:t>
            </w:r>
            <w:r>
              <w:rPr>
                <w:rFonts w:ascii="Times New Roman" w:hAnsi="Times New Roman"/>
              </w:rPr>
              <w:t>mm</w:t>
            </w:r>
            <w:r>
              <w:rPr>
                <w:rFonts w:ascii="Times New Roman" w:hAnsi="Times New Roman"/>
                <w:vertAlign w:val="superscript"/>
              </w:rPr>
              <w:t>2</w:t>
            </w:r>
            <w:r>
              <w:rPr>
                <w:rFonts w:ascii="Times New Roman" w:hAnsi="Times New Roman"/>
              </w:rPr>
              <w:t>）；</w:t>
            </w:r>
          </w:p>
        </w:tc>
      </w:tr>
      <w:tr>
        <w:tblPrEx>
          <w:tblCellMar>
            <w:top w:w="0" w:type="dxa"/>
            <w:left w:w="108" w:type="dxa"/>
            <w:bottom w:w="0" w:type="dxa"/>
            <w:right w:w="108" w:type="dxa"/>
          </w:tblCellMar>
        </w:tblPrEx>
        <w:trPr>
          <w:trHeight w:val="443" w:hRule="atLeast"/>
        </w:trPr>
        <w:tc>
          <w:tcPr>
            <w:tcW w:w="966" w:type="dxa"/>
          </w:tcPr>
          <w:p>
            <w:pPr>
              <w:autoSpaceDE w:val="0"/>
              <w:snapToGrid w:val="0"/>
              <w:spacing w:line="240" w:lineRule="auto"/>
              <w:jc w:val="right"/>
              <w:rPr>
                <w:rFonts w:ascii="Times New Roman" w:hAnsi="Times New Roman"/>
              </w:rPr>
            </w:pPr>
            <w:r>
              <w:rPr>
                <w:rFonts w:ascii="Times New Roman" w:hAnsi="Times New Roman"/>
                <w:kern w:val="0"/>
                <w:position w:val="-12"/>
                <w:sz w:val="24"/>
                <w:szCs w:val="24"/>
              </w:rPr>
              <w:drawing>
                <wp:inline distT="0" distB="0" distL="0" distR="0">
                  <wp:extent cx="293370" cy="293370"/>
                  <wp:effectExtent l="0" t="0" r="0" b="0"/>
                  <wp:docPr id="251"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25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293370" cy="293370"/>
                          </a:xfrm>
                          <a:prstGeom prst="rect">
                            <a:avLst/>
                          </a:prstGeom>
                          <a:noFill/>
                          <a:ln>
                            <a:noFill/>
                          </a:ln>
                        </pic:spPr>
                      </pic:pic>
                    </a:graphicData>
                  </a:graphic>
                </wp:inline>
              </w:drawing>
            </w:r>
          </w:p>
        </w:tc>
        <w:tc>
          <w:tcPr>
            <w:tcW w:w="850" w:type="dxa"/>
          </w:tcPr>
          <w:p>
            <w:pPr>
              <w:autoSpaceDE w:val="0"/>
              <w:snapToGrid w:val="0"/>
              <w:spacing w:line="240" w:lineRule="auto"/>
              <w:jc w:val="center"/>
              <w:rPr>
                <w:rFonts w:ascii="Times New Roman" w:hAnsi="Times New Roman"/>
                <w:color w:val="000000"/>
                <w:sz w:val="28"/>
                <w:szCs w:val="28"/>
              </w:rPr>
            </w:pPr>
            <w:r>
              <w:rPr>
                <w:rFonts w:ascii="Times New Roman" w:hAnsi="Times New Roman"/>
                <w:color w:val="000000"/>
                <w:sz w:val="28"/>
                <w:szCs w:val="28"/>
              </w:rPr>
              <w:t>——</w:t>
            </w:r>
          </w:p>
        </w:tc>
        <w:tc>
          <w:tcPr>
            <w:tcW w:w="7513" w:type="dxa"/>
            <w:vAlign w:val="center"/>
          </w:tcPr>
          <w:p>
            <w:pPr>
              <w:autoSpaceDE w:val="0"/>
              <w:adjustRightInd/>
              <w:spacing w:line="240" w:lineRule="auto"/>
              <w:rPr>
                <w:rFonts w:ascii="Times New Roman" w:hAnsi="Times New Roman"/>
              </w:rPr>
            </w:pPr>
            <w:r>
              <w:rPr>
                <w:rFonts w:ascii="Times New Roman" w:hAnsi="Times New Roman"/>
              </w:rPr>
              <w:t>垂直穿过结合面所有钢筋的面积，包括叠合层内的纵向钢筋</w:t>
            </w:r>
            <w:r>
              <w:rPr>
                <w:rFonts w:hint="eastAsia" w:ascii="Times New Roman" w:hAnsi="Times New Roman"/>
              </w:rPr>
              <w:t>（</w:t>
            </w:r>
            <w:r>
              <w:rPr>
                <w:rFonts w:ascii="Times New Roman" w:hAnsi="Times New Roman"/>
              </w:rPr>
              <w:t>mm</w:t>
            </w:r>
            <w:r>
              <w:rPr>
                <w:rFonts w:ascii="Times New Roman" w:hAnsi="Times New Roman"/>
                <w:vertAlign w:val="superscript"/>
              </w:rPr>
              <w:t>2</w:t>
            </w:r>
            <w:r>
              <w:rPr>
                <w:rFonts w:ascii="Times New Roman" w:hAnsi="Times New Roman"/>
              </w:rPr>
              <w:t>）。</w:t>
            </w:r>
          </w:p>
        </w:tc>
      </w:tr>
    </w:tbl>
    <w:p>
      <w:pPr>
        <w:pStyle w:val="58"/>
        <w:ind w:firstLine="0" w:firstLineChars="0"/>
        <w:rPr>
          <w:rFonts w:hAnsi="黑体"/>
          <w:bCs/>
        </w:rPr>
      </w:pPr>
      <w:r>
        <w:rPr>
          <w:rFonts w:ascii="黑体" w:hAnsi="黑体" w:eastAsia="黑体"/>
        </w:rPr>
        <w:t>5</w:t>
      </w:r>
      <w:r>
        <w:rPr>
          <w:rFonts w:hint="eastAsia" w:ascii="黑体" w:hAnsi="黑体" w:eastAsia="黑体"/>
        </w:rPr>
        <w:t>.</w:t>
      </w:r>
      <w:r>
        <w:rPr>
          <w:rFonts w:ascii="黑体" w:hAnsi="黑体" w:eastAsia="黑体"/>
        </w:rPr>
        <w:t>4.3</w:t>
      </w:r>
      <w:r>
        <w:rPr>
          <w:rFonts w:hint="eastAsia" w:ascii="黑体" w:hAnsi="黑体" w:eastAsia="黑体"/>
        </w:rPr>
        <w:t xml:space="preserve"> </w:t>
      </w:r>
      <w:r>
        <w:rPr>
          <w:rFonts w:hint="eastAsia" w:hAnsi="黑体"/>
          <w:bCs/>
        </w:rPr>
        <w:t>在地震设计状况下，预制柱底水平接缝的受剪承载力设计值应按下列公式计算：</w:t>
      </w:r>
    </w:p>
    <w:p>
      <w:pPr>
        <w:pStyle w:val="58"/>
        <w:ind w:left="840" w:leftChars="200" w:hanging="420" w:hangingChars="200"/>
      </w:pPr>
      <w:r>
        <w:t>a</w:t>
      </w:r>
      <w:r>
        <w:rPr>
          <w:rFonts w:hint="eastAsia"/>
        </w:rPr>
        <w:t>)</w:t>
      </w:r>
      <w:r>
        <w:tab/>
      </w:r>
      <w:r>
        <w:rPr>
          <w:rFonts w:hint="eastAsia"/>
        </w:rPr>
        <w:t>当预制柱受压时：</w:t>
      </w:r>
    </w:p>
    <w:p>
      <w:pPr>
        <w:adjustRightInd/>
        <w:spacing w:line="240" w:lineRule="auto"/>
        <w:jc w:val="center"/>
        <w:rPr>
          <w:rFonts w:ascii="Times New Roman" w:hAnsi="Times New Roman"/>
        </w:rPr>
      </w:pPr>
      <w:r>
        <w:rPr>
          <w:rFonts w:ascii="Times New Roman" w:hAnsi="Times New Roman"/>
        </w:rPr>
        <w:drawing>
          <wp:inline distT="0" distB="0" distL="0" distR="0">
            <wp:extent cx="1914525" cy="311785"/>
            <wp:effectExtent l="0" t="0" r="0" b="0"/>
            <wp:docPr id="25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图片 25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1921661" cy="313294"/>
                    </a:xfrm>
                    <a:prstGeom prst="rect">
                      <a:avLst/>
                    </a:prstGeom>
                    <a:noFill/>
                    <a:ln>
                      <a:noFill/>
                    </a:ln>
                  </pic:spPr>
                </pic:pic>
              </a:graphicData>
            </a:graphic>
          </wp:inline>
        </w:drawing>
      </w:r>
    </w:p>
    <w:p>
      <w:pPr>
        <w:pStyle w:val="58"/>
        <w:ind w:left="840" w:leftChars="200" w:hanging="420" w:hangingChars="200"/>
      </w:pPr>
      <w:r>
        <w:t>b</w:t>
      </w:r>
      <w:r>
        <w:rPr>
          <w:rFonts w:hint="eastAsia"/>
        </w:rPr>
        <w:t>)</w:t>
      </w:r>
      <w:r>
        <w:tab/>
      </w:r>
      <w:r>
        <w:rPr>
          <w:rFonts w:hint="eastAsia"/>
        </w:rPr>
        <w:t>当预制柱受拉时：</w:t>
      </w:r>
    </w:p>
    <w:p>
      <w:pPr>
        <w:adjustRightInd/>
        <w:spacing w:line="240" w:lineRule="auto"/>
        <w:jc w:val="center"/>
        <w:rPr>
          <w:rFonts w:ascii="Times New Roman" w:hAnsi="Times New Roman"/>
        </w:rPr>
      </w:pPr>
      <w:r>
        <w:rPr>
          <w:rFonts w:ascii="Times New Roman" w:hAnsi="Times New Roman"/>
        </w:rPr>
        <w:drawing>
          <wp:inline distT="0" distB="0" distL="0" distR="0">
            <wp:extent cx="2043430" cy="518795"/>
            <wp:effectExtent l="0" t="0" r="0" b="0"/>
            <wp:docPr id="254"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 25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2044412" cy="519017"/>
                    </a:xfrm>
                    <a:prstGeom prst="rect">
                      <a:avLst/>
                    </a:prstGeom>
                    <a:noFill/>
                    <a:ln>
                      <a:noFill/>
                    </a:ln>
                  </pic:spPr>
                </pic:pic>
              </a:graphicData>
            </a:graphic>
          </wp:inline>
        </w:drawing>
      </w:r>
    </w:p>
    <w:p>
      <w:pPr>
        <w:spacing w:line="240" w:lineRule="auto"/>
        <w:ind w:firstLine="420" w:firstLineChars="200"/>
      </w:pPr>
      <w:r>
        <w:rPr>
          <w:rFonts w:hint="eastAsia"/>
        </w:rPr>
        <w:t>式中：</w:t>
      </w:r>
    </w:p>
    <w:tbl>
      <w:tblPr>
        <w:tblStyle w:val="27"/>
        <w:tblW w:w="9329" w:type="dxa"/>
        <w:tblInd w:w="135" w:type="dxa"/>
        <w:tblLayout w:type="fixed"/>
        <w:tblCellMar>
          <w:top w:w="0" w:type="dxa"/>
          <w:left w:w="108" w:type="dxa"/>
          <w:bottom w:w="0" w:type="dxa"/>
          <w:right w:w="108" w:type="dxa"/>
        </w:tblCellMar>
      </w:tblPr>
      <w:tblGrid>
        <w:gridCol w:w="824"/>
        <w:gridCol w:w="850"/>
        <w:gridCol w:w="7655"/>
      </w:tblGrid>
      <w:tr>
        <w:tblPrEx>
          <w:tblCellMar>
            <w:top w:w="0" w:type="dxa"/>
            <w:left w:w="108" w:type="dxa"/>
            <w:bottom w:w="0" w:type="dxa"/>
            <w:right w:w="108" w:type="dxa"/>
          </w:tblCellMar>
        </w:tblPrEx>
        <w:trPr>
          <w:trHeight w:val="443" w:hRule="atLeast"/>
        </w:trPr>
        <w:tc>
          <w:tcPr>
            <w:tcW w:w="824" w:type="dxa"/>
          </w:tcPr>
          <w:p>
            <w:pPr>
              <w:autoSpaceDE w:val="0"/>
              <w:snapToGrid w:val="0"/>
              <w:spacing w:line="240" w:lineRule="auto"/>
              <w:jc w:val="right"/>
              <w:rPr>
                <w:rFonts w:ascii="Times New Roman" w:hAnsi="Times New Roman"/>
              </w:rPr>
            </w:pPr>
            <w:r>
              <w:rPr>
                <w:rFonts w:ascii="Times New Roman" w:hAnsi="Times New Roman"/>
                <w:kern w:val="0"/>
                <w:position w:val="-12"/>
                <w:sz w:val="24"/>
                <w:szCs w:val="24"/>
              </w:rPr>
              <w:drawing>
                <wp:inline distT="0" distB="0" distL="0" distR="0">
                  <wp:extent cx="207010" cy="259080"/>
                  <wp:effectExtent l="0" t="0" r="0" b="7620"/>
                  <wp:docPr id="255"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25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207010" cy="259080"/>
                          </a:xfrm>
                          <a:prstGeom prst="rect">
                            <a:avLst/>
                          </a:prstGeom>
                          <a:noFill/>
                          <a:ln>
                            <a:noFill/>
                          </a:ln>
                        </pic:spPr>
                      </pic:pic>
                    </a:graphicData>
                  </a:graphic>
                </wp:inline>
              </w:drawing>
            </w:r>
          </w:p>
        </w:tc>
        <w:tc>
          <w:tcPr>
            <w:tcW w:w="850" w:type="dxa"/>
          </w:tcPr>
          <w:p>
            <w:pPr>
              <w:autoSpaceDE w:val="0"/>
              <w:snapToGrid w:val="0"/>
              <w:spacing w:line="240" w:lineRule="auto"/>
              <w:rPr>
                <w:rFonts w:ascii="Times New Roman" w:hAnsi="Times New Roman"/>
                <w:color w:val="000000"/>
                <w:sz w:val="28"/>
                <w:szCs w:val="28"/>
              </w:rPr>
            </w:pPr>
            <w:r>
              <w:rPr>
                <w:rFonts w:ascii="Times New Roman" w:hAnsi="Times New Roman"/>
                <w:color w:val="000000"/>
                <w:sz w:val="28"/>
                <w:szCs w:val="28"/>
              </w:rPr>
              <w:t>——</w:t>
            </w:r>
          </w:p>
        </w:tc>
        <w:tc>
          <w:tcPr>
            <w:tcW w:w="7655" w:type="dxa"/>
            <w:vAlign w:val="center"/>
          </w:tcPr>
          <w:p>
            <w:pPr>
              <w:autoSpaceDE w:val="0"/>
              <w:adjustRightInd/>
              <w:spacing w:line="240" w:lineRule="auto"/>
              <w:rPr>
                <w:rFonts w:ascii="宋体" w:hAnsi="宋体"/>
              </w:rPr>
            </w:pPr>
            <w:r>
              <w:rPr>
                <w:rFonts w:ascii="宋体" w:hAnsi="宋体"/>
              </w:rPr>
              <w:t>预制构件混凝土轴心抗压强度设计值（</w:t>
            </w:r>
            <w:r>
              <w:rPr>
                <w:rFonts w:ascii="Times New Roman" w:hAnsi="Times New Roman"/>
              </w:rPr>
              <w:t>N/mm</w:t>
            </w:r>
            <w:r>
              <w:rPr>
                <w:rFonts w:ascii="Times New Roman" w:hAnsi="Times New Roman"/>
                <w:vertAlign w:val="superscript"/>
              </w:rPr>
              <w:t>2</w:t>
            </w:r>
            <w:r>
              <w:rPr>
                <w:rFonts w:ascii="宋体" w:hAnsi="宋体"/>
              </w:rPr>
              <w:t>）；</w:t>
            </w:r>
          </w:p>
        </w:tc>
      </w:tr>
      <w:tr>
        <w:tblPrEx>
          <w:tblCellMar>
            <w:top w:w="0" w:type="dxa"/>
            <w:left w:w="108" w:type="dxa"/>
            <w:bottom w:w="0" w:type="dxa"/>
            <w:right w:w="108" w:type="dxa"/>
          </w:tblCellMar>
        </w:tblPrEx>
        <w:trPr>
          <w:trHeight w:val="443" w:hRule="atLeast"/>
        </w:trPr>
        <w:tc>
          <w:tcPr>
            <w:tcW w:w="824" w:type="dxa"/>
          </w:tcPr>
          <w:p>
            <w:pPr>
              <w:autoSpaceDE w:val="0"/>
              <w:snapToGrid w:val="0"/>
              <w:spacing w:line="240" w:lineRule="auto"/>
              <w:jc w:val="right"/>
              <w:rPr>
                <w:rFonts w:ascii="Times New Roman" w:hAnsi="Times New Roman"/>
              </w:rPr>
            </w:pPr>
            <w:r>
              <w:rPr>
                <w:rFonts w:ascii="Times New Roman" w:hAnsi="Times New Roman"/>
                <w:kern w:val="0"/>
                <w:position w:val="-14"/>
                <w:sz w:val="24"/>
                <w:szCs w:val="24"/>
              </w:rPr>
              <w:drawing>
                <wp:inline distT="0" distB="0" distL="0" distR="0">
                  <wp:extent cx="224155" cy="259080"/>
                  <wp:effectExtent l="0" t="0" r="4445" b="762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257"/>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224155" cy="259080"/>
                          </a:xfrm>
                          <a:prstGeom prst="rect">
                            <a:avLst/>
                          </a:prstGeom>
                          <a:noFill/>
                          <a:ln>
                            <a:noFill/>
                          </a:ln>
                        </pic:spPr>
                      </pic:pic>
                    </a:graphicData>
                  </a:graphic>
                </wp:inline>
              </w:drawing>
            </w:r>
          </w:p>
        </w:tc>
        <w:tc>
          <w:tcPr>
            <w:tcW w:w="850" w:type="dxa"/>
          </w:tcPr>
          <w:p>
            <w:pPr>
              <w:autoSpaceDE w:val="0"/>
              <w:snapToGrid w:val="0"/>
              <w:spacing w:line="240" w:lineRule="auto"/>
              <w:rPr>
                <w:rFonts w:ascii="Times New Roman" w:hAnsi="Times New Roman"/>
                <w:color w:val="000000"/>
                <w:sz w:val="28"/>
                <w:szCs w:val="28"/>
              </w:rPr>
            </w:pPr>
            <w:r>
              <w:rPr>
                <w:rFonts w:ascii="Times New Roman" w:hAnsi="Times New Roman"/>
                <w:color w:val="000000"/>
                <w:sz w:val="28"/>
                <w:szCs w:val="28"/>
              </w:rPr>
              <w:t>——</w:t>
            </w:r>
          </w:p>
        </w:tc>
        <w:tc>
          <w:tcPr>
            <w:tcW w:w="7655" w:type="dxa"/>
            <w:vAlign w:val="center"/>
          </w:tcPr>
          <w:p>
            <w:pPr>
              <w:autoSpaceDE w:val="0"/>
              <w:adjustRightInd/>
              <w:spacing w:line="240" w:lineRule="auto"/>
              <w:rPr>
                <w:rFonts w:ascii="宋体" w:hAnsi="宋体"/>
              </w:rPr>
            </w:pPr>
            <w:r>
              <w:rPr>
                <w:rFonts w:ascii="宋体" w:hAnsi="宋体"/>
              </w:rPr>
              <w:t>垂直穿过结合面钢筋抗拉强度设计值（</w:t>
            </w:r>
            <w:r>
              <w:rPr>
                <w:rFonts w:ascii="Times New Roman" w:hAnsi="Times New Roman"/>
              </w:rPr>
              <w:t>N/mm</w:t>
            </w:r>
            <w:r>
              <w:rPr>
                <w:rFonts w:ascii="Times New Roman" w:hAnsi="Times New Roman"/>
                <w:vertAlign w:val="superscript"/>
              </w:rPr>
              <w:t>2</w:t>
            </w:r>
            <w:r>
              <w:rPr>
                <w:rFonts w:ascii="宋体" w:hAnsi="宋体"/>
              </w:rPr>
              <w:t>）；</w:t>
            </w:r>
          </w:p>
        </w:tc>
      </w:tr>
      <w:tr>
        <w:tblPrEx>
          <w:tblCellMar>
            <w:top w:w="0" w:type="dxa"/>
            <w:left w:w="108" w:type="dxa"/>
            <w:bottom w:w="0" w:type="dxa"/>
            <w:right w:w="108" w:type="dxa"/>
          </w:tblCellMar>
        </w:tblPrEx>
        <w:trPr>
          <w:trHeight w:val="443" w:hRule="atLeast"/>
        </w:trPr>
        <w:tc>
          <w:tcPr>
            <w:tcW w:w="824" w:type="dxa"/>
          </w:tcPr>
          <w:p>
            <w:pPr>
              <w:autoSpaceDE w:val="0"/>
              <w:snapToGrid w:val="0"/>
              <w:spacing w:line="240" w:lineRule="auto"/>
              <w:jc w:val="right"/>
              <w:rPr>
                <w:rFonts w:ascii="Times New Roman" w:hAnsi="Times New Roman"/>
              </w:rPr>
            </w:pPr>
            <w:r>
              <w:rPr>
                <w:rFonts w:ascii="Times New Roman" w:hAnsi="Times New Roman"/>
                <w:kern w:val="0"/>
                <w:position w:val="-6"/>
                <w:sz w:val="24"/>
                <w:szCs w:val="24"/>
              </w:rPr>
              <w:drawing>
                <wp:inline distT="0" distB="0" distL="0" distR="0">
                  <wp:extent cx="207010" cy="180975"/>
                  <wp:effectExtent l="0" t="0" r="2540" b="9525"/>
                  <wp:docPr id="259"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259"/>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207010" cy="180975"/>
                          </a:xfrm>
                          <a:prstGeom prst="rect">
                            <a:avLst/>
                          </a:prstGeom>
                          <a:noFill/>
                          <a:ln>
                            <a:noFill/>
                          </a:ln>
                        </pic:spPr>
                      </pic:pic>
                    </a:graphicData>
                  </a:graphic>
                </wp:inline>
              </w:drawing>
            </w:r>
          </w:p>
        </w:tc>
        <w:tc>
          <w:tcPr>
            <w:tcW w:w="850" w:type="dxa"/>
          </w:tcPr>
          <w:p>
            <w:pPr>
              <w:autoSpaceDE w:val="0"/>
              <w:snapToGrid w:val="0"/>
              <w:spacing w:line="240" w:lineRule="auto"/>
              <w:rPr>
                <w:rFonts w:ascii="Times New Roman" w:hAnsi="Times New Roman"/>
                <w:color w:val="000000"/>
                <w:sz w:val="28"/>
                <w:szCs w:val="28"/>
              </w:rPr>
            </w:pPr>
            <w:r>
              <w:rPr>
                <w:rFonts w:ascii="Times New Roman" w:hAnsi="Times New Roman"/>
                <w:color w:val="000000"/>
                <w:sz w:val="28"/>
                <w:szCs w:val="28"/>
              </w:rPr>
              <w:t>——</w:t>
            </w:r>
          </w:p>
        </w:tc>
        <w:tc>
          <w:tcPr>
            <w:tcW w:w="7655" w:type="dxa"/>
            <w:vAlign w:val="center"/>
          </w:tcPr>
          <w:p>
            <w:pPr>
              <w:autoSpaceDE w:val="0"/>
              <w:adjustRightInd/>
              <w:spacing w:line="240" w:lineRule="auto"/>
              <w:rPr>
                <w:rFonts w:ascii="宋体" w:hAnsi="宋体"/>
              </w:rPr>
            </w:pPr>
            <w:r>
              <w:rPr>
                <w:rFonts w:ascii="宋体" w:hAnsi="宋体"/>
              </w:rPr>
              <w:t>与剪力设计值</w:t>
            </w:r>
            <w:r>
              <w:rPr>
                <w:rFonts w:ascii="Times New Roman" w:hAnsi="Times New Roman"/>
                <w:i/>
                <w:iCs/>
              </w:rPr>
              <w:t>V</w:t>
            </w:r>
            <w:r>
              <w:rPr>
                <w:rFonts w:ascii="宋体" w:hAnsi="宋体"/>
              </w:rPr>
              <w:t>相应的垂直于结合面的轴向力设计值，取绝对值进行计算</w:t>
            </w:r>
            <w:r>
              <w:rPr>
                <w:rFonts w:hint="eastAsia" w:ascii="宋体" w:hAnsi="宋体"/>
              </w:rPr>
              <w:t>（N）</w:t>
            </w:r>
            <w:r>
              <w:rPr>
                <w:rFonts w:ascii="宋体" w:hAnsi="宋体"/>
              </w:rPr>
              <w:t>；</w:t>
            </w:r>
          </w:p>
        </w:tc>
      </w:tr>
      <w:tr>
        <w:tblPrEx>
          <w:tblCellMar>
            <w:top w:w="0" w:type="dxa"/>
            <w:left w:w="108" w:type="dxa"/>
            <w:bottom w:w="0" w:type="dxa"/>
            <w:right w:w="108" w:type="dxa"/>
          </w:tblCellMar>
        </w:tblPrEx>
        <w:trPr>
          <w:trHeight w:val="443" w:hRule="atLeast"/>
        </w:trPr>
        <w:tc>
          <w:tcPr>
            <w:tcW w:w="824" w:type="dxa"/>
          </w:tcPr>
          <w:p>
            <w:pPr>
              <w:autoSpaceDE w:val="0"/>
              <w:snapToGrid w:val="0"/>
              <w:spacing w:line="240" w:lineRule="auto"/>
              <w:jc w:val="right"/>
              <w:rPr>
                <w:rFonts w:ascii="Times New Roman" w:hAnsi="Times New Roman"/>
              </w:rPr>
            </w:pPr>
            <w:r>
              <w:rPr>
                <w:rFonts w:ascii="Times New Roman" w:hAnsi="Times New Roman"/>
                <w:kern w:val="0"/>
                <w:position w:val="-12"/>
                <w:sz w:val="24"/>
                <w:szCs w:val="24"/>
              </w:rPr>
              <w:drawing>
                <wp:inline distT="0" distB="0" distL="0" distR="0">
                  <wp:extent cx="259080" cy="259080"/>
                  <wp:effectExtent l="0" t="0" r="7620" b="7620"/>
                  <wp:docPr id="261"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26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259080" cy="259080"/>
                          </a:xfrm>
                          <a:prstGeom prst="rect">
                            <a:avLst/>
                          </a:prstGeom>
                          <a:noFill/>
                          <a:ln>
                            <a:noFill/>
                          </a:ln>
                        </pic:spPr>
                      </pic:pic>
                    </a:graphicData>
                  </a:graphic>
                </wp:inline>
              </w:drawing>
            </w:r>
          </w:p>
        </w:tc>
        <w:tc>
          <w:tcPr>
            <w:tcW w:w="850" w:type="dxa"/>
          </w:tcPr>
          <w:p>
            <w:pPr>
              <w:autoSpaceDE w:val="0"/>
              <w:snapToGrid w:val="0"/>
              <w:spacing w:line="240" w:lineRule="auto"/>
              <w:rPr>
                <w:rFonts w:ascii="Times New Roman" w:hAnsi="Times New Roman"/>
                <w:color w:val="000000"/>
                <w:sz w:val="28"/>
                <w:szCs w:val="28"/>
              </w:rPr>
            </w:pPr>
            <w:r>
              <w:rPr>
                <w:rFonts w:ascii="Times New Roman" w:hAnsi="Times New Roman"/>
                <w:color w:val="000000"/>
                <w:sz w:val="28"/>
                <w:szCs w:val="28"/>
              </w:rPr>
              <w:t>——</w:t>
            </w:r>
          </w:p>
        </w:tc>
        <w:tc>
          <w:tcPr>
            <w:tcW w:w="7655" w:type="dxa"/>
            <w:vAlign w:val="center"/>
          </w:tcPr>
          <w:p>
            <w:pPr>
              <w:autoSpaceDE w:val="0"/>
              <w:adjustRightInd/>
              <w:spacing w:line="240" w:lineRule="auto"/>
              <w:rPr>
                <w:rFonts w:ascii="宋体" w:hAnsi="宋体"/>
              </w:rPr>
            </w:pPr>
            <w:r>
              <w:rPr>
                <w:rFonts w:ascii="宋体" w:hAnsi="宋体"/>
              </w:rPr>
              <w:t>垂直穿过结合面所有钢筋的面积</w:t>
            </w:r>
            <w:r>
              <w:rPr>
                <w:rFonts w:hint="eastAsia" w:ascii="宋体" w:hAnsi="宋体"/>
              </w:rPr>
              <w:t>（</w:t>
            </w:r>
            <w:r>
              <w:rPr>
                <w:rFonts w:ascii="Times New Roman" w:hAnsi="Times New Roman"/>
              </w:rPr>
              <w:t>mm</w:t>
            </w:r>
            <w:r>
              <w:rPr>
                <w:rFonts w:ascii="Times New Roman" w:hAnsi="Times New Roman"/>
                <w:vertAlign w:val="superscript"/>
              </w:rPr>
              <w:t>2</w:t>
            </w:r>
            <w:r>
              <w:rPr>
                <w:rFonts w:ascii="宋体" w:hAnsi="宋体"/>
              </w:rPr>
              <w:t>）；</w:t>
            </w:r>
          </w:p>
        </w:tc>
      </w:tr>
      <w:tr>
        <w:tblPrEx>
          <w:tblCellMar>
            <w:top w:w="0" w:type="dxa"/>
            <w:left w:w="108" w:type="dxa"/>
            <w:bottom w:w="0" w:type="dxa"/>
            <w:right w:w="108" w:type="dxa"/>
          </w:tblCellMar>
        </w:tblPrEx>
        <w:trPr>
          <w:trHeight w:val="443" w:hRule="atLeast"/>
        </w:trPr>
        <w:tc>
          <w:tcPr>
            <w:tcW w:w="824" w:type="dxa"/>
          </w:tcPr>
          <w:p>
            <w:pPr>
              <w:autoSpaceDE w:val="0"/>
              <w:snapToGrid w:val="0"/>
              <w:spacing w:line="240" w:lineRule="auto"/>
              <w:jc w:val="right"/>
              <w:rPr>
                <w:rFonts w:ascii="Times New Roman" w:hAnsi="Times New Roman"/>
              </w:rPr>
            </w:pPr>
            <w:r>
              <w:rPr>
                <w:rFonts w:ascii="Times New Roman" w:hAnsi="Times New Roman"/>
                <w:kern w:val="0"/>
                <w:position w:val="-12"/>
                <w:sz w:val="24"/>
                <w:szCs w:val="24"/>
              </w:rPr>
              <w:drawing>
                <wp:inline distT="0" distB="0" distL="0" distR="0">
                  <wp:extent cx="259080" cy="259080"/>
                  <wp:effectExtent l="0" t="0" r="7620" b="7620"/>
                  <wp:docPr id="263" name="图片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6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259080" cy="259080"/>
                          </a:xfrm>
                          <a:prstGeom prst="rect">
                            <a:avLst/>
                          </a:prstGeom>
                          <a:noFill/>
                          <a:ln>
                            <a:noFill/>
                          </a:ln>
                        </pic:spPr>
                      </pic:pic>
                    </a:graphicData>
                  </a:graphic>
                </wp:inline>
              </w:drawing>
            </w:r>
          </w:p>
        </w:tc>
        <w:tc>
          <w:tcPr>
            <w:tcW w:w="850" w:type="dxa"/>
          </w:tcPr>
          <w:p>
            <w:pPr>
              <w:autoSpaceDE w:val="0"/>
              <w:snapToGrid w:val="0"/>
              <w:spacing w:line="240" w:lineRule="auto"/>
              <w:rPr>
                <w:rFonts w:ascii="Times New Roman" w:hAnsi="Times New Roman"/>
                <w:color w:val="000000"/>
                <w:sz w:val="28"/>
                <w:szCs w:val="28"/>
              </w:rPr>
            </w:pPr>
            <w:r>
              <w:rPr>
                <w:rFonts w:ascii="Times New Roman" w:hAnsi="Times New Roman"/>
                <w:color w:val="000000"/>
                <w:sz w:val="28"/>
                <w:szCs w:val="28"/>
              </w:rPr>
              <w:t>——</w:t>
            </w:r>
          </w:p>
        </w:tc>
        <w:tc>
          <w:tcPr>
            <w:tcW w:w="7655" w:type="dxa"/>
            <w:vAlign w:val="center"/>
          </w:tcPr>
          <w:p>
            <w:pPr>
              <w:autoSpaceDE w:val="0"/>
              <w:adjustRightInd/>
              <w:spacing w:line="240" w:lineRule="auto"/>
              <w:rPr>
                <w:rFonts w:ascii="宋体" w:hAnsi="宋体"/>
              </w:rPr>
            </w:pPr>
            <w:r>
              <w:rPr>
                <w:rFonts w:ascii="宋体" w:hAnsi="宋体"/>
              </w:rPr>
              <w:t>地震设计状况下柱端底部接缝受剪承载力设计值</w:t>
            </w:r>
            <w:r>
              <w:rPr>
                <w:rFonts w:hint="eastAsia" w:ascii="宋体" w:hAnsi="宋体"/>
              </w:rPr>
              <w:t>（N）</w:t>
            </w:r>
            <w:r>
              <w:rPr>
                <w:rFonts w:ascii="宋体" w:hAnsi="宋体"/>
              </w:rPr>
              <w:t>。</w:t>
            </w:r>
          </w:p>
        </w:tc>
      </w:tr>
    </w:tbl>
    <w:p>
      <w:pPr>
        <w:pStyle w:val="58"/>
        <w:ind w:firstLine="0" w:firstLineChars="0"/>
        <w:rPr>
          <w:rFonts w:hAnsi="黑体"/>
          <w:bCs/>
        </w:rPr>
      </w:pPr>
      <w:r>
        <w:rPr>
          <w:rFonts w:ascii="黑体" w:hAnsi="黑体" w:eastAsia="黑体"/>
        </w:rPr>
        <w:t>5</w:t>
      </w:r>
      <w:r>
        <w:rPr>
          <w:rFonts w:hint="eastAsia" w:ascii="黑体" w:hAnsi="黑体" w:eastAsia="黑体"/>
        </w:rPr>
        <w:t>.</w:t>
      </w:r>
      <w:r>
        <w:rPr>
          <w:rFonts w:ascii="黑体" w:hAnsi="黑体" w:eastAsia="黑体"/>
        </w:rPr>
        <w:t>4.4</w:t>
      </w:r>
      <w:r>
        <w:rPr>
          <w:rFonts w:hint="eastAsia" w:ascii="黑体" w:hAnsi="黑体" w:eastAsia="黑体"/>
        </w:rPr>
        <w:t xml:space="preserve"> </w:t>
      </w:r>
      <w:r>
        <w:rPr>
          <w:rFonts w:hint="eastAsia" w:hAnsi="黑体"/>
          <w:bCs/>
        </w:rPr>
        <w:t>在地震设计状况下，剪力墙水平接缝的受剪承载力设计值应按下式计算：</w:t>
      </w:r>
    </w:p>
    <w:p>
      <w:pPr>
        <w:pStyle w:val="58"/>
        <w:ind w:firstLine="0" w:firstLineChars="0"/>
        <w:jc w:val="center"/>
      </w:pPr>
      <w:r>
        <w:drawing>
          <wp:inline distT="0" distB="0" distL="0" distR="0">
            <wp:extent cx="1526540" cy="285115"/>
            <wp:effectExtent l="0" t="0" r="0" b="0"/>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26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1529159" cy="285565"/>
                    </a:xfrm>
                    <a:prstGeom prst="rect">
                      <a:avLst/>
                    </a:prstGeom>
                    <a:noFill/>
                  </pic:spPr>
                </pic:pic>
              </a:graphicData>
            </a:graphic>
          </wp:inline>
        </w:drawing>
      </w:r>
    </w:p>
    <w:p>
      <w:pPr>
        <w:spacing w:line="240" w:lineRule="auto"/>
        <w:ind w:firstLine="420" w:firstLineChars="200"/>
      </w:pPr>
      <w:r>
        <w:rPr>
          <w:rFonts w:hint="eastAsia"/>
        </w:rPr>
        <w:t>式中：</w:t>
      </w:r>
    </w:p>
    <w:tbl>
      <w:tblPr>
        <w:tblStyle w:val="27"/>
        <w:tblW w:w="9329" w:type="dxa"/>
        <w:tblInd w:w="135" w:type="dxa"/>
        <w:tblLayout w:type="fixed"/>
        <w:tblCellMar>
          <w:top w:w="0" w:type="dxa"/>
          <w:left w:w="108" w:type="dxa"/>
          <w:bottom w:w="0" w:type="dxa"/>
          <w:right w:w="108" w:type="dxa"/>
        </w:tblCellMar>
      </w:tblPr>
      <w:tblGrid>
        <w:gridCol w:w="824"/>
        <w:gridCol w:w="850"/>
        <w:gridCol w:w="7655"/>
      </w:tblGrid>
      <w:tr>
        <w:tblPrEx>
          <w:tblCellMar>
            <w:top w:w="0" w:type="dxa"/>
            <w:left w:w="108" w:type="dxa"/>
            <w:bottom w:w="0" w:type="dxa"/>
            <w:right w:w="108" w:type="dxa"/>
          </w:tblCellMar>
        </w:tblPrEx>
        <w:trPr>
          <w:trHeight w:val="443" w:hRule="atLeast"/>
        </w:trPr>
        <w:tc>
          <w:tcPr>
            <w:tcW w:w="824" w:type="dxa"/>
          </w:tcPr>
          <w:p>
            <w:pPr>
              <w:autoSpaceDE w:val="0"/>
              <w:snapToGrid w:val="0"/>
              <w:spacing w:line="240" w:lineRule="auto"/>
              <w:jc w:val="right"/>
              <w:rPr>
                <w:rFonts w:ascii="Times New Roman" w:hAnsi="Times New Roman"/>
              </w:rPr>
            </w:pPr>
            <w:r>
              <w:rPr>
                <w:color w:val="000000"/>
                <w:position w:val="-14"/>
              </w:rPr>
              <w:drawing>
                <wp:inline distT="0" distB="0" distL="0" distR="0">
                  <wp:extent cx="224155" cy="293370"/>
                  <wp:effectExtent l="0" t="0" r="0" b="0"/>
                  <wp:docPr id="269"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269"/>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224155" cy="293370"/>
                          </a:xfrm>
                          <a:prstGeom prst="rect">
                            <a:avLst/>
                          </a:prstGeom>
                          <a:noFill/>
                          <a:ln>
                            <a:noFill/>
                          </a:ln>
                        </pic:spPr>
                      </pic:pic>
                    </a:graphicData>
                  </a:graphic>
                </wp:inline>
              </w:drawing>
            </w:r>
          </w:p>
        </w:tc>
        <w:tc>
          <w:tcPr>
            <w:tcW w:w="850" w:type="dxa"/>
          </w:tcPr>
          <w:p>
            <w:pPr>
              <w:autoSpaceDE w:val="0"/>
              <w:snapToGrid w:val="0"/>
              <w:spacing w:line="240" w:lineRule="auto"/>
              <w:rPr>
                <w:rFonts w:ascii="Times New Roman" w:hAnsi="Times New Roman"/>
                <w:color w:val="000000"/>
                <w:sz w:val="28"/>
                <w:szCs w:val="28"/>
              </w:rPr>
            </w:pPr>
            <w:r>
              <w:rPr>
                <w:rFonts w:ascii="Times New Roman" w:hAnsi="Times New Roman"/>
                <w:color w:val="000000"/>
                <w:sz w:val="28"/>
                <w:szCs w:val="28"/>
              </w:rPr>
              <w:t>——</w:t>
            </w:r>
          </w:p>
        </w:tc>
        <w:tc>
          <w:tcPr>
            <w:tcW w:w="7655" w:type="dxa"/>
            <w:vAlign w:val="center"/>
          </w:tcPr>
          <w:p>
            <w:pPr>
              <w:autoSpaceDE w:val="0"/>
              <w:spacing w:line="240" w:lineRule="auto"/>
              <w:rPr>
                <w:rFonts w:ascii="宋体" w:hAnsi="宋体"/>
              </w:rPr>
            </w:pPr>
            <w:r>
              <w:rPr>
                <w:rFonts w:ascii="宋体" w:hAnsi="宋体"/>
              </w:rPr>
              <w:t>垂直穿过结合面的钢筋抗拉强度设计值（</w:t>
            </w:r>
            <w:r>
              <w:rPr>
                <w:rFonts w:ascii="Times New Roman" w:hAnsi="Times New Roman"/>
              </w:rPr>
              <w:t>N/mm</w:t>
            </w:r>
            <w:r>
              <w:rPr>
                <w:rFonts w:ascii="Times New Roman" w:hAnsi="Times New Roman"/>
                <w:vertAlign w:val="superscript"/>
              </w:rPr>
              <w:t>2</w:t>
            </w:r>
            <w:r>
              <w:rPr>
                <w:rFonts w:ascii="宋体" w:hAnsi="宋体"/>
              </w:rPr>
              <w:t>）；</w:t>
            </w:r>
          </w:p>
        </w:tc>
      </w:tr>
      <w:tr>
        <w:tblPrEx>
          <w:tblCellMar>
            <w:top w:w="0" w:type="dxa"/>
            <w:left w:w="108" w:type="dxa"/>
            <w:bottom w:w="0" w:type="dxa"/>
            <w:right w:w="108" w:type="dxa"/>
          </w:tblCellMar>
        </w:tblPrEx>
        <w:trPr>
          <w:trHeight w:val="443" w:hRule="atLeast"/>
        </w:trPr>
        <w:tc>
          <w:tcPr>
            <w:tcW w:w="824" w:type="dxa"/>
          </w:tcPr>
          <w:p>
            <w:pPr>
              <w:autoSpaceDE w:val="0"/>
              <w:snapToGrid w:val="0"/>
              <w:spacing w:line="240" w:lineRule="auto"/>
              <w:jc w:val="right"/>
              <w:rPr>
                <w:rFonts w:ascii="Times New Roman" w:hAnsi="Times New Roman"/>
              </w:rPr>
            </w:pPr>
            <w:r>
              <w:rPr>
                <w:color w:val="000000"/>
                <w:position w:val="-6"/>
                <w:sz w:val="24"/>
                <w:szCs w:val="24"/>
              </w:rPr>
              <w:drawing>
                <wp:inline distT="0" distB="0" distL="0" distR="0">
                  <wp:extent cx="180975" cy="180975"/>
                  <wp:effectExtent l="0" t="0" r="0" b="0"/>
                  <wp:docPr id="267"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26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850" w:type="dxa"/>
          </w:tcPr>
          <w:p>
            <w:pPr>
              <w:autoSpaceDE w:val="0"/>
              <w:snapToGrid w:val="0"/>
              <w:spacing w:line="240" w:lineRule="auto"/>
              <w:rPr>
                <w:rFonts w:ascii="Times New Roman" w:hAnsi="Times New Roman"/>
                <w:color w:val="000000"/>
                <w:sz w:val="28"/>
                <w:szCs w:val="28"/>
              </w:rPr>
            </w:pPr>
            <w:r>
              <w:rPr>
                <w:rFonts w:ascii="Times New Roman" w:hAnsi="Times New Roman"/>
                <w:color w:val="000000"/>
                <w:sz w:val="28"/>
                <w:szCs w:val="28"/>
              </w:rPr>
              <w:t>——</w:t>
            </w:r>
          </w:p>
        </w:tc>
        <w:tc>
          <w:tcPr>
            <w:tcW w:w="7655" w:type="dxa"/>
            <w:vAlign w:val="center"/>
          </w:tcPr>
          <w:p>
            <w:pPr>
              <w:autoSpaceDE w:val="0"/>
              <w:spacing w:line="240" w:lineRule="auto"/>
              <w:rPr>
                <w:rFonts w:ascii="宋体" w:hAnsi="宋体"/>
              </w:rPr>
            </w:pPr>
            <w:r>
              <w:rPr>
                <w:rFonts w:ascii="宋体" w:hAnsi="宋体"/>
              </w:rPr>
              <w:t>与剪力设计值</w:t>
            </w:r>
            <w:r>
              <w:rPr>
                <w:rFonts w:ascii="宋体" w:hAnsi="宋体"/>
                <w:i/>
                <w:iCs/>
              </w:rPr>
              <w:t>V</w:t>
            </w:r>
            <w:r>
              <w:rPr>
                <w:rFonts w:ascii="宋体" w:hAnsi="宋体"/>
              </w:rPr>
              <w:t>相应的垂直于结合面的轴向力设计值，压力时取正，拉力时取负</w:t>
            </w:r>
            <w:r>
              <w:rPr>
                <w:rFonts w:hint="eastAsia" w:ascii="宋体" w:hAnsi="宋体"/>
              </w:rPr>
              <w:t>（N）</w:t>
            </w:r>
            <w:r>
              <w:rPr>
                <w:rFonts w:ascii="宋体" w:hAnsi="宋体"/>
              </w:rPr>
              <w:t>；</w:t>
            </w:r>
          </w:p>
        </w:tc>
      </w:tr>
      <w:tr>
        <w:tblPrEx>
          <w:tblCellMar>
            <w:top w:w="0" w:type="dxa"/>
            <w:left w:w="108" w:type="dxa"/>
            <w:bottom w:w="0" w:type="dxa"/>
            <w:right w:w="108" w:type="dxa"/>
          </w:tblCellMar>
        </w:tblPrEx>
        <w:trPr>
          <w:trHeight w:val="443" w:hRule="atLeast"/>
        </w:trPr>
        <w:tc>
          <w:tcPr>
            <w:tcW w:w="824" w:type="dxa"/>
          </w:tcPr>
          <w:p>
            <w:pPr>
              <w:autoSpaceDE w:val="0"/>
              <w:snapToGrid w:val="0"/>
              <w:spacing w:line="240" w:lineRule="auto"/>
              <w:jc w:val="right"/>
              <w:rPr>
                <w:rFonts w:ascii="Times New Roman" w:hAnsi="Times New Roman"/>
              </w:rPr>
            </w:pPr>
            <w:r>
              <w:rPr>
                <w:color w:val="000000"/>
                <w:position w:val="-12"/>
                <w:sz w:val="24"/>
                <w:szCs w:val="24"/>
              </w:rPr>
              <w:drawing>
                <wp:inline distT="0" distB="0" distL="0" distR="0">
                  <wp:extent cx="224155" cy="259080"/>
                  <wp:effectExtent l="0" t="0" r="0" b="0"/>
                  <wp:docPr id="266" name="图片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26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224155" cy="259080"/>
                          </a:xfrm>
                          <a:prstGeom prst="rect">
                            <a:avLst/>
                          </a:prstGeom>
                          <a:noFill/>
                          <a:ln>
                            <a:noFill/>
                          </a:ln>
                        </pic:spPr>
                      </pic:pic>
                    </a:graphicData>
                  </a:graphic>
                </wp:inline>
              </w:drawing>
            </w:r>
          </w:p>
        </w:tc>
        <w:tc>
          <w:tcPr>
            <w:tcW w:w="850" w:type="dxa"/>
          </w:tcPr>
          <w:p>
            <w:pPr>
              <w:autoSpaceDE w:val="0"/>
              <w:snapToGrid w:val="0"/>
              <w:spacing w:line="240" w:lineRule="auto"/>
              <w:rPr>
                <w:rFonts w:ascii="Times New Roman" w:hAnsi="Times New Roman"/>
                <w:color w:val="000000"/>
                <w:sz w:val="28"/>
                <w:szCs w:val="28"/>
              </w:rPr>
            </w:pPr>
            <w:r>
              <w:rPr>
                <w:rFonts w:ascii="Times New Roman" w:hAnsi="Times New Roman"/>
                <w:color w:val="000000"/>
                <w:sz w:val="28"/>
                <w:szCs w:val="28"/>
              </w:rPr>
              <w:t>——</w:t>
            </w:r>
          </w:p>
        </w:tc>
        <w:tc>
          <w:tcPr>
            <w:tcW w:w="7655" w:type="dxa"/>
            <w:vAlign w:val="center"/>
          </w:tcPr>
          <w:p>
            <w:pPr>
              <w:autoSpaceDE w:val="0"/>
              <w:spacing w:line="240" w:lineRule="auto"/>
              <w:rPr>
                <w:rFonts w:ascii="宋体" w:hAnsi="宋体"/>
              </w:rPr>
            </w:pPr>
            <w:r>
              <w:rPr>
                <w:rFonts w:ascii="宋体" w:hAnsi="宋体"/>
              </w:rPr>
              <w:t>垂直穿过结合面的抗剪钢筋面积</w:t>
            </w:r>
            <w:r>
              <w:rPr>
                <w:rFonts w:hint="eastAsia" w:ascii="宋体" w:hAnsi="宋体"/>
              </w:rPr>
              <w:t>（</w:t>
            </w:r>
            <w:r>
              <w:rPr>
                <w:rFonts w:ascii="Times New Roman" w:hAnsi="Times New Roman"/>
              </w:rPr>
              <w:t>mm</w:t>
            </w:r>
            <w:r>
              <w:rPr>
                <w:rFonts w:ascii="Times New Roman" w:hAnsi="Times New Roman"/>
                <w:vertAlign w:val="superscript"/>
              </w:rPr>
              <w:t>2</w:t>
            </w:r>
            <w:r>
              <w:rPr>
                <w:rFonts w:ascii="宋体" w:hAnsi="宋体"/>
              </w:rPr>
              <w:t>）。</w:t>
            </w:r>
          </w:p>
        </w:tc>
      </w:tr>
    </w:tbl>
    <w:p>
      <w:pPr>
        <w:pStyle w:val="58"/>
        <w:spacing w:before="312" w:beforeLines="100" w:after="312" w:afterLines="100"/>
        <w:ind w:firstLine="0" w:firstLineChars="0"/>
        <w:outlineLvl w:val="1"/>
        <w:rPr>
          <w:rFonts w:ascii="黑体" w:hAnsi="黑体" w:eastAsia="黑体"/>
        </w:rPr>
      </w:pPr>
      <w:bookmarkStart w:id="101" w:name="_Toc142923601"/>
      <w:r>
        <w:rPr>
          <w:rFonts w:ascii="黑体" w:hAnsi="黑体" w:eastAsia="黑体"/>
        </w:rPr>
        <w:t>5</w:t>
      </w:r>
      <w:r>
        <w:rPr>
          <w:rFonts w:hint="eastAsia" w:ascii="黑体" w:hAnsi="黑体" w:eastAsia="黑体"/>
        </w:rPr>
        <w:t>.</w:t>
      </w:r>
      <w:r>
        <w:rPr>
          <w:rFonts w:ascii="黑体" w:hAnsi="黑体" w:eastAsia="黑体"/>
        </w:rPr>
        <w:t>5</w:t>
      </w:r>
      <w:r>
        <w:rPr>
          <w:rFonts w:hint="eastAsia" w:ascii="黑体" w:hAnsi="黑体" w:eastAsia="黑体"/>
        </w:rPr>
        <w:t xml:space="preserve"> 施工阶段验算</w:t>
      </w:r>
      <w:bookmarkEnd w:id="101"/>
    </w:p>
    <w:p>
      <w:pPr>
        <w:pStyle w:val="58"/>
        <w:ind w:firstLine="0" w:firstLineChars="0"/>
        <w:rPr>
          <w:rFonts w:hAnsi="黑体"/>
          <w:bCs/>
        </w:rPr>
      </w:pPr>
      <w:r>
        <w:rPr>
          <w:rFonts w:ascii="黑体" w:hAnsi="黑体" w:eastAsia="黑体"/>
        </w:rPr>
        <w:t>5</w:t>
      </w:r>
      <w:r>
        <w:rPr>
          <w:rFonts w:hint="eastAsia" w:ascii="黑体" w:hAnsi="黑体" w:eastAsia="黑体"/>
        </w:rPr>
        <w:t>.</w:t>
      </w:r>
      <w:r>
        <w:rPr>
          <w:rFonts w:ascii="黑体" w:hAnsi="黑体" w:eastAsia="黑体"/>
        </w:rPr>
        <w:t>5.1</w:t>
      </w:r>
      <w:r>
        <w:rPr>
          <w:rFonts w:hint="eastAsia" w:ascii="黑体" w:hAnsi="黑体" w:eastAsia="黑体"/>
        </w:rPr>
        <w:t xml:space="preserve"> </w:t>
      </w:r>
      <w:r>
        <w:rPr>
          <w:rFonts w:hint="eastAsia" w:hAnsi="黑体"/>
          <w:bCs/>
        </w:rPr>
        <w:t>预制构件在脱模、吊运、运输、安装等环节的短暂工况验算应满足现行国家标准《混凝土结构工程施工规范》GB 50666的有关规定。</w:t>
      </w:r>
    </w:p>
    <w:p>
      <w:pPr>
        <w:pStyle w:val="58"/>
        <w:ind w:firstLine="0" w:firstLineChars="0"/>
      </w:pPr>
      <w:r>
        <w:rPr>
          <w:rFonts w:ascii="黑体" w:hAnsi="黑体" w:eastAsia="黑体"/>
        </w:rPr>
        <w:t>5</w:t>
      </w:r>
      <w:r>
        <w:rPr>
          <w:rFonts w:hint="eastAsia" w:ascii="黑体" w:hAnsi="黑体" w:eastAsia="黑体"/>
        </w:rPr>
        <w:t>.5.2</w:t>
      </w:r>
      <w:r>
        <w:rPr>
          <w:rFonts w:hint="eastAsia"/>
        </w:rPr>
        <w:t xml:space="preserve"> 应根据承载力及刚度要求确定预制梁、板底部支撑的位置、数量。部分位置可按施工阶段无支撑或无足够支撑的叠合式受弯构件进行施工验算。</w:t>
      </w:r>
    </w:p>
    <w:p>
      <w:pPr>
        <w:pStyle w:val="58"/>
        <w:ind w:firstLine="0" w:firstLineChars="0"/>
      </w:pPr>
      <w:r>
        <w:rPr>
          <w:rFonts w:ascii="黑体" w:hAnsi="黑体" w:eastAsia="黑体"/>
        </w:rPr>
        <w:t>5</w:t>
      </w:r>
      <w:r>
        <w:rPr>
          <w:rFonts w:hint="eastAsia" w:ascii="黑体" w:hAnsi="黑体" w:eastAsia="黑体"/>
        </w:rPr>
        <w:t>.5.3</w:t>
      </w:r>
      <w:r>
        <w:rPr>
          <w:rFonts w:hint="eastAsia"/>
        </w:rPr>
        <w:t xml:space="preserve"> 预制预应力混凝土装配整体式结构施工安装阶段的内力计算应符合下列规定：</w:t>
      </w:r>
    </w:p>
    <w:p>
      <w:pPr>
        <w:pStyle w:val="58"/>
        <w:ind w:left="840" w:leftChars="200" w:hanging="420" w:hangingChars="200"/>
      </w:pPr>
      <w:r>
        <w:t>a</w:t>
      </w:r>
      <w:r>
        <w:rPr>
          <w:rFonts w:hint="eastAsia"/>
        </w:rPr>
        <w:t>)</w:t>
      </w:r>
      <w:r>
        <w:tab/>
      </w:r>
      <w:r>
        <w:rPr>
          <w:rFonts w:hint="eastAsia"/>
        </w:rPr>
        <w:t>荷载应包括梁板自重及施工安装荷载；</w:t>
      </w:r>
    </w:p>
    <w:p>
      <w:pPr>
        <w:pStyle w:val="58"/>
        <w:ind w:left="840" w:leftChars="200" w:hanging="420" w:hangingChars="200"/>
      </w:pPr>
      <w:r>
        <w:t>b</w:t>
      </w:r>
      <w:r>
        <w:rPr>
          <w:rFonts w:hint="eastAsia"/>
        </w:rPr>
        <w:t xml:space="preserve">) </w:t>
      </w:r>
      <w:r>
        <w:t xml:space="preserve"> </w:t>
      </w:r>
      <w:r>
        <w:rPr>
          <w:rFonts w:hint="eastAsia"/>
        </w:rPr>
        <w:t>梁的计算跨度应根据支撑的实际情况确定。</w:t>
      </w:r>
    </w:p>
    <w:p>
      <w:pPr>
        <w:pStyle w:val="58"/>
        <w:ind w:firstLine="0" w:firstLineChars="0"/>
      </w:pPr>
      <w:r>
        <w:rPr>
          <w:rFonts w:ascii="黑体" w:hAnsi="黑体" w:eastAsia="黑体"/>
        </w:rPr>
        <w:t>5</w:t>
      </w:r>
      <w:r>
        <w:rPr>
          <w:rFonts w:hint="eastAsia" w:ascii="黑体" w:hAnsi="黑体" w:eastAsia="黑体"/>
        </w:rPr>
        <w:t>.5.4</w:t>
      </w:r>
      <w:r>
        <w:rPr>
          <w:rFonts w:hint="eastAsia"/>
        </w:rPr>
        <w:t xml:space="preserve"> 叠合构件施工未形成整体结构时，预制梁、板应能承受自重、新浇混凝土的重量和施工活荷载。当叠合层混凝土达到设计强度后，后加的恒载及活载应由叠合截面承担。</w:t>
      </w:r>
    </w:p>
    <w:p>
      <w:pPr>
        <w:pStyle w:val="58"/>
        <w:ind w:firstLine="0" w:firstLineChars="0"/>
      </w:pPr>
      <w:r>
        <w:rPr>
          <w:rFonts w:ascii="黑体" w:hAnsi="黑体" w:eastAsia="黑体"/>
        </w:rPr>
        <w:t>5</w:t>
      </w:r>
      <w:r>
        <w:rPr>
          <w:rFonts w:hint="eastAsia" w:ascii="黑体" w:hAnsi="黑体" w:eastAsia="黑体"/>
        </w:rPr>
        <w:t>.5.5</w:t>
      </w:r>
      <w:r>
        <w:rPr>
          <w:rFonts w:hint="eastAsia"/>
        </w:rPr>
        <w:t xml:space="preserve"> 预制多层柱短暂工况验算时，可取由柱纵筋、箍筋以及增设的交叉钢筋组成的空间桁架作为层间连接节点部位的计算模型。</w:t>
      </w:r>
    </w:p>
    <w:p>
      <w:pPr>
        <w:pStyle w:val="58"/>
        <w:spacing w:before="312" w:beforeLines="100" w:after="312" w:afterLines="100"/>
        <w:ind w:firstLine="0" w:firstLineChars="0"/>
        <w:outlineLvl w:val="1"/>
        <w:rPr>
          <w:rFonts w:ascii="黑体" w:hAnsi="黑体" w:eastAsia="黑体"/>
        </w:rPr>
      </w:pPr>
      <w:bookmarkStart w:id="102" w:name="_Toc142923602"/>
      <w:r>
        <w:rPr>
          <w:rFonts w:ascii="黑体" w:hAnsi="黑体" w:eastAsia="黑体"/>
        </w:rPr>
        <w:t>5</w:t>
      </w:r>
      <w:r>
        <w:rPr>
          <w:rFonts w:hint="eastAsia" w:ascii="黑体" w:hAnsi="黑体" w:eastAsia="黑体"/>
        </w:rPr>
        <w:t>.</w:t>
      </w:r>
      <w:r>
        <w:rPr>
          <w:rFonts w:ascii="黑体" w:hAnsi="黑体" w:eastAsia="黑体"/>
        </w:rPr>
        <w:t>6</w:t>
      </w:r>
      <w:r>
        <w:rPr>
          <w:rFonts w:hint="eastAsia" w:ascii="黑体" w:hAnsi="黑体" w:eastAsia="黑体"/>
        </w:rPr>
        <w:t xml:space="preserve"> 预制梁、板、柱的连接构造</w:t>
      </w:r>
      <w:bookmarkEnd w:id="102"/>
    </w:p>
    <w:p>
      <w:pPr>
        <w:pStyle w:val="58"/>
        <w:ind w:firstLine="0" w:firstLineChars="0"/>
        <w:rPr>
          <w:rFonts w:hAnsi="黑体"/>
          <w:bCs/>
        </w:rPr>
      </w:pPr>
      <w:r>
        <w:rPr>
          <w:rFonts w:ascii="黑体" w:hAnsi="黑体" w:eastAsia="黑体"/>
        </w:rPr>
        <w:t>5</w:t>
      </w:r>
      <w:r>
        <w:rPr>
          <w:rFonts w:hint="eastAsia" w:ascii="黑体" w:hAnsi="黑体" w:eastAsia="黑体"/>
        </w:rPr>
        <w:t>.</w:t>
      </w:r>
      <w:r>
        <w:rPr>
          <w:rFonts w:ascii="黑体" w:hAnsi="黑体" w:eastAsia="黑体"/>
        </w:rPr>
        <w:t>6.1</w:t>
      </w:r>
      <w:r>
        <w:rPr>
          <w:rFonts w:hint="eastAsia" w:ascii="黑体" w:hAnsi="黑体" w:eastAsia="黑体"/>
        </w:rPr>
        <w:t xml:space="preserve"> </w:t>
      </w:r>
      <w:r>
        <w:rPr>
          <w:rFonts w:hint="eastAsia" w:hAnsi="黑体"/>
          <w:bCs/>
        </w:rPr>
        <w:t>多层框架结构预制柱与基础的连接应符合下列规定：</w:t>
      </w:r>
    </w:p>
    <w:p>
      <w:pPr>
        <w:pStyle w:val="58"/>
        <w:ind w:left="840" w:leftChars="200" w:hanging="420" w:hangingChars="200"/>
      </w:pPr>
      <w:r>
        <w:t>a</w:t>
      </w:r>
      <w:r>
        <w:rPr>
          <w:rFonts w:hint="eastAsia"/>
        </w:rPr>
        <w:t>)</w:t>
      </w:r>
      <w:r>
        <w:tab/>
      </w:r>
      <w:r>
        <w:rPr>
          <w:rFonts w:hint="eastAsia"/>
        </w:rPr>
        <w:t>采用杯口基础时，应符合现行国家标准《建筑地基基础设计规范》GB 50007的相关规定；</w:t>
      </w:r>
    </w:p>
    <w:p>
      <w:pPr>
        <w:pStyle w:val="58"/>
        <w:ind w:left="840" w:leftChars="200" w:hanging="420" w:hangingChars="200"/>
      </w:pPr>
      <w:r>
        <w:t>b</w:t>
      </w:r>
      <w:r>
        <w:rPr>
          <w:rFonts w:hint="eastAsia"/>
        </w:rPr>
        <w:t xml:space="preserve">) </w:t>
      </w:r>
      <w:r>
        <w:t xml:space="preserve"> </w:t>
      </w:r>
      <w:r>
        <w:rPr>
          <w:rFonts w:hint="eastAsia"/>
        </w:rPr>
        <w:t>采用预留孔插筋法（图</w:t>
      </w:r>
      <w:r>
        <w:t>2</w:t>
      </w:r>
      <w:r>
        <w:rPr>
          <w:rFonts w:hint="eastAsia"/>
        </w:rPr>
        <w:t>）时，预制柱与基础的连接应符合下列规定：</w:t>
      </w:r>
    </w:p>
    <w:p>
      <w:pPr>
        <w:pStyle w:val="58"/>
        <w:ind w:left="840" w:leftChars="400" w:firstLine="0" w:firstLineChars="0"/>
      </w:pPr>
      <w:r>
        <w:rPr>
          <w:rFonts w:hint="eastAsia"/>
        </w:rPr>
        <w:t>1） 预留孔长度应大于柱主筋搭接长度；</w:t>
      </w:r>
    </w:p>
    <w:p>
      <w:pPr>
        <w:pStyle w:val="58"/>
        <w:ind w:left="840" w:leftChars="400" w:firstLine="0" w:firstLineChars="0"/>
      </w:pPr>
      <w:r>
        <w:rPr>
          <w:rFonts w:hint="eastAsia"/>
        </w:rPr>
        <w:t>2） 预留孔宜选用封底镀锌波纹管，封底应密实、不漏浆；</w:t>
      </w:r>
    </w:p>
    <w:p>
      <w:pPr>
        <w:pStyle w:val="58"/>
        <w:ind w:left="840" w:leftChars="400" w:firstLine="0" w:firstLineChars="0"/>
      </w:pPr>
      <w:r>
        <w:rPr>
          <w:rFonts w:hint="eastAsia"/>
        </w:rPr>
        <w:t>3） 管的内径应大于柱主筋外切圆直径20mm；</w:t>
      </w:r>
    </w:p>
    <w:p>
      <w:pPr>
        <w:pStyle w:val="58"/>
        <w:ind w:left="1155" w:leftChars="400" w:hanging="315" w:hangingChars="150"/>
      </w:pPr>
      <w:r>
        <w:rPr>
          <w:rFonts w:hint="eastAsia"/>
        </w:rPr>
        <w:t>4） 灌浆材料宜用无收缩灌浆料，1d龄期的强度不宜低于25 M</w:t>
      </w:r>
      <w:r>
        <w:t>p</w:t>
      </w:r>
      <w:r>
        <w:rPr>
          <w:rFonts w:hint="eastAsia"/>
        </w:rPr>
        <w:t>a，28d龄期的强度不应低于60MPa，其余条件应满足现行国家标准《水泥基灌浆材料应用技术规范》GB/T 50448中II类水泥基灌浆材料的要求。</w:t>
      </w:r>
    </w:p>
    <w:p>
      <w:pPr>
        <w:pStyle w:val="58"/>
        <w:ind w:left="1155" w:leftChars="400" w:hanging="315" w:hangingChars="150"/>
      </w:pPr>
    </w:p>
    <w:p>
      <w:pPr>
        <w:pStyle w:val="58"/>
        <w:ind w:firstLine="0" w:firstLineChars="0"/>
        <w:jc w:val="center"/>
        <w:rPr>
          <w:rFonts w:hAnsi="黑体"/>
          <w:bCs/>
        </w:rPr>
      </w:pPr>
      <w:r>
        <w:rPr>
          <w:rFonts w:hAnsi="黑体"/>
          <w:bCs/>
        </w:rPr>
        <w:drawing>
          <wp:inline distT="0" distB="0" distL="0" distR="0">
            <wp:extent cx="2286000" cy="2011680"/>
            <wp:effectExtent l="0" t="0" r="0" b="0"/>
            <wp:docPr id="270"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图片 27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2306598" cy="2030298"/>
                    </a:xfrm>
                    <a:prstGeom prst="rect">
                      <a:avLst/>
                    </a:prstGeom>
                    <a:noFill/>
                  </pic:spPr>
                </pic:pic>
              </a:graphicData>
            </a:graphic>
          </wp:inline>
        </w:drawing>
      </w:r>
    </w:p>
    <w:p>
      <w:pPr>
        <w:pStyle w:val="58"/>
        <w:ind w:left="780" w:leftChars="200" w:hanging="360" w:hangingChars="200"/>
        <w:jc w:val="left"/>
        <w:rPr>
          <w:bCs/>
          <w:sz w:val="18"/>
          <w:szCs w:val="18"/>
        </w:rPr>
      </w:pPr>
      <w:r>
        <w:rPr>
          <w:rFonts w:hint="eastAsia"/>
          <w:bCs/>
          <w:sz w:val="18"/>
          <w:szCs w:val="18"/>
        </w:rPr>
        <w:t>标引序号说明：</w:t>
      </w:r>
    </w:p>
    <w:p>
      <w:pPr>
        <w:spacing w:line="240" w:lineRule="auto"/>
        <w:ind w:firstLine="450" w:firstLineChars="250"/>
        <w:rPr>
          <w:rFonts w:ascii="宋体" w:hAnsi="宋体"/>
          <w:color w:val="000000"/>
          <w:sz w:val="18"/>
          <w:szCs w:val="18"/>
        </w:rPr>
      </w:pPr>
      <w:r>
        <w:rPr>
          <w:rFonts w:ascii="宋体" w:hAnsi="宋体"/>
          <w:sz w:val="18"/>
          <w:szCs w:val="18"/>
        </w:rPr>
        <w:t>1</w:t>
      </w:r>
      <w:r>
        <w:rPr>
          <w:rFonts w:ascii="Times New Roman" w:hAnsi="Times New Roman"/>
          <w:sz w:val="18"/>
          <w:szCs w:val="18"/>
        </w:rPr>
        <w:softHyphen/>
      </w:r>
      <w:r>
        <w:rPr>
          <w:rFonts w:ascii="Times New Roman" w:hAnsi="Times New Roman"/>
          <w:color w:val="000000"/>
          <w:sz w:val="18"/>
          <w:szCs w:val="18"/>
        </w:rPr>
        <w:t>——</w:t>
      </w:r>
      <w:r>
        <w:rPr>
          <w:rFonts w:hint="eastAsia" w:ascii="宋体" w:hAnsi="宋体"/>
          <w:color w:val="000000"/>
          <w:sz w:val="18"/>
          <w:szCs w:val="18"/>
        </w:rPr>
        <w:t>基础梁；</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2</w:t>
      </w:r>
      <w:r>
        <w:rPr>
          <w:rFonts w:ascii="Times New Roman" w:hAnsi="Times New Roman"/>
          <w:color w:val="000000"/>
          <w:sz w:val="18"/>
          <w:szCs w:val="18"/>
        </w:rPr>
        <w:t>——</w:t>
      </w:r>
      <w:r>
        <w:rPr>
          <w:rFonts w:hint="eastAsia" w:ascii="宋体" w:hAnsi="宋体"/>
          <w:color w:val="000000"/>
          <w:sz w:val="18"/>
          <w:szCs w:val="18"/>
        </w:rPr>
        <w:t>基础；</w:t>
      </w:r>
    </w:p>
    <w:p>
      <w:pPr>
        <w:spacing w:line="240" w:lineRule="auto"/>
        <w:ind w:firstLine="450" w:firstLineChars="250"/>
        <w:rPr>
          <w:rFonts w:ascii="宋体" w:hAnsi="宋体"/>
          <w:sz w:val="18"/>
          <w:szCs w:val="18"/>
        </w:rPr>
      </w:pPr>
      <w:r>
        <w:rPr>
          <w:rFonts w:ascii="宋体" w:hAnsi="宋体"/>
          <w:color w:val="000000"/>
          <w:sz w:val="18"/>
          <w:szCs w:val="18"/>
        </w:rPr>
        <w:t>3</w:t>
      </w:r>
      <w:r>
        <w:rPr>
          <w:rFonts w:ascii="Times New Roman" w:hAnsi="Times New Roman"/>
          <w:color w:val="000000"/>
          <w:sz w:val="18"/>
          <w:szCs w:val="18"/>
        </w:rPr>
        <w:t>——</w:t>
      </w:r>
      <w:r>
        <w:rPr>
          <w:rFonts w:hint="eastAsia" w:ascii="宋体" w:hAnsi="宋体"/>
          <w:sz w:val="18"/>
          <w:szCs w:val="18"/>
        </w:rPr>
        <w:t>预制柱；</w:t>
      </w:r>
    </w:p>
    <w:p>
      <w:pPr>
        <w:spacing w:line="240" w:lineRule="auto"/>
        <w:ind w:firstLine="450" w:firstLineChars="250"/>
        <w:rPr>
          <w:rFonts w:ascii="Times New Roman" w:hAnsi="Times New Roman"/>
          <w:bCs/>
          <w:sz w:val="18"/>
          <w:szCs w:val="18"/>
        </w:rPr>
      </w:pPr>
      <w:r>
        <w:rPr>
          <w:rFonts w:ascii="宋体" w:hAnsi="宋体"/>
          <w:sz w:val="18"/>
          <w:szCs w:val="18"/>
        </w:rPr>
        <w:t>4</w:t>
      </w:r>
      <w:r>
        <w:rPr>
          <w:rFonts w:ascii="Times New Roman" w:hAnsi="Times New Roman"/>
          <w:color w:val="000000"/>
          <w:sz w:val="18"/>
          <w:szCs w:val="18"/>
        </w:rPr>
        <w:t>——</w:t>
      </w:r>
      <w:r>
        <w:rPr>
          <w:rFonts w:hint="eastAsia" w:ascii="宋体" w:hAnsi="宋体"/>
          <w:color w:val="000000"/>
          <w:sz w:val="18"/>
          <w:szCs w:val="18"/>
        </w:rPr>
        <w:t>基础插筋</w:t>
      </w:r>
      <w:r>
        <w:rPr>
          <w:rFonts w:hint="eastAsia" w:ascii="Times New Roman" w:hAnsi="Times New Roman"/>
          <w:bCs/>
          <w:sz w:val="18"/>
          <w:szCs w:val="18"/>
        </w:rPr>
        <w:t>；</w:t>
      </w:r>
    </w:p>
    <w:p>
      <w:pPr>
        <w:spacing w:line="240" w:lineRule="auto"/>
        <w:ind w:firstLine="450" w:firstLineChars="250"/>
        <w:rPr>
          <w:rFonts w:ascii="宋体" w:hAnsi="宋体"/>
          <w:color w:val="000000"/>
        </w:rPr>
      </w:pPr>
      <w:r>
        <w:rPr>
          <w:rFonts w:hint="eastAsia" w:ascii="宋体" w:hAnsi="宋体"/>
          <w:color w:val="000000"/>
          <w:sz w:val="18"/>
          <w:szCs w:val="18"/>
        </w:rPr>
        <w:t>5</w:t>
      </w:r>
      <w:r>
        <w:rPr>
          <w:rFonts w:ascii="Times New Roman" w:hAnsi="Times New Roman"/>
          <w:color w:val="000000"/>
          <w:sz w:val="18"/>
          <w:szCs w:val="18"/>
        </w:rPr>
        <w:t>——</w:t>
      </w:r>
      <w:r>
        <w:rPr>
          <w:rFonts w:hint="eastAsia" w:ascii="宋体" w:hAnsi="宋体"/>
          <w:color w:val="000000"/>
          <w:sz w:val="18"/>
          <w:szCs w:val="18"/>
        </w:rPr>
        <w:t>预留孔。</w:t>
      </w:r>
    </w:p>
    <w:p>
      <w:pPr>
        <w:spacing w:before="156" w:beforeLines="50" w:after="156" w:afterLines="50" w:line="240" w:lineRule="auto"/>
        <w:jc w:val="center"/>
        <w:rPr>
          <w:rFonts w:ascii="黑体" w:hAnsi="黑体" w:eastAsia="黑体"/>
          <w:color w:val="000000"/>
        </w:rPr>
      </w:pPr>
      <w:r>
        <w:rPr>
          <w:rFonts w:ascii="黑体" w:hAnsi="黑体" w:eastAsia="黑体"/>
          <w:color w:val="000000"/>
        </w:rPr>
        <w:t xml:space="preserve">图2 </w:t>
      </w:r>
      <w:r>
        <w:rPr>
          <w:rFonts w:hint="eastAsia" w:ascii="黑体" w:hAnsi="黑体" w:eastAsia="黑体"/>
          <w:color w:val="000000"/>
        </w:rPr>
        <w:t>预留孔插筋示意</w:t>
      </w:r>
    </w:p>
    <w:p>
      <w:pPr>
        <w:pStyle w:val="58"/>
        <w:ind w:firstLine="0" w:firstLineChars="0"/>
        <w:rPr>
          <w:rFonts w:hAnsi="黑体"/>
          <w:bCs/>
        </w:rPr>
      </w:pPr>
      <w:r>
        <w:rPr>
          <w:rFonts w:ascii="黑体" w:hAnsi="黑体" w:eastAsia="黑体"/>
        </w:rPr>
        <w:t>5</w:t>
      </w:r>
      <w:r>
        <w:rPr>
          <w:rFonts w:hint="eastAsia" w:ascii="黑体" w:hAnsi="黑体" w:eastAsia="黑体"/>
        </w:rPr>
        <w:t>.</w:t>
      </w:r>
      <w:r>
        <w:rPr>
          <w:rFonts w:ascii="黑体" w:hAnsi="黑体" w:eastAsia="黑体"/>
        </w:rPr>
        <w:t>6.2</w:t>
      </w:r>
      <w:r>
        <w:rPr>
          <w:rFonts w:hint="eastAsia" w:ascii="黑体" w:hAnsi="黑体" w:eastAsia="黑体"/>
        </w:rPr>
        <w:t xml:space="preserve"> </w:t>
      </w:r>
      <w:r>
        <w:rPr>
          <w:rFonts w:hint="eastAsia" w:hAnsi="黑体"/>
          <w:bCs/>
        </w:rPr>
        <w:t>一级、二级抗震等级的框架及三级抗震等级的框架底层部位，预制柱纵向钢筋应采用机械连接、套筒灌浆连接（图</w:t>
      </w:r>
      <w:r>
        <w:rPr>
          <w:rFonts w:hAnsi="黑体"/>
          <w:bCs/>
        </w:rPr>
        <w:t>3</w:t>
      </w:r>
      <w:r>
        <w:rPr>
          <w:rFonts w:hint="eastAsia" w:hAnsi="黑体"/>
          <w:bCs/>
        </w:rPr>
        <w:t>a、b）；三级抗震等级框架的非底层部位和四级抗震等级框架，预制柱纵向钢筋宜采用机械连接、套筒灌浆连接（图</w:t>
      </w:r>
      <w:r>
        <w:rPr>
          <w:rFonts w:hAnsi="黑体"/>
          <w:bCs/>
        </w:rPr>
        <w:t>3</w:t>
      </w:r>
      <w:r>
        <w:rPr>
          <w:rFonts w:hint="eastAsia" w:hAnsi="黑体"/>
          <w:bCs/>
        </w:rPr>
        <w:t>a、b），也可采用绑扎搭接连接、预留孔插筋连接（图</w:t>
      </w:r>
      <w:r>
        <w:rPr>
          <w:rFonts w:hAnsi="黑体"/>
          <w:bCs/>
        </w:rPr>
        <w:t>3</w:t>
      </w:r>
      <w:r>
        <w:rPr>
          <w:rFonts w:hint="eastAsia" w:hAnsi="黑体"/>
          <w:bCs/>
        </w:rPr>
        <w:t>c、d）；预制柱之间的纵向钢筋的连接除应符合现行国家标准《混凝土结构设计规范》GB 50010的有关规定外，尚应符合下列规定：</w:t>
      </w:r>
    </w:p>
    <w:p>
      <w:pPr>
        <w:pStyle w:val="58"/>
        <w:ind w:left="840" w:leftChars="200" w:hanging="420" w:hangingChars="200"/>
      </w:pPr>
      <w:r>
        <w:t>a</w:t>
      </w:r>
      <w:r>
        <w:rPr>
          <w:rFonts w:hint="eastAsia"/>
        </w:rPr>
        <w:t>)</w:t>
      </w:r>
      <w:r>
        <w:tab/>
      </w:r>
      <w:r>
        <w:rPr>
          <w:rFonts w:hint="eastAsia"/>
        </w:rPr>
        <w:t>型钢宜采用工字钢，工字钢伸出上段柱下表面的长度应不小于柱主筋的搭接长度或不小于机械套筒长度加200mm，且工字钢应有足够的承载力及刚度支撑上段柱的重量；</w:t>
      </w:r>
    </w:p>
    <w:p>
      <w:pPr>
        <w:pStyle w:val="58"/>
        <w:ind w:left="840" w:leftChars="200" w:hanging="420" w:hangingChars="200"/>
      </w:pPr>
      <w:r>
        <w:t>b</w:t>
      </w:r>
      <w:r>
        <w:rPr>
          <w:rFonts w:hint="eastAsia"/>
        </w:rPr>
        <w:t>)</w:t>
      </w:r>
      <w:r>
        <w:tab/>
      </w:r>
      <w:r>
        <w:rPr>
          <w:rFonts w:hint="eastAsia"/>
        </w:rPr>
        <w:t>采用预留孔连接时应符合本规程第</w:t>
      </w:r>
      <w:r>
        <w:t>5</w:t>
      </w:r>
      <w:r>
        <w:rPr>
          <w:rFonts w:hint="eastAsia"/>
        </w:rPr>
        <w:t>.6.1条第2款的规定；</w:t>
      </w:r>
    </w:p>
    <w:p>
      <w:pPr>
        <w:pStyle w:val="58"/>
        <w:ind w:left="840" w:leftChars="200" w:hanging="420" w:hangingChars="200"/>
      </w:pPr>
      <w:r>
        <w:t>c</w:t>
      </w:r>
      <w:r>
        <w:rPr>
          <w:rFonts w:hint="eastAsia"/>
        </w:rPr>
        <w:t>)</w:t>
      </w:r>
      <w:r>
        <w:tab/>
      </w:r>
      <w:r>
        <w:rPr>
          <w:rFonts w:hint="eastAsia"/>
        </w:rPr>
        <w:t>采用套筒灌浆连接时，应符合现行有关规范的相关要求；</w:t>
      </w:r>
    </w:p>
    <w:p>
      <w:pPr>
        <w:pStyle w:val="58"/>
        <w:ind w:left="840" w:leftChars="200" w:hanging="420" w:hangingChars="200"/>
      </w:pPr>
      <w:r>
        <w:t>d</w:t>
      </w:r>
      <w:r>
        <w:rPr>
          <w:rFonts w:hint="eastAsia"/>
        </w:rPr>
        <w:t>)</w:t>
      </w:r>
      <w:r>
        <w:tab/>
      </w:r>
      <w:r>
        <w:rPr>
          <w:rFonts w:hint="eastAsia"/>
        </w:rPr>
        <w:t>采用预留孔插筋连接时，预留孔可采用金属波纹管成孔，波纹管内径宜比钢筋直径大25mm。</w:t>
      </w:r>
    </w:p>
    <w:p>
      <w:pPr>
        <w:pStyle w:val="58"/>
        <w:ind w:left="840" w:leftChars="200" w:hanging="420" w:hangingChars="200"/>
      </w:pPr>
    </w:p>
    <w:p>
      <w:pPr>
        <w:pStyle w:val="58"/>
        <w:ind w:firstLine="0" w:firstLineChars="0"/>
        <w:jc w:val="center"/>
        <w:rPr>
          <w:bCs/>
          <w:szCs w:val="21"/>
        </w:rPr>
      </w:pPr>
      <w:r>
        <w:rPr>
          <w:bCs/>
          <w:szCs w:val="21"/>
        </w:rPr>
        <w:drawing>
          <wp:inline distT="0" distB="0" distL="0" distR="0">
            <wp:extent cx="4166235" cy="1751965"/>
            <wp:effectExtent l="0" t="0" r="0" b="0"/>
            <wp:docPr id="271"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27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4258182" cy="1791112"/>
                    </a:xfrm>
                    <a:prstGeom prst="rect">
                      <a:avLst/>
                    </a:prstGeom>
                    <a:noFill/>
                  </pic:spPr>
                </pic:pic>
              </a:graphicData>
            </a:graphic>
          </wp:inline>
        </w:drawing>
      </w:r>
    </w:p>
    <w:p>
      <w:pPr>
        <w:spacing w:line="240" w:lineRule="auto"/>
        <w:jc w:val="center"/>
        <w:rPr>
          <w:rFonts w:ascii="黑体" w:hAnsi="黑体" w:eastAsia="黑体"/>
          <w:sz w:val="18"/>
          <w:szCs w:val="18"/>
        </w:rPr>
      </w:pPr>
      <w:r>
        <w:rPr>
          <w:rFonts w:hint="eastAsia" w:ascii="黑体" w:hAnsi="黑体" w:eastAsia="黑体"/>
          <w:sz w:val="18"/>
          <w:szCs w:val="18"/>
          <w:lang w:eastAsia="zh-CN"/>
        </w:rPr>
        <w:t>（</w:t>
      </w:r>
      <w:r>
        <w:rPr>
          <w:rFonts w:hint="eastAsia" w:ascii="黑体" w:hAnsi="黑体" w:eastAsia="黑体"/>
          <w:sz w:val="18"/>
          <w:szCs w:val="18"/>
        </w:rPr>
        <w:t xml:space="preserve">a）机械连接             </w:t>
      </w:r>
      <w:r>
        <w:rPr>
          <w:rFonts w:ascii="黑体" w:hAnsi="黑体" w:eastAsia="黑体"/>
          <w:sz w:val="18"/>
          <w:szCs w:val="18"/>
        </w:rPr>
        <w:t xml:space="preserve">         </w:t>
      </w:r>
      <w:r>
        <w:rPr>
          <w:rFonts w:hint="eastAsia" w:ascii="黑体" w:hAnsi="黑体" w:eastAsia="黑体"/>
          <w:sz w:val="18"/>
          <w:szCs w:val="18"/>
        </w:rPr>
        <w:t xml:space="preserve">          </w:t>
      </w:r>
      <w:r>
        <w:rPr>
          <w:rFonts w:hint="eastAsia" w:ascii="黑体" w:hAnsi="黑体" w:eastAsia="黑体"/>
          <w:sz w:val="18"/>
          <w:szCs w:val="18"/>
          <w:lang w:eastAsia="zh-CN"/>
        </w:rPr>
        <w:t>（</w:t>
      </w:r>
      <w:r>
        <w:rPr>
          <w:rFonts w:hint="eastAsia" w:ascii="黑体" w:hAnsi="黑体" w:eastAsia="黑体"/>
          <w:sz w:val="18"/>
          <w:szCs w:val="18"/>
        </w:rPr>
        <w:t>b）套筒灌浆连接</w:t>
      </w:r>
    </w:p>
    <w:p>
      <w:pPr>
        <w:pStyle w:val="58"/>
        <w:ind w:firstLine="0" w:firstLineChars="0"/>
        <w:jc w:val="center"/>
        <w:rPr>
          <w:rFonts w:hAnsi="黑体"/>
          <w:bCs/>
        </w:rPr>
      </w:pPr>
      <w:r>
        <w:drawing>
          <wp:inline distT="0" distB="0" distL="0" distR="0">
            <wp:extent cx="4269740" cy="1774825"/>
            <wp:effectExtent l="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57"/>
                    <pic:cNvPicPr>
                      <a:picLocks noChangeAspect="1" noChangeArrowheads="1"/>
                    </pic:cNvPicPr>
                  </pic:nvPicPr>
                  <pic:blipFill>
                    <a:blip r:embed="rId99" cstate="print"/>
                    <a:srcRect/>
                    <a:stretch>
                      <a:fillRect/>
                    </a:stretch>
                  </pic:blipFill>
                  <pic:spPr>
                    <a:xfrm>
                      <a:off x="0" y="0"/>
                      <a:ext cx="4304963" cy="1789460"/>
                    </a:xfrm>
                    <a:prstGeom prst="rect">
                      <a:avLst/>
                    </a:prstGeom>
                    <a:noFill/>
                    <a:ln w="9525">
                      <a:noFill/>
                      <a:miter lim="800000"/>
                      <a:headEnd/>
                      <a:tailEnd/>
                    </a:ln>
                  </pic:spPr>
                </pic:pic>
              </a:graphicData>
            </a:graphic>
          </wp:inline>
        </w:drawing>
      </w:r>
    </w:p>
    <w:p>
      <w:pPr>
        <w:spacing w:line="240" w:lineRule="auto"/>
        <w:jc w:val="center"/>
        <w:rPr>
          <w:rFonts w:ascii="黑体" w:hAnsi="黑体" w:eastAsia="黑体"/>
          <w:sz w:val="18"/>
          <w:szCs w:val="18"/>
        </w:rPr>
      </w:pPr>
      <w:r>
        <w:rPr>
          <w:rFonts w:hint="eastAsia" w:ascii="黑体" w:hAnsi="黑体" w:eastAsia="黑体"/>
          <w:sz w:val="18"/>
          <w:szCs w:val="18"/>
          <w:lang w:eastAsia="zh-CN"/>
        </w:rPr>
        <w:t>（</w:t>
      </w:r>
      <w:r>
        <w:rPr>
          <w:rFonts w:hint="eastAsia" w:ascii="黑体" w:hAnsi="黑体" w:eastAsia="黑体"/>
          <w:sz w:val="18"/>
          <w:szCs w:val="18"/>
        </w:rPr>
        <w:t xml:space="preserve">c）搭接连接             </w:t>
      </w:r>
      <w:r>
        <w:rPr>
          <w:rFonts w:ascii="黑体" w:hAnsi="黑体" w:eastAsia="黑体"/>
          <w:sz w:val="18"/>
          <w:szCs w:val="18"/>
        </w:rPr>
        <w:t xml:space="preserve">  </w:t>
      </w:r>
      <w:r>
        <w:rPr>
          <w:rFonts w:hint="eastAsia" w:ascii="黑体" w:hAnsi="黑体" w:eastAsia="黑体"/>
          <w:sz w:val="18"/>
          <w:szCs w:val="18"/>
        </w:rPr>
        <w:t xml:space="preserve"> </w:t>
      </w:r>
      <w:r>
        <w:rPr>
          <w:rFonts w:ascii="黑体" w:hAnsi="黑体" w:eastAsia="黑体"/>
          <w:sz w:val="18"/>
          <w:szCs w:val="18"/>
        </w:rPr>
        <w:t xml:space="preserve">          </w:t>
      </w:r>
      <w:r>
        <w:rPr>
          <w:rFonts w:hint="eastAsia" w:ascii="黑体" w:hAnsi="黑体" w:eastAsia="黑体"/>
          <w:sz w:val="18"/>
          <w:szCs w:val="18"/>
        </w:rPr>
        <w:t xml:space="preserve">        </w:t>
      </w:r>
      <w:r>
        <w:rPr>
          <w:rFonts w:hint="eastAsia" w:ascii="黑体" w:hAnsi="黑体" w:eastAsia="黑体"/>
          <w:sz w:val="18"/>
          <w:szCs w:val="18"/>
          <w:lang w:eastAsia="zh-CN"/>
        </w:rPr>
        <w:t>（</w:t>
      </w:r>
      <w:r>
        <w:rPr>
          <w:rFonts w:hint="eastAsia" w:ascii="黑体" w:hAnsi="黑体" w:eastAsia="黑体"/>
          <w:sz w:val="18"/>
          <w:szCs w:val="18"/>
        </w:rPr>
        <w:t>d）预留孔插筋连接</w:t>
      </w:r>
    </w:p>
    <w:p>
      <w:pPr>
        <w:pStyle w:val="58"/>
        <w:ind w:left="780" w:leftChars="200" w:hanging="360" w:hangingChars="200"/>
        <w:jc w:val="left"/>
        <w:rPr>
          <w:bCs/>
          <w:sz w:val="18"/>
          <w:szCs w:val="18"/>
        </w:rPr>
      </w:pPr>
      <w:bookmarkStart w:id="103" w:name="_Hlk142569031"/>
      <w:r>
        <w:rPr>
          <w:rFonts w:hint="eastAsia"/>
          <w:bCs/>
          <w:sz w:val="18"/>
          <w:szCs w:val="18"/>
        </w:rPr>
        <w:t>标引序号说明：</w:t>
      </w:r>
    </w:p>
    <w:p>
      <w:pPr>
        <w:spacing w:line="240" w:lineRule="auto"/>
        <w:ind w:firstLine="450" w:firstLineChars="250"/>
        <w:rPr>
          <w:rFonts w:ascii="宋体" w:hAnsi="宋体"/>
          <w:color w:val="000000"/>
          <w:sz w:val="18"/>
          <w:szCs w:val="18"/>
        </w:rPr>
      </w:pPr>
      <w:r>
        <w:rPr>
          <w:rFonts w:ascii="宋体" w:hAnsi="宋体"/>
          <w:sz w:val="18"/>
          <w:szCs w:val="18"/>
        </w:rPr>
        <w:t>1</w:t>
      </w:r>
      <w:r>
        <w:rPr>
          <w:rFonts w:ascii="宋体" w:hAnsi="宋体"/>
          <w:sz w:val="18"/>
          <w:szCs w:val="18"/>
        </w:rPr>
        <w:softHyphen/>
      </w:r>
      <w:r>
        <w:rPr>
          <w:rFonts w:ascii="Times New Roman" w:hAnsi="Times New Roman"/>
          <w:color w:val="000000"/>
          <w:sz w:val="18"/>
          <w:szCs w:val="18"/>
        </w:rPr>
        <w:t>——</w:t>
      </w:r>
      <w:r>
        <w:rPr>
          <w:rFonts w:hint="eastAsia" w:ascii="宋体" w:hAnsi="宋体"/>
          <w:color w:val="000000"/>
          <w:sz w:val="18"/>
          <w:szCs w:val="18"/>
        </w:rPr>
        <w:t>型钢（承受上柱自重）；</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2</w:t>
      </w:r>
      <w:r>
        <w:rPr>
          <w:rFonts w:ascii="Times New Roman" w:hAnsi="Times New Roman"/>
          <w:color w:val="000000"/>
          <w:sz w:val="18"/>
          <w:szCs w:val="18"/>
        </w:rPr>
        <w:t>——</w:t>
      </w:r>
      <w:r>
        <w:rPr>
          <w:rFonts w:hint="eastAsia" w:ascii="宋体" w:hAnsi="宋体"/>
          <w:color w:val="000000"/>
          <w:sz w:val="18"/>
          <w:szCs w:val="18"/>
        </w:rPr>
        <w:t>基础；</w:t>
      </w:r>
    </w:p>
    <w:p>
      <w:pPr>
        <w:spacing w:line="240" w:lineRule="auto"/>
        <w:ind w:firstLine="450" w:firstLineChars="250"/>
        <w:rPr>
          <w:rFonts w:ascii="宋体" w:hAnsi="宋体"/>
          <w:sz w:val="18"/>
          <w:szCs w:val="18"/>
        </w:rPr>
      </w:pPr>
      <w:r>
        <w:rPr>
          <w:rFonts w:ascii="宋体" w:hAnsi="宋体"/>
          <w:color w:val="000000"/>
          <w:sz w:val="18"/>
          <w:szCs w:val="18"/>
        </w:rPr>
        <w:t>3</w:t>
      </w:r>
      <w:r>
        <w:rPr>
          <w:rFonts w:ascii="Times New Roman" w:hAnsi="Times New Roman"/>
          <w:color w:val="000000"/>
          <w:sz w:val="18"/>
          <w:szCs w:val="18"/>
        </w:rPr>
        <w:t>——</w:t>
      </w:r>
      <w:r>
        <w:rPr>
          <w:rFonts w:hint="eastAsia" w:ascii="宋体" w:hAnsi="宋体"/>
          <w:sz w:val="18"/>
          <w:szCs w:val="18"/>
        </w:rPr>
        <w:t>灌浆套筒；</w:t>
      </w:r>
    </w:p>
    <w:p>
      <w:pPr>
        <w:spacing w:line="240" w:lineRule="auto"/>
        <w:ind w:firstLine="450" w:firstLineChars="250"/>
        <w:rPr>
          <w:rFonts w:ascii="宋体" w:hAnsi="宋体"/>
          <w:color w:val="000000"/>
          <w:sz w:val="18"/>
          <w:szCs w:val="18"/>
        </w:rPr>
      </w:pPr>
      <w:r>
        <w:rPr>
          <w:rFonts w:ascii="宋体" w:hAnsi="宋体"/>
          <w:sz w:val="18"/>
          <w:szCs w:val="18"/>
        </w:rPr>
        <w:t>4</w:t>
      </w:r>
      <w:r>
        <w:rPr>
          <w:rFonts w:ascii="Times New Roman" w:hAnsi="Times New Roman"/>
          <w:color w:val="000000"/>
          <w:sz w:val="18"/>
          <w:szCs w:val="18"/>
        </w:rPr>
        <w:t>——</w:t>
      </w:r>
      <w:r>
        <w:rPr>
          <w:rFonts w:hint="eastAsia" w:ascii="宋体" w:hAnsi="宋体"/>
          <w:color w:val="000000"/>
          <w:sz w:val="18"/>
          <w:szCs w:val="18"/>
        </w:rPr>
        <w:t>预留孔。</w:t>
      </w:r>
      <w:bookmarkEnd w:id="103"/>
    </w:p>
    <w:p>
      <w:pPr>
        <w:spacing w:before="156" w:beforeLines="50" w:after="156" w:afterLines="50" w:line="240" w:lineRule="auto"/>
        <w:jc w:val="center"/>
        <w:rPr>
          <w:rFonts w:ascii="黑体" w:hAnsi="黑体" w:eastAsia="黑体"/>
          <w:color w:val="000000"/>
        </w:rPr>
      </w:pPr>
      <w:r>
        <w:rPr>
          <w:rFonts w:ascii="黑体" w:hAnsi="黑体" w:eastAsia="黑体"/>
          <w:color w:val="000000"/>
        </w:rPr>
        <w:t xml:space="preserve">图3 </w:t>
      </w:r>
      <w:r>
        <w:rPr>
          <w:rFonts w:hint="eastAsia" w:ascii="黑体" w:hAnsi="黑体" w:eastAsia="黑体"/>
          <w:color w:val="000000"/>
        </w:rPr>
        <w:t>柱与柱连接示意</w:t>
      </w:r>
    </w:p>
    <w:p>
      <w:pPr>
        <w:pStyle w:val="58"/>
        <w:ind w:firstLine="0" w:firstLineChars="0"/>
        <w:rPr>
          <w:rFonts w:hAnsi="黑体"/>
          <w:bCs/>
        </w:rPr>
      </w:pPr>
      <w:r>
        <w:rPr>
          <w:rFonts w:ascii="黑体" w:hAnsi="黑体" w:eastAsia="黑体"/>
        </w:rPr>
        <w:t>5</w:t>
      </w:r>
      <w:r>
        <w:rPr>
          <w:rFonts w:hint="eastAsia" w:ascii="黑体" w:hAnsi="黑体" w:eastAsia="黑体"/>
        </w:rPr>
        <w:t>.</w:t>
      </w:r>
      <w:r>
        <w:rPr>
          <w:rFonts w:ascii="黑体" w:hAnsi="黑体" w:eastAsia="黑体"/>
        </w:rPr>
        <w:t>6.3</w:t>
      </w:r>
      <w:r>
        <w:rPr>
          <w:rFonts w:hint="eastAsia" w:ascii="黑体" w:hAnsi="黑体" w:eastAsia="黑体"/>
        </w:rPr>
        <w:t xml:space="preserve"> </w:t>
      </w:r>
      <w:r>
        <w:rPr>
          <w:rFonts w:hint="eastAsia" w:hAnsi="黑体"/>
          <w:bCs/>
        </w:rPr>
        <w:t>当柱与梁的连接采用凹槽节点时（图4），应符合下列规定：</w:t>
      </w:r>
    </w:p>
    <w:p>
      <w:pPr>
        <w:pStyle w:val="58"/>
        <w:ind w:left="840" w:leftChars="200" w:hanging="420" w:hangingChars="200"/>
      </w:pPr>
      <w:r>
        <w:t>a</w:t>
      </w:r>
      <w:r>
        <w:rPr>
          <w:rFonts w:hint="eastAsia"/>
        </w:rPr>
        <w:t>)</w:t>
      </w:r>
      <w:r>
        <w:tab/>
      </w:r>
      <w:r>
        <w:rPr>
          <w:rFonts w:hint="eastAsia"/>
        </w:rPr>
        <w:t>凹槽的U形连接钢筋直径不应小于12mm，不宜大于20mm；</w:t>
      </w:r>
    </w:p>
    <w:p>
      <w:pPr>
        <w:pStyle w:val="58"/>
        <w:ind w:left="840" w:leftChars="200" w:hanging="420" w:hangingChars="200"/>
      </w:pPr>
      <w:r>
        <w:t>b</w:t>
      </w:r>
      <w:r>
        <w:rPr>
          <w:rFonts w:hint="eastAsia"/>
        </w:rPr>
        <w:t>)</w:t>
      </w:r>
      <w:r>
        <w:tab/>
      </w:r>
      <w:r>
        <w:rPr>
          <w:rFonts w:hint="eastAsia"/>
        </w:rPr>
        <w:t>凹槽内钢绞线在梁端90°弯折，弯锚长度不应小于210mm；</w:t>
      </w:r>
    </w:p>
    <w:p>
      <w:pPr>
        <w:pStyle w:val="58"/>
        <w:ind w:left="840" w:leftChars="200" w:hanging="420" w:hangingChars="200"/>
      </w:pPr>
      <w:r>
        <w:t>c</w:t>
      </w:r>
      <w:r>
        <w:rPr>
          <w:rFonts w:hint="eastAsia"/>
        </w:rPr>
        <w:t>)</w:t>
      </w:r>
      <w:r>
        <w:tab/>
      </w:r>
      <w:r>
        <w:rPr>
          <w:rFonts w:hint="eastAsia"/>
        </w:rPr>
        <w:t>U形连接钢筋伸入节点的锚固长度应符合现行国家标准《混凝土结构设计规范》GB 50010的规定；</w:t>
      </w:r>
    </w:p>
    <w:p>
      <w:pPr>
        <w:pStyle w:val="58"/>
        <w:ind w:left="840" w:leftChars="200" w:hanging="420" w:hangingChars="200"/>
      </w:pPr>
      <w:r>
        <w:t>d</w:t>
      </w:r>
      <w:r>
        <w:rPr>
          <w:rFonts w:hint="eastAsia"/>
        </w:rPr>
        <w:t>)</w:t>
      </w:r>
      <w:r>
        <w:tab/>
      </w:r>
      <w:r>
        <w:rPr>
          <w:rFonts w:hint="eastAsia"/>
        </w:rPr>
        <w:t>预留凹槽壁厚宜取40mm；</w:t>
      </w:r>
    </w:p>
    <w:p>
      <w:pPr>
        <w:pStyle w:val="58"/>
        <w:ind w:left="840" w:leftChars="200" w:hanging="420" w:hangingChars="200"/>
      </w:pPr>
      <w:r>
        <w:t>e</w:t>
      </w:r>
      <w:r>
        <w:rPr>
          <w:rFonts w:hint="eastAsia"/>
        </w:rPr>
        <w:t>)</w:t>
      </w:r>
      <w:r>
        <w:tab/>
      </w:r>
      <w:r>
        <w:rPr>
          <w:rFonts w:hint="eastAsia"/>
        </w:rPr>
        <w:t>U形连接钢筋的弯折半径不宜小于其直径的6倍；双层布置时内侧的U形连接钢筋的弯折半径不宜小于其直径的4倍；</w:t>
      </w:r>
    </w:p>
    <w:p>
      <w:pPr>
        <w:pStyle w:val="58"/>
        <w:ind w:left="840" w:leftChars="200" w:hanging="420" w:hangingChars="200"/>
      </w:pPr>
      <w:r>
        <w:t>f</w:t>
      </w:r>
      <w:r>
        <w:rPr>
          <w:rFonts w:hint="eastAsia"/>
        </w:rPr>
        <w:t>)</w:t>
      </w:r>
      <w:r>
        <w:tab/>
      </w:r>
      <w:r>
        <w:rPr>
          <w:rFonts w:hint="eastAsia"/>
        </w:rPr>
        <w:t>U形连接钢筋在边节点处钢筋水平长度未伸过柱中心时不得向上弯折；</w:t>
      </w:r>
    </w:p>
    <w:p>
      <w:pPr>
        <w:pStyle w:val="58"/>
        <w:ind w:left="840" w:leftChars="200" w:hanging="420" w:hangingChars="200"/>
        <w:rPr>
          <w:rFonts w:hint="eastAsia" w:eastAsia="宋体"/>
          <w:lang w:eastAsia="zh-CN"/>
        </w:rPr>
      </w:pPr>
      <w:r>
        <w:t>g</w:t>
      </w:r>
      <w:r>
        <w:rPr>
          <w:rFonts w:hint="eastAsia"/>
        </w:rPr>
        <w:t>)</w:t>
      </w:r>
      <w:r>
        <w:tab/>
      </w:r>
      <w:r>
        <w:rPr>
          <w:rFonts w:hint="eastAsia"/>
        </w:rPr>
        <w:t>当中间层边节点梁上部纵筋、U形连接钢筋外侧端采用钢筋锚固板时（图4f、i），应符合国家现行标准《混凝土结构设计规范》GB 50010、《钢筋锚固板应用技术规程》JGJ 256的相关规定</w:t>
      </w:r>
      <w:r>
        <w:rPr>
          <w:rFonts w:hint="eastAsia"/>
          <w:lang w:eastAsia="zh-CN"/>
        </w:rPr>
        <w:t>；</w:t>
      </w:r>
    </w:p>
    <w:p>
      <w:pPr>
        <w:pStyle w:val="58"/>
        <w:ind w:left="840" w:leftChars="200" w:hanging="420" w:hangingChars="200"/>
      </w:pPr>
      <w:r>
        <w:t>h</w:t>
      </w:r>
      <w:r>
        <w:rPr>
          <w:rFonts w:hint="eastAsia"/>
        </w:rPr>
        <w:t>)</w:t>
      </w:r>
      <w:r>
        <w:tab/>
      </w:r>
      <w:r>
        <w:rPr>
          <w:rFonts w:hint="eastAsia"/>
        </w:rPr>
        <w:t>对框架顶层端节点，柱宜伸出屋面并将柱纵向受力钢筋锚固在伸出段内（图4b），柱纵向受力钢筋宜采用锚固板的锚固方式，此时锚固长度不应小于0.6</w:t>
      </w:r>
      <w:r>
        <w:rPr>
          <w:rFonts w:ascii="Times New Roman"/>
          <w:i/>
          <w:iCs/>
        </w:rPr>
        <w:t>l</w:t>
      </w:r>
      <w:r>
        <w:rPr>
          <w:rFonts w:ascii="Times New Roman"/>
          <w:vertAlign w:val="subscript"/>
        </w:rPr>
        <w:t>abE</w:t>
      </w:r>
      <w:r>
        <w:rPr>
          <w:rFonts w:hint="eastAsia"/>
        </w:rPr>
        <w:t>。伸出段内箍筋直径不应小于柱纵向受力钢筋的最大直径的1/4，伸出段箍筋间距不应大于柱纵向受力钢筋的最小直径的5倍，且不应大于100mm；梁纵向受力钢筋应锚固在后浇节点区内，且宜采用锚固板锚固，此时锚固长度不应小于0.6</w:t>
      </w:r>
      <w:r>
        <w:rPr>
          <w:rFonts w:ascii="Times New Roman"/>
          <w:i/>
          <w:iCs/>
        </w:rPr>
        <w:t>l</w:t>
      </w:r>
      <w:r>
        <w:rPr>
          <w:rFonts w:ascii="Times New Roman"/>
          <w:vertAlign w:val="subscript"/>
        </w:rPr>
        <w:t>abE</w:t>
      </w:r>
      <w:r>
        <w:rPr>
          <w:rFonts w:hint="eastAsia"/>
        </w:rPr>
        <w:t>。</w:t>
      </w:r>
    </w:p>
    <w:p>
      <w:pPr>
        <w:pStyle w:val="58"/>
        <w:ind w:left="840" w:leftChars="200" w:hanging="420" w:hangingChars="200"/>
      </w:pPr>
    </w:p>
    <w:p>
      <w:pPr>
        <w:pStyle w:val="58"/>
        <w:ind w:firstLine="0" w:firstLineChars="0"/>
        <w:jc w:val="center"/>
      </w:pPr>
      <w:r>
        <w:drawing>
          <wp:inline distT="0" distB="0" distL="0" distR="0">
            <wp:extent cx="4260850" cy="1607820"/>
            <wp:effectExtent l="0" t="0" r="0" b="0"/>
            <wp:docPr id="272" name="图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图片 27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4309336" cy="1625919"/>
                    </a:xfrm>
                    <a:prstGeom prst="rect">
                      <a:avLst/>
                    </a:prstGeom>
                    <a:noFill/>
                  </pic:spPr>
                </pic:pic>
              </a:graphicData>
            </a:graphic>
          </wp:inline>
        </w:drawing>
      </w:r>
    </w:p>
    <w:p>
      <w:pPr>
        <w:spacing w:line="240" w:lineRule="auto"/>
        <w:jc w:val="center"/>
        <w:rPr>
          <w:rFonts w:ascii="黑体" w:hAnsi="黑体" w:eastAsia="黑体"/>
          <w:sz w:val="18"/>
          <w:szCs w:val="18"/>
        </w:rPr>
      </w:pPr>
      <w:r>
        <w:rPr>
          <w:rFonts w:hint="eastAsia" w:ascii="黑体" w:hAnsi="黑体" w:eastAsia="黑体"/>
          <w:sz w:val="18"/>
          <w:szCs w:val="18"/>
          <w:lang w:eastAsia="zh-CN"/>
        </w:rPr>
        <w:t>（</w:t>
      </w:r>
      <w:r>
        <w:rPr>
          <w:rFonts w:ascii="黑体" w:hAnsi="黑体" w:eastAsia="黑体"/>
          <w:sz w:val="18"/>
          <w:szCs w:val="18"/>
        </w:rPr>
        <w:t>a）顶层中间节点</w:t>
      </w:r>
      <w:r>
        <w:rPr>
          <w:rFonts w:hint="eastAsia" w:ascii="黑体" w:hAnsi="黑体" w:eastAsia="黑体"/>
          <w:sz w:val="18"/>
          <w:szCs w:val="18"/>
        </w:rPr>
        <w:t xml:space="preserve">          </w:t>
      </w:r>
      <w:r>
        <w:rPr>
          <w:rFonts w:ascii="黑体" w:hAnsi="黑体" w:eastAsia="黑体"/>
          <w:sz w:val="18"/>
          <w:szCs w:val="18"/>
        </w:rPr>
        <w:t xml:space="preserve">   </w:t>
      </w:r>
      <w:r>
        <w:rPr>
          <w:rFonts w:hint="eastAsia" w:ascii="黑体" w:hAnsi="黑体" w:eastAsia="黑体"/>
          <w:sz w:val="18"/>
          <w:szCs w:val="18"/>
        </w:rPr>
        <w:t xml:space="preserve"> </w:t>
      </w:r>
      <w:r>
        <w:rPr>
          <w:rFonts w:ascii="黑体" w:hAnsi="黑体" w:eastAsia="黑体"/>
          <w:sz w:val="18"/>
          <w:szCs w:val="18"/>
        </w:rPr>
        <w:t xml:space="preserve">  </w:t>
      </w:r>
      <w:r>
        <w:rPr>
          <w:rFonts w:hint="eastAsia" w:ascii="黑体" w:hAnsi="黑体" w:eastAsia="黑体"/>
          <w:sz w:val="18"/>
          <w:szCs w:val="18"/>
        </w:rPr>
        <w:t xml:space="preserve">    </w:t>
      </w:r>
      <w:r>
        <w:rPr>
          <w:rFonts w:hint="eastAsia" w:ascii="黑体" w:hAnsi="黑体" w:eastAsia="黑体"/>
          <w:sz w:val="18"/>
          <w:szCs w:val="18"/>
          <w:lang w:eastAsia="zh-CN"/>
        </w:rPr>
        <w:t>（</w:t>
      </w:r>
      <w:r>
        <w:rPr>
          <w:rFonts w:ascii="黑体" w:hAnsi="黑体" w:eastAsia="黑体"/>
          <w:sz w:val="18"/>
          <w:szCs w:val="18"/>
        </w:rPr>
        <w:t>b）预制柱、梁顶层边节点连接</w:t>
      </w:r>
    </w:p>
    <w:p>
      <w:pPr>
        <w:pStyle w:val="58"/>
        <w:ind w:firstLine="0" w:firstLineChars="0"/>
        <w:jc w:val="center"/>
      </w:pPr>
      <w:r>
        <w:drawing>
          <wp:inline distT="0" distB="0" distL="0" distR="0">
            <wp:extent cx="3648710" cy="1778635"/>
            <wp:effectExtent l="0" t="0" r="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59"/>
                    <pic:cNvPicPr>
                      <a:picLocks noChangeAspect="1" noChangeArrowheads="1"/>
                    </pic:cNvPicPr>
                  </pic:nvPicPr>
                  <pic:blipFill>
                    <a:blip r:embed="rId101" cstate="print"/>
                    <a:srcRect/>
                    <a:stretch>
                      <a:fillRect/>
                    </a:stretch>
                  </pic:blipFill>
                  <pic:spPr>
                    <a:xfrm>
                      <a:off x="0" y="0"/>
                      <a:ext cx="3687184" cy="1797652"/>
                    </a:xfrm>
                    <a:prstGeom prst="rect">
                      <a:avLst/>
                    </a:prstGeom>
                    <a:noFill/>
                    <a:ln w="9525">
                      <a:noFill/>
                      <a:miter lim="800000"/>
                      <a:headEnd/>
                      <a:tailEnd/>
                    </a:ln>
                  </pic:spPr>
                </pic:pic>
              </a:graphicData>
            </a:graphic>
          </wp:inline>
        </w:drawing>
      </w:r>
    </w:p>
    <w:p>
      <w:pPr>
        <w:spacing w:line="240" w:lineRule="auto"/>
        <w:jc w:val="center"/>
        <w:rPr>
          <w:rFonts w:ascii="黑体" w:hAnsi="黑体" w:eastAsia="黑体"/>
          <w:sz w:val="18"/>
          <w:szCs w:val="18"/>
        </w:rPr>
      </w:pPr>
      <w:r>
        <w:rPr>
          <w:rFonts w:hint="eastAsia" w:ascii="黑体" w:hAnsi="黑体" w:eastAsia="黑体"/>
          <w:sz w:val="18"/>
          <w:szCs w:val="18"/>
          <w:lang w:eastAsia="zh-CN"/>
        </w:rPr>
        <w:t>（</w:t>
      </w:r>
      <w:r>
        <w:rPr>
          <w:rFonts w:ascii="黑体" w:hAnsi="黑体" w:eastAsia="黑体"/>
          <w:sz w:val="18"/>
          <w:szCs w:val="18"/>
        </w:rPr>
        <w:t>c）现浇柱和预制梁顶层边节点连接</w:t>
      </w:r>
    </w:p>
    <w:p>
      <w:pPr>
        <w:pStyle w:val="58"/>
        <w:ind w:firstLine="0" w:firstLineChars="0"/>
        <w:jc w:val="center"/>
      </w:pPr>
      <w:r>
        <w:drawing>
          <wp:inline distT="0" distB="0" distL="0" distR="0">
            <wp:extent cx="2294255" cy="1821180"/>
            <wp:effectExtent l="0" t="0" r="0" b="0"/>
            <wp:docPr id="273" name="图片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图片 27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2317683" cy="1839589"/>
                    </a:xfrm>
                    <a:prstGeom prst="rect">
                      <a:avLst/>
                    </a:prstGeom>
                    <a:noFill/>
                  </pic:spPr>
                </pic:pic>
              </a:graphicData>
            </a:graphic>
          </wp:inline>
        </w:drawing>
      </w:r>
    </w:p>
    <w:p>
      <w:pPr>
        <w:spacing w:line="240" w:lineRule="auto"/>
        <w:jc w:val="center"/>
        <w:rPr>
          <w:rFonts w:ascii="黑体" w:hAnsi="黑体" w:eastAsia="黑体"/>
          <w:sz w:val="18"/>
          <w:szCs w:val="18"/>
        </w:rPr>
      </w:pPr>
      <w:r>
        <w:rPr>
          <w:rFonts w:hint="eastAsia" w:ascii="黑体" w:hAnsi="黑体" w:eastAsia="黑体"/>
          <w:sz w:val="18"/>
          <w:szCs w:val="18"/>
          <w:lang w:eastAsia="zh-CN"/>
        </w:rPr>
        <w:t>（</w:t>
      </w:r>
      <w:r>
        <w:rPr>
          <w:rFonts w:ascii="黑体" w:hAnsi="黑体" w:eastAsia="黑体"/>
          <w:sz w:val="18"/>
          <w:szCs w:val="18"/>
        </w:rPr>
        <w:t>d）中间层中间节点</w:t>
      </w:r>
    </w:p>
    <w:p>
      <w:pPr>
        <w:spacing w:line="240" w:lineRule="auto"/>
        <w:jc w:val="center"/>
      </w:pPr>
      <w:r>
        <w:drawing>
          <wp:inline distT="0" distB="0" distL="0" distR="0">
            <wp:extent cx="4002405" cy="2174240"/>
            <wp:effectExtent l="0" t="0" r="0" b="0"/>
            <wp:docPr id="274"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图片 27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a:xfrm>
                      <a:off x="0" y="0"/>
                      <a:ext cx="4042079" cy="2195926"/>
                    </a:xfrm>
                    <a:prstGeom prst="rect">
                      <a:avLst/>
                    </a:prstGeom>
                    <a:noFill/>
                  </pic:spPr>
                </pic:pic>
              </a:graphicData>
            </a:graphic>
          </wp:inline>
        </w:drawing>
      </w:r>
    </w:p>
    <w:p>
      <w:pPr>
        <w:spacing w:line="240" w:lineRule="auto"/>
        <w:jc w:val="center"/>
        <w:rPr>
          <w:rFonts w:ascii="黑体" w:hAnsi="黑体" w:eastAsia="黑体"/>
          <w:sz w:val="18"/>
          <w:szCs w:val="18"/>
        </w:rPr>
      </w:pPr>
      <w:r>
        <w:rPr>
          <w:rFonts w:hint="eastAsia" w:ascii="黑体" w:hAnsi="黑体" w:eastAsia="黑体"/>
          <w:sz w:val="18"/>
          <w:szCs w:val="18"/>
          <w:lang w:eastAsia="zh-CN"/>
        </w:rPr>
        <w:t>（</w:t>
      </w:r>
      <w:r>
        <w:rPr>
          <w:rFonts w:hint="eastAsia" w:ascii="黑体" w:hAnsi="黑体" w:eastAsia="黑体"/>
          <w:sz w:val="18"/>
          <w:szCs w:val="18"/>
        </w:rPr>
        <w:t xml:space="preserve">e）中间层边节点1       </w:t>
      </w:r>
      <w:r>
        <w:rPr>
          <w:rFonts w:ascii="黑体" w:hAnsi="黑体" w:eastAsia="黑体"/>
          <w:sz w:val="18"/>
          <w:szCs w:val="18"/>
        </w:rPr>
        <w:t xml:space="preserve">     </w:t>
      </w:r>
      <w:r>
        <w:rPr>
          <w:rFonts w:hint="eastAsia" w:ascii="黑体" w:hAnsi="黑体" w:eastAsia="黑体"/>
          <w:sz w:val="18"/>
          <w:szCs w:val="18"/>
        </w:rPr>
        <w:t xml:space="preserve">         </w:t>
      </w:r>
      <w:r>
        <w:rPr>
          <w:rFonts w:hint="eastAsia" w:ascii="黑体" w:hAnsi="黑体" w:eastAsia="黑体"/>
          <w:sz w:val="18"/>
          <w:szCs w:val="18"/>
          <w:lang w:eastAsia="zh-CN"/>
        </w:rPr>
        <w:t>（</w:t>
      </w:r>
      <w:r>
        <w:rPr>
          <w:rFonts w:hint="eastAsia" w:ascii="黑体" w:hAnsi="黑体" w:eastAsia="黑体"/>
          <w:sz w:val="18"/>
          <w:szCs w:val="18"/>
        </w:rPr>
        <w:t>f）中间层边节点2</w:t>
      </w:r>
    </w:p>
    <w:p>
      <w:pPr>
        <w:adjustRightInd/>
        <w:spacing w:line="240" w:lineRule="auto"/>
        <w:jc w:val="center"/>
        <w:rPr>
          <w:rFonts w:ascii="黑体" w:hAnsi="黑体" w:eastAsia="黑体"/>
        </w:rPr>
      </w:pPr>
      <w:r>
        <w:rPr>
          <w:rFonts w:ascii="黑体" w:hAnsi="黑体" w:eastAsia="黑体"/>
        </w:rPr>
        <w:drawing>
          <wp:inline distT="0" distB="0" distL="0" distR="0">
            <wp:extent cx="3458845" cy="1386205"/>
            <wp:effectExtent l="0" t="0" r="0" b="0"/>
            <wp:docPr id="275" name="图片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27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3547908" cy="1421896"/>
                    </a:xfrm>
                    <a:prstGeom prst="rect">
                      <a:avLst/>
                    </a:prstGeom>
                    <a:noFill/>
                  </pic:spPr>
                </pic:pic>
              </a:graphicData>
            </a:graphic>
          </wp:inline>
        </w:drawing>
      </w:r>
    </w:p>
    <w:p>
      <w:pPr>
        <w:spacing w:line="240" w:lineRule="auto"/>
        <w:jc w:val="center"/>
        <w:rPr>
          <w:rFonts w:ascii="黑体" w:hAnsi="黑体" w:eastAsia="黑体"/>
          <w:sz w:val="18"/>
          <w:szCs w:val="18"/>
        </w:rPr>
      </w:pPr>
      <w:r>
        <w:rPr>
          <w:rFonts w:hint="eastAsia" w:ascii="黑体" w:hAnsi="黑体" w:eastAsia="黑体"/>
          <w:sz w:val="18"/>
          <w:szCs w:val="18"/>
          <w:lang w:eastAsia="zh-CN"/>
        </w:rPr>
        <w:t>（</w:t>
      </w:r>
      <w:r>
        <w:rPr>
          <w:rFonts w:hint="eastAsia" w:ascii="黑体" w:hAnsi="黑体" w:eastAsia="黑体"/>
          <w:sz w:val="18"/>
          <w:szCs w:val="18"/>
        </w:rPr>
        <w:t xml:space="preserve">g）中间节点U形连接钢筋 </w:t>
      </w:r>
      <w:r>
        <w:rPr>
          <w:rFonts w:ascii="黑体" w:hAnsi="黑体" w:eastAsia="黑体"/>
          <w:sz w:val="18"/>
          <w:szCs w:val="18"/>
        </w:rPr>
        <w:t xml:space="preserve">    </w:t>
      </w:r>
      <w:r>
        <w:rPr>
          <w:rFonts w:hint="eastAsia" w:ascii="黑体" w:hAnsi="黑体" w:eastAsia="黑体"/>
          <w:sz w:val="18"/>
          <w:szCs w:val="18"/>
          <w:lang w:eastAsia="zh-CN"/>
        </w:rPr>
        <w:t>（</w:t>
      </w:r>
      <w:r>
        <w:rPr>
          <w:rFonts w:hint="eastAsia" w:ascii="黑体" w:hAnsi="黑体" w:eastAsia="黑体"/>
          <w:sz w:val="18"/>
          <w:szCs w:val="18"/>
        </w:rPr>
        <w:t xml:space="preserve">h）边节点U形连接钢筋1 </w:t>
      </w:r>
      <w:r>
        <w:rPr>
          <w:rFonts w:ascii="黑体" w:hAnsi="黑体" w:eastAsia="黑体"/>
          <w:sz w:val="18"/>
          <w:szCs w:val="18"/>
        </w:rPr>
        <w:t xml:space="preserve">  </w:t>
      </w:r>
      <w:r>
        <w:rPr>
          <w:rFonts w:hint="eastAsia" w:ascii="黑体" w:hAnsi="黑体" w:eastAsia="黑体"/>
          <w:sz w:val="18"/>
          <w:szCs w:val="18"/>
        </w:rPr>
        <w:t xml:space="preserve"> </w:t>
      </w:r>
      <w:r>
        <w:rPr>
          <w:rFonts w:hint="eastAsia" w:ascii="黑体" w:hAnsi="黑体" w:eastAsia="黑体"/>
          <w:sz w:val="18"/>
          <w:szCs w:val="18"/>
          <w:lang w:eastAsia="zh-CN"/>
        </w:rPr>
        <w:t>（</w:t>
      </w:r>
      <w:r>
        <w:rPr>
          <w:rFonts w:hint="eastAsia" w:ascii="黑体" w:hAnsi="黑体" w:eastAsia="黑体"/>
          <w:sz w:val="18"/>
          <w:szCs w:val="18"/>
        </w:rPr>
        <w:t>i）边节点U形连接钢筋2</w:t>
      </w:r>
    </w:p>
    <w:p>
      <w:pPr>
        <w:widowControl/>
        <w:autoSpaceDE w:val="0"/>
        <w:autoSpaceDN w:val="0"/>
        <w:adjustRightInd/>
        <w:spacing w:line="240" w:lineRule="auto"/>
        <w:ind w:left="780" w:leftChars="200" w:hanging="360" w:hangingChars="200"/>
        <w:jc w:val="left"/>
        <w:rPr>
          <w:rFonts w:ascii="宋体" w:hAnsi="Times New Roman"/>
          <w:bCs/>
          <w:kern w:val="0"/>
          <w:sz w:val="18"/>
          <w:szCs w:val="18"/>
        </w:rPr>
      </w:pPr>
      <w:r>
        <w:rPr>
          <w:rFonts w:hint="eastAsia" w:ascii="宋体" w:hAnsi="Times New Roman"/>
          <w:bCs/>
          <w:kern w:val="0"/>
          <w:sz w:val="18"/>
          <w:szCs w:val="18"/>
        </w:rPr>
        <w:t>标引序号说明：</w:t>
      </w:r>
    </w:p>
    <w:p>
      <w:pPr>
        <w:spacing w:line="240" w:lineRule="auto"/>
        <w:ind w:firstLine="450" w:firstLineChars="250"/>
        <w:rPr>
          <w:rFonts w:ascii="宋体" w:hAnsi="宋体"/>
          <w:color w:val="000000"/>
          <w:sz w:val="18"/>
          <w:szCs w:val="18"/>
        </w:rPr>
      </w:pPr>
      <w:r>
        <w:rPr>
          <w:rFonts w:ascii="宋体" w:hAnsi="宋体"/>
          <w:sz w:val="18"/>
          <w:szCs w:val="18"/>
        </w:rPr>
        <w:t>1</w:t>
      </w:r>
      <w:r>
        <w:rPr>
          <w:rFonts w:ascii="宋体" w:hAnsi="宋体"/>
          <w:sz w:val="18"/>
          <w:szCs w:val="18"/>
        </w:rPr>
        <w:softHyphen/>
      </w:r>
      <w:r>
        <w:rPr>
          <w:rFonts w:ascii="Times New Roman" w:hAnsi="Times New Roman"/>
          <w:color w:val="000000"/>
          <w:sz w:val="18"/>
          <w:szCs w:val="18"/>
        </w:rPr>
        <w:t>——</w:t>
      </w:r>
      <w:r>
        <w:rPr>
          <w:rFonts w:hint="eastAsia" w:ascii="宋体" w:hAnsi="宋体"/>
          <w:color w:val="000000"/>
          <w:sz w:val="18"/>
          <w:szCs w:val="18"/>
        </w:rPr>
        <w:t>叠合层；</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2</w:t>
      </w:r>
      <w:r>
        <w:rPr>
          <w:rFonts w:ascii="Times New Roman" w:hAnsi="Times New Roman"/>
          <w:color w:val="000000"/>
          <w:sz w:val="18"/>
          <w:szCs w:val="18"/>
        </w:rPr>
        <w:t>——</w:t>
      </w:r>
      <w:r>
        <w:rPr>
          <w:rFonts w:hint="eastAsia" w:ascii="宋体" w:hAnsi="宋体"/>
          <w:color w:val="000000"/>
          <w:sz w:val="18"/>
          <w:szCs w:val="18"/>
        </w:rPr>
        <w:t>预制梁；</w:t>
      </w:r>
    </w:p>
    <w:p>
      <w:pPr>
        <w:spacing w:line="240" w:lineRule="auto"/>
        <w:ind w:firstLine="450" w:firstLineChars="250"/>
        <w:rPr>
          <w:rFonts w:ascii="宋体" w:hAnsi="宋体"/>
          <w:sz w:val="18"/>
          <w:szCs w:val="18"/>
        </w:rPr>
      </w:pPr>
      <w:r>
        <w:rPr>
          <w:rFonts w:ascii="宋体" w:hAnsi="宋体"/>
          <w:color w:val="000000"/>
          <w:sz w:val="18"/>
          <w:szCs w:val="18"/>
        </w:rPr>
        <w:t>3</w:t>
      </w:r>
      <w:r>
        <w:rPr>
          <w:rFonts w:ascii="Times New Roman" w:hAnsi="Times New Roman"/>
          <w:color w:val="000000"/>
          <w:sz w:val="18"/>
          <w:szCs w:val="18"/>
        </w:rPr>
        <w:t>——</w:t>
      </w:r>
      <w:r>
        <w:rPr>
          <w:rFonts w:hint="eastAsia" w:ascii="宋体" w:hAnsi="宋体"/>
          <w:sz w:val="18"/>
          <w:szCs w:val="18"/>
        </w:rPr>
        <w:t>U形连接钢筋；</w:t>
      </w:r>
    </w:p>
    <w:p>
      <w:pPr>
        <w:spacing w:line="240" w:lineRule="auto"/>
        <w:ind w:firstLine="450" w:firstLineChars="250"/>
        <w:rPr>
          <w:rFonts w:ascii="宋体" w:hAnsi="宋体"/>
          <w:color w:val="000000"/>
          <w:sz w:val="18"/>
          <w:szCs w:val="18"/>
        </w:rPr>
      </w:pPr>
      <w:r>
        <w:rPr>
          <w:rFonts w:ascii="宋体" w:hAnsi="宋体"/>
          <w:color w:val="000000"/>
          <w:sz w:val="18"/>
          <w:szCs w:val="18"/>
        </w:rPr>
        <w:t>4</w:t>
      </w:r>
      <w:r>
        <w:rPr>
          <w:rFonts w:ascii="Times New Roman" w:hAnsi="Times New Roman"/>
          <w:color w:val="000000"/>
          <w:sz w:val="18"/>
          <w:szCs w:val="18"/>
        </w:rPr>
        <w:t>——</w:t>
      </w:r>
      <w:r>
        <w:rPr>
          <w:rFonts w:hint="eastAsia" w:ascii="宋体" w:hAnsi="宋体"/>
          <w:color w:val="000000"/>
          <w:sz w:val="18"/>
          <w:szCs w:val="18"/>
        </w:rPr>
        <w:t>预制梁中伸出、弯折的钢绞线；</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5</w:t>
      </w:r>
      <w:r>
        <w:rPr>
          <w:rFonts w:ascii="Times New Roman" w:hAnsi="Times New Roman"/>
          <w:color w:val="000000"/>
          <w:sz w:val="18"/>
          <w:szCs w:val="18"/>
        </w:rPr>
        <w:t>——</w:t>
      </w:r>
      <w:r>
        <w:rPr>
          <w:rFonts w:hint="eastAsia" w:ascii="宋体" w:hAnsi="宋体"/>
          <w:color w:val="000000"/>
          <w:sz w:val="18"/>
          <w:szCs w:val="18"/>
        </w:rPr>
        <w:t>凹槽长度；</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6</w:t>
      </w:r>
      <w:r>
        <w:rPr>
          <w:rFonts w:ascii="Times New Roman" w:hAnsi="Times New Roman"/>
          <w:color w:val="000000"/>
          <w:sz w:val="18"/>
          <w:szCs w:val="18"/>
        </w:rPr>
        <w:t>——</w:t>
      </w:r>
      <w:r>
        <w:rPr>
          <w:rFonts w:hint="eastAsia" w:ascii="宋体" w:hAnsi="宋体"/>
          <w:color w:val="000000"/>
          <w:sz w:val="18"/>
          <w:szCs w:val="18"/>
        </w:rPr>
        <w:t>钢绞线弯锚长度；</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7</w:t>
      </w:r>
      <w:r>
        <w:rPr>
          <w:rFonts w:ascii="Times New Roman" w:hAnsi="Times New Roman"/>
          <w:color w:val="000000"/>
          <w:sz w:val="18"/>
          <w:szCs w:val="18"/>
        </w:rPr>
        <w:t>——</w:t>
      </w:r>
      <w:r>
        <w:rPr>
          <w:rFonts w:hint="eastAsia" w:ascii="宋体" w:hAnsi="宋体"/>
          <w:color w:val="000000"/>
          <w:sz w:val="18"/>
          <w:szCs w:val="18"/>
        </w:rPr>
        <w:t>框架柱；</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8</w:t>
      </w:r>
      <w:r>
        <w:rPr>
          <w:rFonts w:ascii="Times New Roman" w:hAnsi="Times New Roman"/>
          <w:color w:val="000000"/>
          <w:sz w:val="18"/>
          <w:szCs w:val="18"/>
        </w:rPr>
        <w:t>——</w:t>
      </w:r>
      <w:r>
        <w:rPr>
          <w:rFonts w:hint="eastAsia" w:ascii="宋体" w:hAnsi="宋体"/>
          <w:color w:val="000000"/>
          <w:sz w:val="18"/>
          <w:szCs w:val="18"/>
        </w:rPr>
        <w:t>中柱；</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9</w:t>
      </w:r>
      <w:r>
        <w:rPr>
          <w:rFonts w:ascii="Times New Roman" w:hAnsi="Times New Roman"/>
          <w:color w:val="000000"/>
          <w:sz w:val="18"/>
          <w:szCs w:val="18"/>
        </w:rPr>
        <w:t>——</w:t>
      </w:r>
      <w:r>
        <w:rPr>
          <w:rFonts w:hint="eastAsia" w:ascii="宋体" w:hAnsi="宋体"/>
          <w:color w:val="000000"/>
          <w:sz w:val="18"/>
          <w:szCs w:val="18"/>
        </w:rPr>
        <w:t>边柱；</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1</w:t>
      </w:r>
      <w:r>
        <w:rPr>
          <w:rFonts w:ascii="宋体" w:hAnsi="宋体"/>
          <w:color w:val="000000"/>
          <w:sz w:val="18"/>
          <w:szCs w:val="18"/>
        </w:rPr>
        <w:t>0</w:t>
      </w:r>
      <w:r>
        <w:rPr>
          <w:rFonts w:ascii="Times New Roman" w:hAnsi="Times New Roman"/>
          <w:color w:val="000000"/>
          <w:sz w:val="18"/>
          <w:szCs w:val="18"/>
        </w:rPr>
        <w:t>——</w:t>
      </w:r>
      <w:r>
        <w:rPr>
          <w:rFonts w:hint="eastAsia" w:ascii="宋体" w:hAnsi="宋体"/>
          <w:color w:val="000000"/>
          <w:sz w:val="18"/>
          <w:szCs w:val="18"/>
        </w:rPr>
        <w:t>钢筋锚固板；</w:t>
      </w:r>
    </w:p>
    <w:p>
      <w:pPr>
        <w:spacing w:line="240" w:lineRule="auto"/>
        <w:ind w:firstLine="450" w:firstLineChars="250"/>
        <w:rPr>
          <w:rFonts w:ascii="宋体" w:hAnsi="宋体"/>
          <w:color w:val="000000"/>
          <w:sz w:val="18"/>
          <w:szCs w:val="18"/>
        </w:rPr>
      </w:pPr>
      <w:r>
        <w:rPr>
          <w:rFonts w:ascii="Times New Roman" w:hAnsi="Times New Roman"/>
          <w:i/>
          <w:iCs/>
          <w:sz w:val="18"/>
          <w:szCs w:val="18"/>
        </w:rPr>
        <w:t>l</w:t>
      </w:r>
      <w:r>
        <w:rPr>
          <w:rFonts w:ascii="Times New Roman" w:hAnsi="Times New Roman"/>
          <w:sz w:val="18"/>
          <w:szCs w:val="18"/>
          <w:vertAlign w:val="subscript"/>
        </w:rPr>
        <w:t>abE</w:t>
      </w:r>
      <w:r>
        <w:rPr>
          <w:rFonts w:ascii="Times New Roman" w:hAnsi="Times New Roman"/>
          <w:color w:val="000000"/>
          <w:sz w:val="18"/>
          <w:szCs w:val="18"/>
        </w:rPr>
        <w:t>——</w:t>
      </w:r>
      <w:r>
        <w:rPr>
          <w:rFonts w:hint="eastAsia" w:ascii="宋体" w:hAnsi="宋体"/>
          <w:color w:val="000000"/>
          <w:sz w:val="18"/>
          <w:szCs w:val="18"/>
        </w:rPr>
        <w:t>受拉钢筋基本抗震锚固长度；</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R</w:t>
      </w:r>
      <w:r>
        <w:rPr>
          <w:rFonts w:ascii="Times New Roman" w:hAnsi="Times New Roman"/>
          <w:color w:val="000000"/>
          <w:sz w:val="18"/>
          <w:szCs w:val="18"/>
        </w:rPr>
        <w:t>——</w:t>
      </w:r>
      <w:r>
        <w:rPr>
          <w:rFonts w:hint="eastAsia" w:ascii="宋体" w:hAnsi="宋体"/>
          <w:color w:val="000000"/>
          <w:sz w:val="18"/>
          <w:szCs w:val="18"/>
        </w:rPr>
        <w:t>U形连接钢筋弯折半径（外侧6d、内侧4d）。</w:t>
      </w:r>
    </w:p>
    <w:p>
      <w:pPr>
        <w:spacing w:before="156" w:beforeLines="50" w:after="156" w:afterLines="50" w:line="240" w:lineRule="auto"/>
        <w:jc w:val="center"/>
        <w:rPr>
          <w:rFonts w:ascii="黑体" w:hAnsi="黑体" w:eastAsia="黑体"/>
          <w:color w:val="000000"/>
        </w:rPr>
      </w:pPr>
      <w:r>
        <w:rPr>
          <w:rFonts w:hint="eastAsia" w:ascii="黑体" w:hAnsi="黑体" w:eastAsia="黑体"/>
          <w:color w:val="000000"/>
        </w:rPr>
        <w:t>图</w:t>
      </w:r>
      <w:r>
        <w:rPr>
          <w:rFonts w:ascii="黑体" w:hAnsi="黑体" w:eastAsia="黑体"/>
          <w:color w:val="000000"/>
        </w:rPr>
        <w:t>4</w:t>
      </w:r>
      <w:r>
        <w:rPr>
          <w:rFonts w:hint="eastAsia" w:ascii="黑体" w:hAnsi="黑体" w:eastAsia="黑体"/>
          <w:color w:val="000000"/>
        </w:rPr>
        <w:t xml:space="preserve"> 有凹槽梁柱节点浇筑前钢筋连接构造示意</w:t>
      </w:r>
    </w:p>
    <w:p>
      <w:pPr>
        <w:pStyle w:val="58"/>
        <w:ind w:firstLine="0" w:firstLineChars="0"/>
        <w:rPr>
          <w:rFonts w:hAnsi="黑体"/>
          <w:bCs/>
        </w:rPr>
      </w:pPr>
      <w:r>
        <w:rPr>
          <w:rFonts w:ascii="黑体" w:hAnsi="黑体" w:eastAsia="黑体"/>
        </w:rPr>
        <w:t>5</w:t>
      </w:r>
      <w:r>
        <w:rPr>
          <w:rFonts w:hint="eastAsia" w:ascii="黑体" w:hAnsi="黑体" w:eastAsia="黑体"/>
        </w:rPr>
        <w:t>.</w:t>
      </w:r>
      <w:r>
        <w:rPr>
          <w:rFonts w:ascii="黑体" w:hAnsi="黑体" w:eastAsia="黑体"/>
        </w:rPr>
        <w:t>6.4</w:t>
      </w:r>
      <w:r>
        <w:rPr>
          <w:rFonts w:hint="eastAsia" w:ascii="黑体" w:hAnsi="黑体" w:eastAsia="黑体"/>
        </w:rPr>
        <w:t xml:space="preserve"> </w:t>
      </w:r>
      <w:r>
        <w:rPr>
          <w:rFonts w:hint="eastAsia" w:hAnsi="黑体"/>
          <w:bCs/>
        </w:rPr>
        <w:t>当柱与梁的连接采用无凹槽节点时（图</w:t>
      </w:r>
      <w:r>
        <w:rPr>
          <w:rFonts w:hAnsi="黑体"/>
          <w:bCs/>
        </w:rPr>
        <w:t>5</w:t>
      </w:r>
      <w:r>
        <w:rPr>
          <w:rFonts w:hint="eastAsia" w:hAnsi="黑体"/>
          <w:bCs/>
        </w:rPr>
        <w:t>），应符合下列规定：</w:t>
      </w:r>
    </w:p>
    <w:p>
      <w:pPr>
        <w:pStyle w:val="58"/>
        <w:ind w:left="840" w:leftChars="200" w:hanging="420" w:hangingChars="200"/>
      </w:pPr>
      <w:r>
        <w:t>a</w:t>
      </w:r>
      <w:r>
        <w:rPr>
          <w:rFonts w:hint="eastAsia"/>
        </w:rPr>
        <w:t>)</w:t>
      </w:r>
      <w:r>
        <w:tab/>
      </w:r>
      <w:r>
        <w:rPr>
          <w:rFonts w:hint="eastAsia"/>
        </w:rPr>
        <w:t>U形连接钢筋直径不应小于12mm，不宜大于20mm；</w:t>
      </w:r>
    </w:p>
    <w:p>
      <w:pPr>
        <w:pStyle w:val="58"/>
        <w:ind w:left="840" w:leftChars="200" w:hanging="420" w:hangingChars="200"/>
      </w:pPr>
      <w:bookmarkStart w:id="104" w:name="_Hlk142569349"/>
      <w:r>
        <w:t>b</w:t>
      </w:r>
      <w:r>
        <w:rPr>
          <w:rFonts w:hint="eastAsia"/>
        </w:rPr>
        <w:t>)</w:t>
      </w:r>
      <w:r>
        <w:tab/>
      </w:r>
      <w:r>
        <w:rPr>
          <w:rFonts w:hint="eastAsia"/>
        </w:rPr>
        <w:t>梁端后浇段内钢绞线靠近柱边90°弯折，弯锚长度不应小于210mm；</w:t>
      </w:r>
    </w:p>
    <w:bookmarkEnd w:id="104"/>
    <w:p>
      <w:pPr>
        <w:pStyle w:val="58"/>
        <w:ind w:left="840" w:leftChars="200" w:hanging="420" w:hangingChars="200"/>
      </w:pPr>
      <w:r>
        <w:t>c</w:t>
      </w:r>
      <w:r>
        <w:rPr>
          <w:rFonts w:hint="eastAsia"/>
        </w:rPr>
        <w:t>)</w:t>
      </w:r>
      <w:r>
        <w:rPr>
          <w:rFonts w:hint="eastAsia"/>
        </w:rPr>
        <w:tab/>
      </w:r>
      <w:r>
        <w:rPr>
          <w:rFonts w:hint="eastAsia"/>
        </w:rPr>
        <w:t>U形连接钢筋伸入节点的锚固长度应满足现行国家标准《混凝土结构设计规范》GB 50010的规定；</w:t>
      </w:r>
    </w:p>
    <w:p>
      <w:pPr>
        <w:pStyle w:val="58"/>
        <w:ind w:left="840" w:leftChars="200" w:hanging="420" w:hangingChars="200"/>
      </w:pPr>
      <w:r>
        <w:t>d</w:t>
      </w:r>
      <w:r>
        <w:rPr>
          <w:rFonts w:hint="eastAsia"/>
        </w:rPr>
        <w:t>)</w:t>
      </w:r>
      <w:r>
        <w:tab/>
      </w:r>
      <w:r>
        <w:rPr>
          <w:rFonts w:hint="eastAsia"/>
        </w:rPr>
        <w:t>现场施工时应在梁端后浇段位置设置模板，安装梁端后浇段部位箍筋和U型钢筋后方可浇筑混凝土；</w:t>
      </w:r>
    </w:p>
    <w:p>
      <w:pPr>
        <w:pStyle w:val="58"/>
        <w:ind w:left="840" w:leftChars="200" w:hanging="420" w:hangingChars="200"/>
      </w:pPr>
      <w:r>
        <w:t>e</w:t>
      </w:r>
      <w:r>
        <w:rPr>
          <w:rFonts w:hint="eastAsia"/>
        </w:rPr>
        <w:t>)</w:t>
      </w:r>
      <w:r>
        <w:tab/>
      </w:r>
      <w:r>
        <w:rPr>
          <w:rFonts w:hint="eastAsia"/>
        </w:rPr>
        <w:t>U形连接钢筋的弯折半径不宜小于其直径的6倍；双层布置时内侧的U形连接钢筋的弯折半径不宜小于其直径的4倍；</w:t>
      </w:r>
    </w:p>
    <w:p>
      <w:pPr>
        <w:pStyle w:val="58"/>
        <w:ind w:left="840" w:leftChars="200" w:hanging="420" w:hangingChars="200"/>
      </w:pPr>
      <w:r>
        <w:t>f</w:t>
      </w:r>
      <w:r>
        <w:rPr>
          <w:rFonts w:hint="eastAsia"/>
        </w:rPr>
        <w:t>)</w:t>
      </w:r>
      <w:r>
        <w:tab/>
      </w:r>
      <w:r>
        <w:rPr>
          <w:rFonts w:hint="eastAsia"/>
        </w:rPr>
        <w:t>U形连接钢筋在边节点处钢筋水平长度未伸过柱中心时不得向上弯折；</w:t>
      </w:r>
    </w:p>
    <w:p>
      <w:pPr>
        <w:pStyle w:val="58"/>
        <w:ind w:left="840" w:leftChars="200" w:hanging="420" w:hangingChars="200"/>
      </w:pPr>
      <w:r>
        <w:t>g</w:t>
      </w:r>
      <w:r>
        <w:rPr>
          <w:rFonts w:hint="eastAsia"/>
        </w:rPr>
        <w:t>)</w:t>
      </w:r>
      <w:r>
        <w:tab/>
      </w:r>
      <w:r>
        <w:rPr>
          <w:rFonts w:hint="eastAsia"/>
        </w:rPr>
        <w:t>中间层边节点梁上部纵筋、U形连接钢筋外侧端采用钢筋锚固板时（图</w:t>
      </w:r>
      <w:r>
        <w:t>5</w:t>
      </w:r>
      <w:r>
        <w:rPr>
          <w:rFonts w:hint="eastAsia"/>
        </w:rPr>
        <w:t>f、i），应符合国家现行标准《混凝土结构设计规范》GB 50010、《钢筋锚固板应用技术规程》JGJ 256的相关规定；</w:t>
      </w:r>
    </w:p>
    <w:p>
      <w:pPr>
        <w:pStyle w:val="58"/>
        <w:ind w:left="840" w:leftChars="200" w:hanging="420" w:hangingChars="200"/>
      </w:pPr>
      <w:r>
        <w:t>h</w:t>
      </w:r>
      <w:r>
        <w:rPr>
          <w:rFonts w:hint="eastAsia"/>
        </w:rPr>
        <w:t>)</w:t>
      </w:r>
      <w:r>
        <w:tab/>
      </w:r>
      <w:r>
        <w:rPr>
          <w:rFonts w:hint="eastAsia"/>
        </w:rPr>
        <w:t>对框架顶层端节点，柱宜伸出屋面并将柱纵向受力钢筋锚固在伸出段内（图</w:t>
      </w:r>
      <w:r>
        <w:t>5</w:t>
      </w:r>
      <w:r>
        <w:rPr>
          <w:rFonts w:hint="eastAsia"/>
        </w:rPr>
        <w:t>b），柱纵向受力钢筋宜采用锚固板的锚固方式，此时锚固长度不应小于0.6</w:t>
      </w:r>
      <w:r>
        <w:rPr>
          <w:rFonts w:ascii="Times New Roman"/>
          <w:i/>
          <w:iCs/>
        </w:rPr>
        <w:t>l</w:t>
      </w:r>
      <w:r>
        <w:rPr>
          <w:rFonts w:ascii="Times New Roman"/>
          <w:vertAlign w:val="subscript"/>
        </w:rPr>
        <w:t>abE</w:t>
      </w:r>
      <w:r>
        <w:rPr>
          <w:rFonts w:hint="eastAsia"/>
        </w:rPr>
        <w:t>。伸出段内箍筋直径不应小于柱纵向受力钢筋的最大直径的1/4，伸出段箍筋间距不应大于柱纵向受力钢筋的最小直径的5倍，且不应大于100mm；梁纵向受力钢筋应锚固在后浇节点区内，且宜采用锚固板锚固，此时锚固长度不应小于0.6</w:t>
      </w:r>
      <w:r>
        <w:rPr>
          <w:rFonts w:ascii="Times New Roman"/>
          <w:i/>
          <w:iCs/>
        </w:rPr>
        <w:t>l</w:t>
      </w:r>
      <w:r>
        <w:rPr>
          <w:rFonts w:ascii="Times New Roman"/>
          <w:vertAlign w:val="subscript"/>
        </w:rPr>
        <w:t>abE</w:t>
      </w:r>
      <w:r>
        <w:rPr>
          <w:rFonts w:hint="eastAsia"/>
        </w:rPr>
        <w:t>。</w:t>
      </w:r>
    </w:p>
    <w:p>
      <w:pPr>
        <w:pStyle w:val="58"/>
        <w:ind w:left="840" w:leftChars="200" w:hanging="420" w:hangingChars="200"/>
      </w:pPr>
    </w:p>
    <w:p>
      <w:pPr>
        <w:pStyle w:val="58"/>
        <w:ind w:firstLine="0" w:firstLineChars="0"/>
        <w:jc w:val="center"/>
      </w:pPr>
      <w:r>
        <w:rPr>
          <w:rFonts w:hint="eastAsia"/>
        </w:rPr>
        <w:t xml:space="preserve"> </w:t>
      </w:r>
      <w:r>
        <w:t xml:space="preserve">   </w:t>
      </w:r>
      <w:r>
        <w:drawing>
          <wp:inline distT="0" distB="0" distL="0" distR="0">
            <wp:extent cx="3976370" cy="1622425"/>
            <wp:effectExtent l="0" t="0" r="0" b="0"/>
            <wp:docPr id="276" name="图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图片 27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4039855" cy="1648226"/>
                    </a:xfrm>
                    <a:prstGeom prst="rect">
                      <a:avLst/>
                    </a:prstGeom>
                    <a:noFill/>
                  </pic:spPr>
                </pic:pic>
              </a:graphicData>
            </a:graphic>
          </wp:inline>
        </w:drawing>
      </w:r>
    </w:p>
    <w:p>
      <w:pPr>
        <w:spacing w:line="240" w:lineRule="auto"/>
        <w:jc w:val="center"/>
        <w:rPr>
          <w:rFonts w:ascii="黑体" w:hAnsi="黑体" w:eastAsia="黑体"/>
          <w:sz w:val="18"/>
          <w:szCs w:val="18"/>
        </w:rPr>
      </w:pPr>
      <w:r>
        <w:rPr>
          <w:rFonts w:ascii="黑体" w:hAnsi="黑体" w:eastAsia="黑体"/>
          <w:sz w:val="18"/>
          <w:szCs w:val="18"/>
        </w:rPr>
        <w:t xml:space="preserve">  </w:t>
      </w:r>
      <w:r>
        <w:rPr>
          <w:rFonts w:hint="eastAsia" w:ascii="黑体" w:hAnsi="黑体" w:eastAsia="黑体"/>
          <w:sz w:val="18"/>
          <w:szCs w:val="18"/>
          <w:lang w:eastAsia="zh-CN"/>
        </w:rPr>
        <w:t>（</w:t>
      </w:r>
      <w:r>
        <w:rPr>
          <w:rFonts w:hint="eastAsia" w:ascii="黑体" w:hAnsi="黑体" w:eastAsia="黑体"/>
          <w:sz w:val="18"/>
          <w:szCs w:val="18"/>
        </w:rPr>
        <w:t xml:space="preserve">a）顶层中间节点          </w:t>
      </w:r>
      <w:r>
        <w:rPr>
          <w:rFonts w:ascii="黑体" w:hAnsi="黑体" w:eastAsia="黑体"/>
          <w:sz w:val="18"/>
          <w:szCs w:val="18"/>
        </w:rPr>
        <w:t xml:space="preserve">       </w:t>
      </w:r>
      <w:r>
        <w:rPr>
          <w:rFonts w:hint="eastAsia" w:ascii="黑体" w:hAnsi="黑体" w:eastAsia="黑体"/>
          <w:sz w:val="18"/>
          <w:szCs w:val="18"/>
        </w:rPr>
        <w:t xml:space="preserve">    </w:t>
      </w:r>
      <w:r>
        <w:rPr>
          <w:rFonts w:hint="eastAsia" w:ascii="黑体" w:hAnsi="黑体" w:eastAsia="黑体"/>
          <w:sz w:val="18"/>
          <w:szCs w:val="18"/>
          <w:lang w:eastAsia="zh-CN"/>
        </w:rPr>
        <w:t>（</w:t>
      </w:r>
      <w:r>
        <w:rPr>
          <w:rFonts w:hint="eastAsia" w:ascii="黑体" w:hAnsi="黑体" w:eastAsia="黑体"/>
          <w:sz w:val="18"/>
          <w:szCs w:val="18"/>
        </w:rPr>
        <w:t>b）预制柱、梁顶层边节点连接</w:t>
      </w:r>
    </w:p>
    <w:p>
      <w:pPr>
        <w:pStyle w:val="58"/>
        <w:ind w:firstLine="0" w:firstLineChars="0"/>
        <w:jc w:val="center"/>
        <w:rPr>
          <w:rFonts w:ascii="黑体" w:hAnsi="黑体" w:eastAsia="黑体"/>
          <w:sz w:val="18"/>
          <w:szCs w:val="18"/>
        </w:rPr>
      </w:pPr>
      <w:r>
        <w:rPr>
          <w:rFonts w:ascii="黑体" w:hAnsi="黑体" w:eastAsia="黑体"/>
          <w:sz w:val="18"/>
          <w:szCs w:val="18"/>
        </w:rPr>
        <w:drawing>
          <wp:inline distT="0" distB="0" distL="0" distR="0">
            <wp:extent cx="3890010" cy="1861185"/>
            <wp:effectExtent l="0" t="0" r="0" b="0"/>
            <wp:docPr id="277" name="图片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27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3964503" cy="1896606"/>
                    </a:xfrm>
                    <a:prstGeom prst="rect">
                      <a:avLst/>
                    </a:prstGeom>
                    <a:noFill/>
                  </pic:spPr>
                </pic:pic>
              </a:graphicData>
            </a:graphic>
          </wp:inline>
        </w:drawing>
      </w:r>
    </w:p>
    <w:p>
      <w:pPr>
        <w:spacing w:line="240" w:lineRule="auto"/>
        <w:jc w:val="center"/>
        <w:rPr>
          <w:rFonts w:ascii="黑体" w:hAnsi="黑体" w:eastAsia="黑体"/>
          <w:sz w:val="18"/>
          <w:szCs w:val="18"/>
        </w:rPr>
      </w:pPr>
      <w:r>
        <w:rPr>
          <w:rFonts w:hint="eastAsia" w:ascii="黑体" w:hAnsi="黑体" w:eastAsia="黑体"/>
          <w:sz w:val="18"/>
          <w:szCs w:val="18"/>
          <w:lang w:eastAsia="zh-CN"/>
        </w:rPr>
        <w:t>（</w:t>
      </w:r>
      <w:r>
        <w:rPr>
          <w:rFonts w:hint="eastAsia" w:ascii="黑体" w:hAnsi="黑体" w:eastAsia="黑体"/>
          <w:sz w:val="18"/>
          <w:szCs w:val="18"/>
        </w:rPr>
        <w:t>c）现浇柱和预制梁顶层边节点连接</w:t>
      </w:r>
    </w:p>
    <w:p>
      <w:pPr>
        <w:pStyle w:val="58"/>
        <w:ind w:firstLine="0" w:firstLineChars="0"/>
        <w:jc w:val="center"/>
        <w:rPr>
          <w:rFonts w:ascii="黑体" w:hAnsi="黑体" w:eastAsia="黑体"/>
        </w:rPr>
      </w:pPr>
      <w:r>
        <w:rPr>
          <w:rFonts w:ascii="黑体" w:hAnsi="黑体" w:eastAsia="黑体"/>
        </w:rPr>
        <w:drawing>
          <wp:inline distT="0" distB="0" distL="0" distR="0">
            <wp:extent cx="2320290" cy="1819275"/>
            <wp:effectExtent l="0" t="0" r="0" b="0"/>
            <wp:docPr id="278"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27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a:xfrm>
                      <a:off x="0" y="0"/>
                      <a:ext cx="2365106" cy="1854362"/>
                    </a:xfrm>
                    <a:prstGeom prst="rect">
                      <a:avLst/>
                    </a:prstGeom>
                    <a:noFill/>
                  </pic:spPr>
                </pic:pic>
              </a:graphicData>
            </a:graphic>
          </wp:inline>
        </w:drawing>
      </w:r>
    </w:p>
    <w:p>
      <w:pPr>
        <w:spacing w:line="240" w:lineRule="auto"/>
        <w:jc w:val="center"/>
        <w:rPr>
          <w:rFonts w:ascii="黑体" w:hAnsi="黑体" w:eastAsia="黑体"/>
          <w:sz w:val="18"/>
          <w:szCs w:val="18"/>
        </w:rPr>
      </w:pPr>
      <w:r>
        <w:rPr>
          <w:rFonts w:hint="eastAsia" w:ascii="黑体" w:hAnsi="黑体" w:eastAsia="黑体"/>
          <w:sz w:val="18"/>
          <w:szCs w:val="18"/>
          <w:lang w:eastAsia="zh-CN"/>
        </w:rPr>
        <w:t>（</w:t>
      </w:r>
      <w:r>
        <w:rPr>
          <w:rFonts w:hint="eastAsia" w:ascii="黑体" w:hAnsi="黑体" w:eastAsia="黑体"/>
          <w:sz w:val="18"/>
          <w:szCs w:val="18"/>
        </w:rPr>
        <w:t>d）中间层中间节点</w:t>
      </w:r>
    </w:p>
    <w:p>
      <w:pPr>
        <w:pStyle w:val="58"/>
        <w:ind w:firstLine="0" w:firstLineChars="0"/>
        <w:jc w:val="center"/>
        <w:rPr>
          <w:rFonts w:ascii="黑体" w:hAnsi="黑体" w:eastAsia="黑体"/>
          <w:sz w:val="18"/>
          <w:szCs w:val="18"/>
        </w:rPr>
      </w:pPr>
      <w:r>
        <w:rPr>
          <w:rFonts w:ascii="黑体" w:hAnsi="黑体" w:eastAsia="黑体"/>
          <w:sz w:val="18"/>
          <w:szCs w:val="18"/>
        </w:rPr>
        <w:drawing>
          <wp:inline distT="0" distB="0" distL="0" distR="0">
            <wp:extent cx="3683000" cy="2080895"/>
            <wp:effectExtent l="0" t="0" r="0" b="0"/>
            <wp:docPr id="279" name="图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图片 279"/>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3723989" cy="2103792"/>
                    </a:xfrm>
                    <a:prstGeom prst="rect">
                      <a:avLst/>
                    </a:prstGeom>
                    <a:noFill/>
                  </pic:spPr>
                </pic:pic>
              </a:graphicData>
            </a:graphic>
          </wp:inline>
        </w:drawing>
      </w:r>
    </w:p>
    <w:p>
      <w:pPr>
        <w:spacing w:line="240" w:lineRule="auto"/>
        <w:jc w:val="center"/>
        <w:rPr>
          <w:rFonts w:ascii="黑体" w:hAnsi="黑体" w:eastAsia="黑体"/>
          <w:sz w:val="18"/>
          <w:szCs w:val="18"/>
        </w:rPr>
      </w:pPr>
      <w:r>
        <w:rPr>
          <w:rFonts w:hint="eastAsia" w:ascii="黑体" w:hAnsi="黑体" w:eastAsia="黑体"/>
          <w:sz w:val="18"/>
          <w:szCs w:val="18"/>
          <w:lang w:eastAsia="zh-CN"/>
        </w:rPr>
        <w:t>（</w:t>
      </w:r>
      <w:r>
        <w:rPr>
          <w:rFonts w:hint="eastAsia" w:ascii="黑体" w:hAnsi="黑体" w:eastAsia="黑体"/>
          <w:sz w:val="18"/>
          <w:szCs w:val="18"/>
        </w:rPr>
        <w:t xml:space="preserve">e）中间层边节点1         </w:t>
      </w:r>
      <w:r>
        <w:rPr>
          <w:rFonts w:ascii="黑体" w:hAnsi="黑体" w:eastAsia="黑体"/>
          <w:sz w:val="18"/>
          <w:szCs w:val="18"/>
        </w:rPr>
        <w:t xml:space="preserve">            </w:t>
      </w:r>
      <w:r>
        <w:rPr>
          <w:rFonts w:hint="eastAsia" w:ascii="黑体" w:hAnsi="黑体" w:eastAsia="黑体"/>
          <w:sz w:val="18"/>
          <w:szCs w:val="18"/>
        </w:rPr>
        <w:t xml:space="preserve">      </w:t>
      </w:r>
      <w:r>
        <w:rPr>
          <w:rFonts w:hint="eastAsia" w:ascii="黑体" w:hAnsi="黑体" w:eastAsia="黑体"/>
          <w:sz w:val="18"/>
          <w:szCs w:val="18"/>
          <w:lang w:eastAsia="zh-CN"/>
        </w:rPr>
        <w:t>（</w:t>
      </w:r>
      <w:r>
        <w:rPr>
          <w:rFonts w:hint="eastAsia" w:ascii="黑体" w:hAnsi="黑体" w:eastAsia="黑体"/>
          <w:sz w:val="18"/>
          <w:szCs w:val="18"/>
        </w:rPr>
        <w:t>f）中间层边节点2</w:t>
      </w:r>
    </w:p>
    <w:p>
      <w:pPr>
        <w:pStyle w:val="58"/>
        <w:ind w:firstLine="0" w:firstLineChars="0"/>
        <w:jc w:val="center"/>
        <w:rPr>
          <w:rFonts w:ascii="黑体" w:hAnsi="黑体" w:eastAsia="黑体"/>
          <w:sz w:val="18"/>
          <w:szCs w:val="18"/>
        </w:rPr>
      </w:pPr>
      <w:r>
        <w:rPr>
          <w:rFonts w:ascii="黑体" w:hAnsi="黑体" w:eastAsia="黑体"/>
          <w:sz w:val="18"/>
          <w:szCs w:val="18"/>
        </w:rPr>
        <w:drawing>
          <wp:inline distT="0" distB="0" distL="0" distR="0">
            <wp:extent cx="3622675" cy="1556385"/>
            <wp:effectExtent l="0" t="0" r="0" b="0"/>
            <wp:docPr id="280" name="图片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图片 280"/>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a:xfrm>
                      <a:off x="0" y="0"/>
                      <a:ext cx="3734631" cy="1604601"/>
                    </a:xfrm>
                    <a:prstGeom prst="rect">
                      <a:avLst/>
                    </a:prstGeom>
                    <a:noFill/>
                  </pic:spPr>
                </pic:pic>
              </a:graphicData>
            </a:graphic>
          </wp:inline>
        </w:drawing>
      </w:r>
    </w:p>
    <w:p>
      <w:pPr>
        <w:spacing w:line="240" w:lineRule="auto"/>
        <w:jc w:val="center"/>
        <w:rPr>
          <w:rFonts w:ascii="黑体" w:hAnsi="黑体" w:eastAsia="黑体"/>
          <w:sz w:val="18"/>
          <w:szCs w:val="18"/>
        </w:rPr>
      </w:pPr>
      <w:r>
        <w:rPr>
          <w:rFonts w:hint="eastAsia" w:ascii="黑体" w:hAnsi="黑体" w:eastAsia="黑体"/>
          <w:sz w:val="18"/>
          <w:szCs w:val="18"/>
          <w:lang w:eastAsia="zh-CN"/>
        </w:rPr>
        <w:t>（</w:t>
      </w:r>
      <w:r>
        <w:rPr>
          <w:rFonts w:hint="eastAsia" w:ascii="黑体" w:hAnsi="黑体" w:eastAsia="黑体"/>
          <w:sz w:val="18"/>
          <w:szCs w:val="18"/>
        </w:rPr>
        <w:t xml:space="preserve">g）中间节点U形连接钢筋 </w:t>
      </w:r>
      <w:r>
        <w:rPr>
          <w:rFonts w:ascii="黑体" w:hAnsi="黑体" w:eastAsia="黑体"/>
          <w:sz w:val="18"/>
          <w:szCs w:val="18"/>
        </w:rPr>
        <w:t xml:space="preserve">    </w:t>
      </w:r>
      <w:r>
        <w:rPr>
          <w:rFonts w:hint="eastAsia" w:ascii="黑体" w:hAnsi="黑体" w:eastAsia="黑体"/>
          <w:sz w:val="18"/>
          <w:szCs w:val="18"/>
          <w:lang w:eastAsia="zh-CN"/>
        </w:rPr>
        <w:t>（</w:t>
      </w:r>
      <w:r>
        <w:rPr>
          <w:rFonts w:hint="eastAsia" w:ascii="黑体" w:hAnsi="黑体" w:eastAsia="黑体"/>
          <w:sz w:val="18"/>
          <w:szCs w:val="18"/>
        </w:rPr>
        <w:t xml:space="preserve">h）边节点U形连接钢筋1  </w:t>
      </w:r>
      <w:r>
        <w:rPr>
          <w:rFonts w:ascii="黑体" w:hAnsi="黑体" w:eastAsia="黑体"/>
          <w:sz w:val="18"/>
          <w:szCs w:val="18"/>
        </w:rPr>
        <w:t xml:space="preserve">  </w:t>
      </w:r>
      <w:r>
        <w:rPr>
          <w:rFonts w:hint="eastAsia" w:ascii="黑体" w:hAnsi="黑体" w:eastAsia="黑体"/>
          <w:sz w:val="18"/>
          <w:szCs w:val="18"/>
          <w:lang w:eastAsia="zh-CN"/>
        </w:rPr>
        <w:t>（</w:t>
      </w:r>
      <w:r>
        <w:rPr>
          <w:rFonts w:hint="eastAsia" w:ascii="黑体" w:hAnsi="黑体" w:eastAsia="黑体"/>
          <w:sz w:val="18"/>
          <w:szCs w:val="18"/>
        </w:rPr>
        <w:t>i）边节点U形连接钢筋2</w:t>
      </w:r>
    </w:p>
    <w:p>
      <w:pPr>
        <w:widowControl/>
        <w:autoSpaceDE w:val="0"/>
        <w:autoSpaceDN w:val="0"/>
        <w:adjustRightInd/>
        <w:spacing w:line="240" w:lineRule="auto"/>
        <w:ind w:left="780" w:leftChars="200" w:hanging="360" w:hangingChars="200"/>
        <w:jc w:val="left"/>
        <w:rPr>
          <w:rFonts w:ascii="宋体" w:hAnsi="Times New Roman"/>
          <w:bCs/>
          <w:kern w:val="0"/>
          <w:sz w:val="18"/>
          <w:szCs w:val="18"/>
        </w:rPr>
      </w:pPr>
      <w:r>
        <w:rPr>
          <w:rFonts w:hint="eastAsia" w:ascii="宋体" w:hAnsi="Times New Roman"/>
          <w:bCs/>
          <w:kern w:val="0"/>
          <w:sz w:val="18"/>
          <w:szCs w:val="18"/>
        </w:rPr>
        <w:t>标引序号说明：</w:t>
      </w:r>
    </w:p>
    <w:p>
      <w:pPr>
        <w:widowControl/>
        <w:autoSpaceDE w:val="0"/>
        <w:autoSpaceDN w:val="0"/>
        <w:adjustRightInd/>
        <w:spacing w:line="240" w:lineRule="auto"/>
        <w:ind w:left="780" w:leftChars="200" w:hanging="360" w:hangingChars="200"/>
        <w:jc w:val="left"/>
        <w:rPr>
          <w:rFonts w:ascii="宋体" w:hAnsi="宋体"/>
          <w:color w:val="000000"/>
          <w:sz w:val="18"/>
          <w:szCs w:val="18"/>
        </w:rPr>
      </w:pPr>
      <w:r>
        <w:rPr>
          <w:rFonts w:ascii="宋体" w:hAnsi="宋体"/>
          <w:sz w:val="18"/>
          <w:szCs w:val="18"/>
        </w:rPr>
        <w:t>1</w:t>
      </w:r>
      <w:r>
        <w:rPr>
          <w:rFonts w:ascii="宋体" w:hAnsi="宋体"/>
          <w:sz w:val="18"/>
          <w:szCs w:val="18"/>
        </w:rPr>
        <w:softHyphen/>
      </w:r>
      <w:r>
        <w:rPr>
          <w:rFonts w:ascii="Times New Roman" w:hAnsi="Times New Roman"/>
          <w:color w:val="000000"/>
          <w:sz w:val="18"/>
          <w:szCs w:val="18"/>
        </w:rPr>
        <w:t>——</w:t>
      </w:r>
      <w:r>
        <w:rPr>
          <w:rFonts w:hint="eastAsia" w:ascii="宋体" w:hAnsi="宋体"/>
          <w:color w:val="000000"/>
          <w:sz w:val="18"/>
          <w:szCs w:val="18"/>
        </w:rPr>
        <w:t>叠合层；</w:t>
      </w:r>
    </w:p>
    <w:p>
      <w:pPr>
        <w:widowControl/>
        <w:autoSpaceDE w:val="0"/>
        <w:autoSpaceDN w:val="0"/>
        <w:adjustRightInd/>
        <w:spacing w:line="240" w:lineRule="auto"/>
        <w:ind w:left="780" w:leftChars="200" w:hanging="360" w:hangingChars="200"/>
        <w:jc w:val="left"/>
        <w:rPr>
          <w:rFonts w:ascii="宋体" w:hAnsi="宋体"/>
          <w:color w:val="000000"/>
          <w:sz w:val="18"/>
          <w:szCs w:val="18"/>
        </w:rPr>
      </w:pPr>
      <w:r>
        <w:rPr>
          <w:rFonts w:hint="eastAsia" w:ascii="宋体" w:hAnsi="宋体"/>
          <w:color w:val="000000"/>
          <w:sz w:val="18"/>
          <w:szCs w:val="18"/>
        </w:rPr>
        <w:t>2</w:t>
      </w:r>
      <w:r>
        <w:rPr>
          <w:rFonts w:ascii="Times New Roman" w:hAnsi="Times New Roman"/>
          <w:color w:val="000000"/>
          <w:sz w:val="18"/>
          <w:szCs w:val="18"/>
        </w:rPr>
        <w:t>——</w:t>
      </w:r>
      <w:r>
        <w:rPr>
          <w:rFonts w:hint="eastAsia" w:ascii="宋体" w:hAnsi="宋体"/>
          <w:color w:val="000000"/>
          <w:sz w:val="18"/>
          <w:szCs w:val="18"/>
        </w:rPr>
        <w:t>预制梁；</w:t>
      </w:r>
    </w:p>
    <w:p>
      <w:pPr>
        <w:widowControl/>
        <w:autoSpaceDE w:val="0"/>
        <w:autoSpaceDN w:val="0"/>
        <w:adjustRightInd/>
        <w:spacing w:line="240" w:lineRule="auto"/>
        <w:ind w:left="780" w:leftChars="200" w:hanging="360" w:hangingChars="200"/>
        <w:jc w:val="left"/>
        <w:rPr>
          <w:rFonts w:ascii="宋体" w:hAnsi="Times New Roman"/>
          <w:bCs/>
          <w:kern w:val="0"/>
          <w:sz w:val="18"/>
          <w:szCs w:val="18"/>
        </w:rPr>
      </w:pPr>
      <w:r>
        <w:rPr>
          <w:rFonts w:ascii="宋体" w:hAnsi="Times New Roman"/>
          <w:bCs/>
          <w:kern w:val="0"/>
          <w:sz w:val="18"/>
          <w:szCs w:val="18"/>
        </w:rPr>
        <w:t>3</w:t>
      </w:r>
      <w:r>
        <w:rPr>
          <w:rFonts w:ascii="Times New Roman" w:hAnsi="Times New Roman"/>
          <w:bCs/>
          <w:kern w:val="0"/>
          <w:sz w:val="18"/>
          <w:szCs w:val="18"/>
        </w:rPr>
        <w:t>——</w:t>
      </w:r>
      <w:r>
        <w:rPr>
          <w:rFonts w:hint="eastAsia" w:ascii="宋体" w:hAnsi="Times New Roman"/>
          <w:bCs/>
          <w:kern w:val="0"/>
          <w:sz w:val="18"/>
          <w:szCs w:val="18"/>
        </w:rPr>
        <w:t>U形连接钢筋；</w:t>
      </w:r>
    </w:p>
    <w:p>
      <w:pPr>
        <w:widowControl/>
        <w:autoSpaceDE w:val="0"/>
        <w:autoSpaceDN w:val="0"/>
        <w:adjustRightInd/>
        <w:spacing w:line="240" w:lineRule="auto"/>
        <w:ind w:left="780" w:leftChars="200" w:hanging="360" w:hangingChars="200"/>
        <w:jc w:val="left"/>
        <w:rPr>
          <w:rFonts w:ascii="宋体" w:hAnsi="宋体"/>
          <w:color w:val="000000"/>
          <w:sz w:val="18"/>
          <w:szCs w:val="18"/>
        </w:rPr>
      </w:pPr>
      <w:r>
        <w:rPr>
          <w:rFonts w:ascii="宋体" w:hAnsi="宋体"/>
          <w:color w:val="000000"/>
          <w:sz w:val="18"/>
          <w:szCs w:val="18"/>
        </w:rPr>
        <w:t>4</w:t>
      </w:r>
      <w:r>
        <w:rPr>
          <w:rFonts w:ascii="Times New Roman" w:hAnsi="Times New Roman"/>
          <w:color w:val="000000"/>
          <w:sz w:val="18"/>
          <w:szCs w:val="18"/>
        </w:rPr>
        <w:t>——</w:t>
      </w:r>
      <w:r>
        <w:rPr>
          <w:rFonts w:hint="eastAsia" w:ascii="宋体" w:hAnsi="宋体"/>
          <w:color w:val="000000"/>
          <w:sz w:val="18"/>
          <w:szCs w:val="18"/>
        </w:rPr>
        <w:t>预制梁中伸出、弯折的钢绞线；</w:t>
      </w:r>
    </w:p>
    <w:p>
      <w:pPr>
        <w:widowControl/>
        <w:autoSpaceDE w:val="0"/>
        <w:autoSpaceDN w:val="0"/>
        <w:adjustRightInd/>
        <w:spacing w:line="240" w:lineRule="auto"/>
        <w:ind w:left="780" w:leftChars="200" w:hanging="360" w:hangingChars="200"/>
        <w:jc w:val="left"/>
        <w:rPr>
          <w:rFonts w:ascii="宋体" w:hAnsi="Times New Roman"/>
          <w:bCs/>
          <w:kern w:val="0"/>
          <w:sz w:val="18"/>
          <w:szCs w:val="18"/>
        </w:rPr>
      </w:pPr>
      <w:r>
        <w:rPr>
          <w:rFonts w:hint="eastAsia" w:ascii="宋体" w:hAnsi="Times New Roman"/>
          <w:bCs/>
          <w:kern w:val="0"/>
          <w:sz w:val="18"/>
          <w:szCs w:val="18"/>
        </w:rPr>
        <w:t>5</w:t>
      </w:r>
      <w:r>
        <w:rPr>
          <w:rFonts w:ascii="宋体" w:hAnsi="Times New Roman"/>
          <w:bCs/>
          <w:kern w:val="0"/>
          <w:sz w:val="18"/>
          <w:szCs w:val="18"/>
        </w:rPr>
        <w:t>——</w:t>
      </w:r>
      <w:r>
        <w:rPr>
          <w:rFonts w:hint="eastAsia" w:ascii="宋体" w:hAnsi="Times New Roman"/>
          <w:bCs/>
          <w:kern w:val="0"/>
          <w:sz w:val="18"/>
          <w:szCs w:val="18"/>
        </w:rPr>
        <w:t>梁端后浇段长度；</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6</w:t>
      </w:r>
      <w:r>
        <w:rPr>
          <w:rFonts w:ascii="Times New Roman" w:hAnsi="Times New Roman"/>
          <w:color w:val="000000"/>
          <w:sz w:val="18"/>
          <w:szCs w:val="18"/>
        </w:rPr>
        <w:t>——</w:t>
      </w:r>
      <w:r>
        <w:rPr>
          <w:rFonts w:hint="eastAsia" w:ascii="宋体" w:hAnsi="宋体"/>
          <w:color w:val="000000"/>
          <w:sz w:val="18"/>
          <w:szCs w:val="18"/>
        </w:rPr>
        <w:t>钢绞线弯锚长度；</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7</w:t>
      </w:r>
      <w:r>
        <w:rPr>
          <w:rFonts w:ascii="Times New Roman" w:hAnsi="Times New Roman"/>
          <w:color w:val="000000"/>
          <w:sz w:val="18"/>
          <w:szCs w:val="18"/>
        </w:rPr>
        <w:t>——</w:t>
      </w:r>
      <w:r>
        <w:rPr>
          <w:rFonts w:hint="eastAsia" w:ascii="宋体" w:hAnsi="宋体"/>
          <w:color w:val="000000"/>
          <w:sz w:val="18"/>
          <w:szCs w:val="18"/>
        </w:rPr>
        <w:t>框架柱；</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8</w:t>
      </w:r>
      <w:r>
        <w:rPr>
          <w:rFonts w:ascii="Times New Roman" w:hAnsi="Times New Roman"/>
          <w:color w:val="000000"/>
          <w:sz w:val="18"/>
          <w:szCs w:val="18"/>
        </w:rPr>
        <w:t>——</w:t>
      </w:r>
      <w:r>
        <w:rPr>
          <w:rFonts w:hint="eastAsia" w:ascii="宋体" w:hAnsi="宋体"/>
          <w:color w:val="000000"/>
          <w:sz w:val="18"/>
          <w:szCs w:val="18"/>
        </w:rPr>
        <w:t>中柱；</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9</w:t>
      </w:r>
      <w:r>
        <w:rPr>
          <w:rFonts w:ascii="Times New Roman" w:hAnsi="Times New Roman"/>
          <w:color w:val="000000"/>
          <w:sz w:val="18"/>
          <w:szCs w:val="18"/>
        </w:rPr>
        <w:t>——</w:t>
      </w:r>
      <w:r>
        <w:rPr>
          <w:rFonts w:hint="eastAsia" w:ascii="宋体" w:hAnsi="宋体"/>
          <w:color w:val="000000"/>
          <w:sz w:val="18"/>
          <w:szCs w:val="18"/>
        </w:rPr>
        <w:t>边柱；</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1</w:t>
      </w:r>
      <w:r>
        <w:rPr>
          <w:rFonts w:ascii="宋体" w:hAnsi="宋体"/>
          <w:color w:val="000000"/>
          <w:sz w:val="18"/>
          <w:szCs w:val="18"/>
        </w:rPr>
        <w:t>0</w:t>
      </w:r>
      <w:r>
        <w:rPr>
          <w:rFonts w:ascii="Times New Roman" w:hAnsi="Times New Roman"/>
          <w:color w:val="000000"/>
          <w:sz w:val="18"/>
          <w:szCs w:val="18"/>
        </w:rPr>
        <w:t>——</w:t>
      </w:r>
      <w:r>
        <w:rPr>
          <w:rFonts w:hint="eastAsia" w:ascii="宋体" w:hAnsi="宋体"/>
          <w:color w:val="000000"/>
          <w:sz w:val="18"/>
          <w:szCs w:val="18"/>
        </w:rPr>
        <w:t>钢筋锚固板；</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1</w:t>
      </w:r>
      <w:r>
        <w:rPr>
          <w:rFonts w:ascii="宋体" w:hAnsi="宋体"/>
          <w:color w:val="000000"/>
          <w:sz w:val="18"/>
          <w:szCs w:val="18"/>
        </w:rPr>
        <w:t>1</w:t>
      </w:r>
      <w:r>
        <w:rPr>
          <w:rFonts w:ascii="Times New Roman" w:hAnsi="Times New Roman"/>
          <w:color w:val="000000"/>
          <w:sz w:val="18"/>
          <w:szCs w:val="18"/>
        </w:rPr>
        <w:t>——</w:t>
      </w:r>
      <w:r>
        <w:rPr>
          <w:rFonts w:hint="eastAsia" w:ascii="宋体" w:hAnsi="宋体"/>
          <w:color w:val="000000"/>
          <w:sz w:val="18"/>
          <w:szCs w:val="18"/>
        </w:rPr>
        <w:t>机械套筒；</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1</w:t>
      </w:r>
      <w:r>
        <w:rPr>
          <w:rFonts w:ascii="宋体" w:hAnsi="宋体"/>
          <w:color w:val="000000"/>
          <w:sz w:val="18"/>
          <w:szCs w:val="18"/>
        </w:rPr>
        <w:t>2</w:t>
      </w:r>
      <w:r>
        <w:rPr>
          <w:rFonts w:ascii="Times New Roman" w:hAnsi="Times New Roman"/>
          <w:color w:val="000000"/>
          <w:sz w:val="18"/>
          <w:szCs w:val="18"/>
        </w:rPr>
        <w:t>——</w:t>
      </w:r>
      <w:r>
        <w:rPr>
          <w:rFonts w:hint="eastAsia" w:ascii="宋体" w:hAnsi="宋体"/>
          <w:color w:val="000000"/>
          <w:sz w:val="18"/>
          <w:szCs w:val="18"/>
        </w:rPr>
        <w:t>伸入节点钢筋；</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1</w:t>
      </w:r>
      <w:r>
        <w:rPr>
          <w:rFonts w:ascii="宋体" w:hAnsi="宋体"/>
          <w:color w:val="000000"/>
          <w:sz w:val="18"/>
          <w:szCs w:val="18"/>
        </w:rPr>
        <w:t>3</w:t>
      </w:r>
      <w:r>
        <w:rPr>
          <w:rFonts w:ascii="Times New Roman" w:hAnsi="Times New Roman"/>
          <w:color w:val="000000"/>
          <w:sz w:val="18"/>
          <w:szCs w:val="18"/>
        </w:rPr>
        <w:t>——</w:t>
      </w:r>
      <w:r>
        <w:rPr>
          <w:rFonts w:hint="eastAsia" w:ascii="宋体" w:hAnsi="宋体"/>
          <w:color w:val="000000"/>
          <w:sz w:val="18"/>
          <w:szCs w:val="18"/>
        </w:rPr>
        <w:t>预制梁底普通钢筋；</w:t>
      </w:r>
    </w:p>
    <w:p>
      <w:pPr>
        <w:spacing w:line="240" w:lineRule="auto"/>
        <w:ind w:firstLine="450" w:firstLineChars="250"/>
        <w:rPr>
          <w:rFonts w:ascii="宋体" w:hAnsi="宋体"/>
          <w:color w:val="000000"/>
          <w:sz w:val="18"/>
          <w:szCs w:val="18"/>
        </w:rPr>
      </w:pPr>
      <w:r>
        <w:rPr>
          <w:rFonts w:ascii="Times New Roman" w:hAnsi="Times New Roman"/>
          <w:i/>
          <w:iCs/>
          <w:sz w:val="18"/>
          <w:szCs w:val="18"/>
        </w:rPr>
        <w:t>l</w:t>
      </w:r>
      <w:r>
        <w:rPr>
          <w:rFonts w:ascii="Times New Roman" w:hAnsi="Times New Roman"/>
          <w:sz w:val="18"/>
          <w:szCs w:val="18"/>
          <w:vertAlign w:val="subscript"/>
        </w:rPr>
        <w:t>abE</w:t>
      </w:r>
      <w:r>
        <w:rPr>
          <w:rFonts w:ascii="Times New Roman" w:hAnsi="Times New Roman"/>
          <w:color w:val="000000"/>
          <w:sz w:val="18"/>
          <w:szCs w:val="18"/>
        </w:rPr>
        <w:t>——</w:t>
      </w:r>
      <w:r>
        <w:rPr>
          <w:rFonts w:hint="eastAsia" w:ascii="宋体" w:hAnsi="宋体"/>
          <w:color w:val="000000"/>
          <w:sz w:val="18"/>
          <w:szCs w:val="18"/>
        </w:rPr>
        <w:t>受拉钢筋基本抗震锚固长度；</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R</w:t>
      </w:r>
      <w:r>
        <w:rPr>
          <w:rFonts w:ascii="Times New Roman" w:hAnsi="Times New Roman"/>
          <w:color w:val="000000"/>
          <w:sz w:val="18"/>
          <w:szCs w:val="18"/>
        </w:rPr>
        <w:t>——</w:t>
      </w:r>
      <w:r>
        <w:rPr>
          <w:rFonts w:hint="eastAsia" w:ascii="宋体" w:hAnsi="宋体"/>
          <w:color w:val="000000"/>
          <w:sz w:val="18"/>
          <w:szCs w:val="18"/>
        </w:rPr>
        <w:t>U形连接钢筋弯折半径（外侧6d、内侧4d）。</w:t>
      </w:r>
    </w:p>
    <w:p>
      <w:pPr>
        <w:spacing w:before="156" w:beforeLines="50" w:after="156" w:afterLines="50" w:line="240" w:lineRule="auto"/>
        <w:jc w:val="center"/>
        <w:rPr>
          <w:rFonts w:ascii="黑体" w:hAnsi="黑体" w:eastAsia="黑体"/>
          <w:color w:val="000000"/>
        </w:rPr>
      </w:pPr>
      <w:r>
        <w:rPr>
          <w:rFonts w:hint="eastAsia" w:ascii="黑体" w:hAnsi="黑体" w:eastAsia="黑体"/>
          <w:color w:val="000000"/>
        </w:rPr>
        <w:t>图</w:t>
      </w:r>
      <w:r>
        <w:rPr>
          <w:rFonts w:ascii="黑体" w:hAnsi="黑体" w:eastAsia="黑体"/>
          <w:color w:val="000000"/>
        </w:rPr>
        <w:t>5</w:t>
      </w:r>
      <w:r>
        <w:rPr>
          <w:rFonts w:hint="eastAsia" w:ascii="黑体" w:hAnsi="黑体" w:eastAsia="黑体"/>
          <w:color w:val="000000"/>
        </w:rPr>
        <w:t xml:space="preserve"> 无凹槽梁柱节点浇筑前钢筋连接构造示意</w:t>
      </w:r>
    </w:p>
    <w:p>
      <w:pPr>
        <w:pStyle w:val="58"/>
        <w:ind w:firstLine="0" w:firstLineChars="0"/>
        <w:rPr>
          <w:rFonts w:hAnsi="黑体"/>
          <w:bCs/>
        </w:rPr>
      </w:pPr>
      <w:r>
        <w:rPr>
          <w:rFonts w:ascii="黑体" w:hAnsi="黑体" w:eastAsia="黑体"/>
        </w:rPr>
        <w:t>5</w:t>
      </w:r>
      <w:r>
        <w:rPr>
          <w:rFonts w:hint="eastAsia" w:ascii="黑体" w:hAnsi="黑体" w:eastAsia="黑体"/>
        </w:rPr>
        <w:t>.</w:t>
      </w:r>
      <w:r>
        <w:rPr>
          <w:rFonts w:ascii="黑体" w:hAnsi="黑体" w:eastAsia="黑体"/>
        </w:rPr>
        <w:t>6.5</w:t>
      </w:r>
      <w:r>
        <w:rPr>
          <w:rFonts w:hint="eastAsia" w:ascii="黑体" w:hAnsi="黑体" w:eastAsia="黑体"/>
        </w:rPr>
        <w:t xml:space="preserve"> </w:t>
      </w:r>
      <w:r>
        <w:rPr>
          <w:rFonts w:hint="eastAsia" w:hAnsi="黑体"/>
          <w:bCs/>
        </w:rPr>
        <w:t>次梁可采用缺口梁方式与主梁连接（图</w:t>
      </w:r>
      <w:r>
        <w:rPr>
          <w:rFonts w:hAnsi="黑体"/>
          <w:bCs/>
        </w:rPr>
        <w:t>6</w:t>
      </w:r>
      <w:r>
        <w:rPr>
          <w:rFonts w:hint="eastAsia" w:hAnsi="黑体"/>
          <w:bCs/>
        </w:rPr>
        <w:t>），简支于边梁的次梁顶部构造钢筋应锚入边梁，简支于中间主梁的次梁顶部构造钢筋应连续贯通于支座上部。并应符合下列规定：构造筋应贴梁两侧布置，直径同梁腰筋，且不少于两根直径12mm的钢筋，钢筋伸出长度距次梁边距离：当主梁未设置腰筋或设置构造腰筋时可取500mm，当主梁设置抗扭腰筋时可取</w:t>
      </w:r>
      <w:r>
        <w:rPr>
          <w:rFonts w:ascii="Times New Roman"/>
          <w:bCs/>
          <w:i/>
          <w:iCs/>
        </w:rPr>
        <w:t>l</w:t>
      </w:r>
      <w:r>
        <w:rPr>
          <w:rFonts w:ascii="Times New Roman"/>
          <w:bCs/>
          <w:i/>
          <w:iCs/>
          <w:vertAlign w:val="subscript"/>
        </w:rPr>
        <w:t>l</w:t>
      </w:r>
      <w:r>
        <w:rPr>
          <w:rFonts w:ascii="Times New Roman"/>
          <w:bCs/>
          <w:vertAlign w:val="subscript"/>
        </w:rPr>
        <w:t>e</w:t>
      </w:r>
      <w:r>
        <w:rPr>
          <w:rFonts w:hint="eastAsia" w:hAnsi="黑体"/>
          <w:bCs/>
        </w:rPr>
        <w:t>。</w:t>
      </w:r>
    </w:p>
    <w:p>
      <w:pPr>
        <w:pStyle w:val="58"/>
        <w:ind w:firstLine="0" w:firstLineChars="0"/>
        <w:rPr>
          <w:rFonts w:hAnsi="宋体"/>
          <w:color w:val="000000"/>
        </w:rPr>
      </w:pPr>
    </w:p>
    <w:p>
      <w:pPr>
        <w:spacing w:line="240" w:lineRule="auto"/>
        <w:jc w:val="center"/>
        <w:rPr>
          <w:rFonts w:ascii="宋体" w:hAnsi="宋体"/>
          <w:color w:val="000000"/>
        </w:rPr>
      </w:pPr>
      <w:r>
        <w:rPr>
          <w:rFonts w:ascii="宋体" w:hAnsi="宋体"/>
          <w:color w:val="000000"/>
        </w:rPr>
        <w:drawing>
          <wp:inline distT="0" distB="0" distL="0" distR="0">
            <wp:extent cx="2139315" cy="1345565"/>
            <wp:effectExtent l="0" t="0" r="0" b="0"/>
            <wp:docPr id="281" name="图片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图片 28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a:xfrm>
                      <a:off x="0" y="0"/>
                      <a:ext cx="2205333" cy="1387606"/>
                    </a:xfrm>
                    <a:prstGeom prst="rect">
                      <a:avLst/>
                    </a:prstGeom>
                    <a:noFill/>
                  </pic:spPr>
                </pic:pic>
              </a:graphicData>
            </a:graphic>
          </wp:inline>
        </w:drawing>
      </w:r>
    </w:p>
    <w:p>
      <w:pPr>
        <w:spacing w:line="240" w:lineRule="auto"/>
        <w:jc w:val="center"/>
        <w:rPr>
          <w:rFonts w:ascii="黑体" w:hAnsi="黑体" w:eastAsia="黑体"/>
          <w:sz w:val="18"/>
          <w:szCs w:val="18"/>
        </w:rPr>
      </w:pPr>
      <w:r>
        <w:rPr>
          <w:rFonts w:hint="eastAsia" w:ascii="黑体" w:hAnsi="黑体" w:eastAsia="黑体"/>
          <w:sz w:val="18"/>
          <w:szCs w:val="18"/>
          <w:lang w:eastAsia="zh-CN"/>
        </w:rPr>
        <w:t>（</w:t>
      </w:r>
      <w:r>
        <w:rPr>
          <w:rFonts w:ascii="黑体" w:hAnsi="黑体" w:eastAsia="黑体"/>
          <w:sz w:val="18"/>
          <w:szCs w:val="18"/>
        </w:rPr>
        <w:t>a) 次梁与边主梁的连接</w:t>
      </w:r>
    </w:p>
    <w:p>
      <w:pPr>
        <w:pStyle w:val="237"/>
        <w:rPr>
          <w:rFonts w:ascii="黑体" w:hAnsi="黑体" w:eastAsia="黑体"/>
          <w:sz w:val="18"/>
          <w:szCs w:val="18"/>
        </w:rPr>
      </w:pPr>
      <w:r>
        <w:rPr>
          <w:rFonts w:ascii="黑体" w:hAnsi="黑体" w:eastAsia="黑体"/>
          <w:sz w:val="18"/>
          <w:szCs w:val="18"/>
        </w:rPr>
        <w:drawing>
          <wp:inline distT="0" distB="0" distL="0" distR="0">
            <wp:extent cx="3208655" cy="1313815"/>
            <wp:effectExtent l="0" t="0" r="0" b="0"/>
            <wp:docPr id="282" name="图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图片 28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a:xfrm>
                      <a:off x="0" y="0"/>
                      <a:ext cx="3235288" cy="1324773"/>
                    </a:xfrm>
                    <a:prstGeom prst="rect">
                      <a:avLst/>
                    </a:prstGeom>
                    <a:noFill/>
                  </pic:spPr>
                </pic:pic>
              </a:graphicData>
            </a:graphic>
          </wp:inline>
        </w:drawing>
      </w:r>
    </w:p>
    <w:p>
      <w:pPr>
        <w:spacing w:line="240" w:lineRule="auto"/>
        <w:jc w:val="center"/>
        <w:rPr>
          <w:rFonts w:ascii="黑体" w:hAnsi="黑体" w:eastAsia="黑体"/>
          <w:sz w:val="18"/>
          <w:szCs w:val="18"/>
        </w:rPr>
      </w:pPr>
      <w:r>
        <w:rPr>
          <w:rFonts w:hint="eastAsia" w:ascii="黑体" w:hAnsi="黑体" w:eastAsia="黑体"/>
          <w:sz w:val="18"/>
          <w:szCs w:val="18"/>
          <w:lang w:eastAsia="zh-CN"/>
        </w:rPr>
        <w:t>（</w:t>
      </w:r>
      <w:r>
        <w:rPr>
          <w:rFonts w:ascii="黑体" w:hAnsi="黑体" w:eastAsia="黑体"/>
          <w:sz w:val="18"/>
          <w:szCs w:val="18"/>
        </w:rPr>
        <w:t>b）预制主梁缺口详图</w:t>
      </w:r>
    </w:p>
    <w:p>
      <w:pPr>
        <w:pStyle w:val="237"/>
        <w:rPr>
          <w:rFonts w:ascii="黑体" w:hAnsi="黑体" w:eastAsia="黑体"/>
          <w:sz w:val="18"/>
          <w:szCs w:val="18"/>
        </w:rPr>
      </w:pPr>
      <w:r>
        <w:rPr>
          <w:rFonts w:ascii="黑体" w:hAnsi="黑体" w:eastAsia="黑体"/>
          <w:sz w:val="18"/>
          <w:szCs w:val="18"/>
        </w:rPr>
        <w:drawing>
          <wp:inline distT="0" distB="0" distL="0" distR="0">
            <wp:extent cx="3044825" cy="1418590"/>
            <wp:effectExtent l="0" t="0" r="0" b="0"/>
            <wp:docPr id="283"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图片 28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a:xfrm>
                      <a:off x="0" y="0"/>
                      <a:ext cx="3081521" cy="1435926"/>
                    </a:xfrm>
                    <a:prstGeom prst="rect">
                      <a:avLst/>
                    </a:prstGeom>
                    <a:noFill/>
                  </pic:spPr>
                </pic:pic>
              </a:graphicData>
            </a:graphic>
          </wp:inline>
        </w:drawing>
      </w:r>
    </w:p>
    <w:p>
      <w:pPr>
        <w:spacing w:line="240" w:lineRule="auto"/>
        <w:jc w:val="center"/>
        <w:rPr>
          <w:rFonts w:ascii="黑体" w:hAnsi="黑体" w:eastAsia="黑体"/>
          <w:sz w:val="18"/>
          <w:szCs w:val="18"/>
        </w:rPr>
      </w:pPr>
      <w:r>
        <w:rPr>
          <w:rFonts w:hint="eastAsia" w:ascii="黑体" w:hAnsi="黑体" w:eastAsia="黑体"/>
          <w:sz w:val="18"/>
          <w:szCs w:val="18"/>
          <w:lang w:eastAsia="zh-CN"/>
        </w:rPr>
        <w:t>（</w:t>
      </w:r>
      <w:r>
        <w:rPr>
          <w:rFonts w:ascii="黑体" w:hAnsi="黑体" w:eastAsia="黑体"/>
          <w:sz w:val="18"/>
          <w:szCs w:val="18"/>
        </w:rPr>
        <w:t>c）次梁与中间主梁的连接</w:t>
      </w:r>
    </w:p>
    <w:p>
      <w:pPr>
        <w:widowControl/>
        <w:autoSpaceDE w:val="0"/>
        <w:autoSpaceDN w:val="0"/>
        <w:adjustRightInd/>
        <w:spacing w:line="240" w:lineRule="auto"/>
        <w:ind w:left="780" w:leftChars="200" w:hanging="360" w:hangingChars="200"/>
        <w:jc w:val="left"/>
        <w:rPr>
          <w:rFonts w:ascii="宋体" w:hAnsi="Times New Roman"/>
          <w:bCs/>
          <w:kern w:val="0"/>
          <w:sz w:val="18"/>
          <w:szCs w:val="18"/>
        </w:rPr>
      </w:pPr>
      <w:r>
        <w:rPr>
          <w:rFonts w:hint="eastAsia" w:ascii="宋体" w:hAnsi="Times New Roman"/>
          <w:bCs/>
          <w:kern w:val="0"/>
          <w:sz w:val="18"/>
          <w:szCs w:val="18"/>
        </w:rPr>
        <w:t>标引序号说明：</w:t>
      </w:r>
    </w:p>
    <w:p>
      <w:pPr>
        <w:widowControl/>
        <w:autoSpaceDE w:val="0"/>
        <w:autoSpaceDN w:val="0"/>
        <w:adjustRightInd/>
        <w:spacing w:line="240" w:lineRule="auto"/>
        <w:ind w:left="780" w:leftChars="200" w:hanging="360" w:hangingChars="200"/>
        <w:jc w:val="left"/>
        <w:rPr>
          <w:rFonts w:ascii="宋体" w:hAnsi="Times New Roman"/>
          <w:bCs/>
          <w:kern w:val="0"/>
          <w:sz w:val="18"/>
          <w:szCs w:val="18"/>
        </w:rPr>
      </w:pPr>
      <w:r>
        <w:rPr>
          <w:rFonts w:ascii="宋体" w:hAnsi="Times New Roman"/>
          <w:bCs/>
          <w:kern w:val="0"/>
          <w:sz w:val="18"/>
          <w:szCs w:val="18"/>
        </w:rPr>
        <w:t>b</w:t>
      </w:r>
      <w:r>
        <w:rPr>
          <w:rFonts w:ascii="Times New Roman" w:hAnsi="Times New Roman"/>
          <w:color w:val="000000"/>
          <w:sz w:val="18"/>
          <w:szCs w:val="18"/>
        </w:rPr>
        <w:t>——</w:t>
      </w:r>
      <w:r>
        <w:rPr>
          <w:rFonts w:hint="eastAsia" w:ascii="宋体" w:hAnsi="宋体"/>
          <w:color w:val="000000"/>
          <w:sz w:val="18"/>
          <w:szCs w:val="18"/>
        </w:rPr>
        <w:t>次梁宽；</w:t>
      </w:r>
    </w:p>
    <w:p>
      <w:pPr>
        <w:spacing w:line="240" w:lineRule="auto"/>
        <w:ind w:firstLine="450" w:firstLineChars="250"/>
        <w:rPr>
          <w:rFonts w:ascii="宋体" w:hAnsi="宋体"/>
          <w:color w:val="000000"/>
          <w:sz w:val="18"/>
          <w:szCs w:val="18"/>
        </w:rPr>
      </w:pPr>
      <w:r>
        <w:rPr>
          <w:rFonts w:ascii="宋体" w:hAnsi="宋体"/>
          <w:sz w:val="18"/>
          <w:szCs w:val="18"/>
        </w:rPr>
        <w:t>1</w:t>
      </w:r>
      <w:r>
        <w:rPr>
          <w:rFonts w:ascii="宋体" w:hAnsi="宋体"/>
          <w:sz w:val="18"/>
          <w:szCs w:val="18"/>
        </w:rPr>
        <w:softHyphen/>
      </w:r>
      <w:r>
        <w:rPr>
          <w:rFonts w:ascii="Times New Roman" w:hAnsi="Times New Roman"/>
          <w:color w:val="000000"/>
          <w:sz w:val="18"/>
          <w:szCs w:val="18"/>
        </w:rPr>
        <w:t>——</w:t>
      </w:r>
      <w:r>
        <w:rPr>
          <w:rFonts w:hint="eastAsia" w:ascii="宋体" w:hAnsi="宋体"/>
          <w:color w:val="000000"/>
          <w:sz w:val="18"/>
          <w:szCs w:val="18"/>
        </w:rPr>
        <w:t>梁底U形钢筋，可放两排（</w:t>
      </w:r>
      <w:r>
        <w:rPr>
          <w:rFonts w:ascii="Times New Roman" w:hAnsi="Times New Roman"/>
          <w:i/>
          <w:iCs/>
          <w:color w:val="000000"/>
          <w:sz w:val="18"/>
          <w:szCs w:val="18"/>
        </w:rPr>
        <w:t>A</w:t>
      </w:r>
      <w:r>
        <w:rPr>
          <w:rFonts w:ascii="Times New Roman" w:hAnsi="Times New Roman"/>
          <w:i/>
          <w:iCs/>
          <w:color w:val="000000"/>
          <w:sz w:val="18"/>
          <w:szCs w:val="18"/>
          <w:vertAlign w:val="subscript"/>
        </w:rPr>
        <w:t>l</w:t>
      </w:r>
      <w:r>
        <w:rPr>
          <w:rFonts w:ascii="Times New Roman" w:hAnsi="Times New Roman"/>
          <w:color w:val="000000"/>
          <w:sz w:val="18"/>
          <w:szCs w:val="18"/>
          <w:vertAlign w:val="subscript"/>
        </w:rPr>
        <w:t>1</w:t>
      </w:r>
      <w:r>
        <w:rPr>
          <w:rFonts w:hint="eastAsia" w:ascii="宋体" w:hAnsi="宋体"/>
          <w:color w:val="000000"/>
          <w:sz w:val="18"/>
          <w:szCs w:val="18"/>
        </w:rPr>
        <w:t>、</w:t>
      </w:r>
      <w:r>
        <w:rPr>
          <w:rFonts w:ascii="Times New Roman" w:hAnsi="Times New Roman"/>
          <w:i/>
          <w:iCs/>
          <w:color w:val="000000"/>
          <w:sz w:val="18"/>
          <w:szCs w:val="18"/>
        </w:rPr>
        <w:t>A</w:t>
      </w:r>
      <w:r>
        <w:rPr>
          <w:rFonts w:ascii="Times New Roman" w:hAnsi="Times New Roman"/>
          <w:i/>
          <w:iCs/>
          <w:color w:val="000000"/>
          <w:sz w:val="18"/>
          <w:szCs w:val="18"/>
          <w:vertAlign w:val="subscript"/>
        </w:rPr>
        <w:t>l</w:t>
      </w:r>
      <w:r>
        <w:rPr>
          <w:rFonts w:ascii="Times New Roman" w:hAnsi="Times New Roman"/>
          <w:color w:val="000000"/>
          <w:sz w:val="18"/>
          <w:szCs w:val="18"/>
          <w:vertAlign w:val="subscript"/>
        </w:rPr>
        <w:t>2</w:t>
      </w:r>
      <w:r>
        <w:rPr>
          <w:rFonts w:hint="eastAsia" w:ascii="宋体" w:hAnsi="宋体"/>
          <w:color w:val="000000"/>
          <w:sz w:val="18"/>
          <w:szCs w:val="18"/>
        </w:rPr>
        <w:t>）；</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2——凸出部位梁底纵筋（</w:t>
      </w:r>
      <w:r>
        <w:rPr>
          <w:rFonts w:ascii="Times New Roman" w:hAnsi="Times New Roman"/>
          <w:i/>
          <w:iCs/>
          <w:color w:val="000000"/>
          <w:sz w:val="18"/>
          <w:szCs w:val="18"/>
        </w:rPr>
        <w:t>A</w:t>
      </w:r>
      <w:r>
        <w:rPr>
          <w:rFonts w:ascii="Times New Roman" w:hAnsi="Times New Roman"/>
          <w:color w:val="000000"/>
          <w:sz w:val="18"/>
          <w:szCs w:val="18"/>
          <w:vertAlign w:val="subscript"/>
        </w:rPr>
        <w:t>t1</w:t>
      </w:r>
      <w:r>
        <w:rPr>
          <w:rFonts w:hint="eastAsia" w:ascii="宋体" w:hAnsi="宋体"/>
          <w:color w:val="000000"/>
          <w:sz w:val="18"/>
          <w:szCs w:val="18"/>
        </w:rPr>
        <w:t>）；</w:t>
      </w:r>
    </w:p>
    <w:p>
      <w:pPr>
        <w:spacing w:line="240" w:lineRule="auto"/>
        <w:ind w:firstLine="450" w:firstLineChars="250"/>
        <w:rPr>
          <w:rFonts w:ascii="宋体" w:hAnsi="宋体"/>
          <w:sz w:val="18"/>
          <w:szCs w:val="18"/>
        </w:rPr>
      </w:pPr>
      <w:r>
        <w:rPr>
          <w:rFonts w:ascii="宋体" w:hAnsi="宋体"/>
          <w:color w:val="000000"/>
          <w:sz w:val="18"/>
          <w:szCs w:val="18"/>
        </w:rPr>
        <w:t>3</w:t>
      </w:r>
      <w:r>
        <w:rPr>
          <w:rFonts w:ascii="Times New Roman" w:hAnsi="Times New Roman"/>
          <w:color w:val="000000"/>
          <w:sz w:val="18"/>
          <w:szCs w:val="18"/>
        </w:rPr>
        <w:t>——</w:t>
      </w:r>
      <w:r>
        <w:rPr>
          <w:rFonts w:hint="eastAsia" w:ascii="宋体" w:hAnsi="宋体"/>
          <w:sz w:val="18"/>
          <w:szCs w:val="18"/>
        </w:rPr>
        <w:t>凸出部位腰筋（</w:t>
      </w:r>
      <w:r>
        <w:rPr>
          <w:rFonts w:ascii="Times New Roman" w:hAnsi="Times New Roman"/>
          <w:i/>
          <w:iCs/>
          <w:color w:val="000000"/>
          <w:sz w:val="18"/>
          <w:szCs w:val="18"/>
        </w:rPr>
        <w:t>A</w:t>
      </w:r>
      <w:r>
        <w:rPr>
          <w:rFonts w:ascii="Times New Roman" w:hAnsi="Times New Roman"/>
          <w:color w:val="000000"/>
          <w:sz w:val="18"/>
          <w:szCs w:val="18"/>
          <w:vertAlign w:val="subscript"/>
        </w:rPr>
        <w:t>t2</w:t>
      </w:r>
      <w:r>
        <w:rPr>
          <w:rFonts w:hint="eastAsia" w:ascii="宋体" w:hAnsi="宋体"/>
          <w:sz w:val="18"/>
          <w:szCs w:val="18"/>
        </w:rPr>
        <w:t>）；</w:t>
      </w:r>
    </w:p>
    <w:p>
      <w:pPr>
        <w:spacing w:line="240" w:lineRule="auto"/>
        <w:ind w:firstLine="450" w:firstLineChars="250"/>
        <w:rPr>
          <w:rFonts w:ascii="宋体" w:hAnsi="宋体"/>
          <w:color w:val="000000"/>
          <w:sz w:val="18"/>
          <w:szCs w:val="18"/>
        </w:rPr>
      </w:pPr>
      <w:r>
        <w:rPr>
          <w:rFonts w:ascii="宋体" w:hAnsi="宋体"/>
          <w:color w:val="000000"/>
          <w:sz w:val="18"/>
          <w:szCs w:val="18"/>
        </w:rPr>
        <w:t>4</w:t>
      </w:r>
      <w:r>
        <w:rPr>
          <w:rFonts w:ascii="Times New Roman" w:hAnsi="Times New Roman"/>
          <w:color w:val="000000"/>
          <w:sz w:val="18"/>
          <w:szCs w:val="18"/>
        </w:rPr>
        <w:t>——</w:t>
      </w:r>
      <w:r>
        <w:rPr>
          <w:rFonts w:hint="eastAsia" w:ascii="宋体" w:hAnsi="宋体"/>
          <w:color w:val="000000"/>
          <w:sz w:val="18"/>
          <w:szCs w:val="18"/>
        </w:rPr>
        <w:t>箍筋（</w:t>
      </w:r>
      <w:r>
        <w:rPr>
          <w:rFonts w:ascii="Times New Roman" w:hAnsi="Times New Roman"/>
          <w:i/>
          <w:iCs/>
          <w:color w:val="000000"/>
          <w:sz w:val="18"/>
          <w:szCs w:val="18"/>
        </w:rPr>
        <w:t>A</w:t>
      </w:r>
      <w:r>
        <w:rPr>
          <w:rFonts w:ascii="Times New Roman" w:hAnsi="Times New Roman"/>
          <w:color w:val="000000"/>
          <w:sz w:val="18"/>
          <w:szCs w:val="18"/>
          <w:vertAlign w:val="subscript"/>
        </w:rPr>
        <w:t>v</w:t>
      </w:r>
      <w:r>
        <w:rPr>
          <w:rFonts w:hint="eastAsia" w:ascii="宋体" w:hAnsi="宋体"/>
          <w:color w:val="000000"/>
          <w:sz w:val="18"/>
          <w:szCs w:val="18"/>
        </w:rPr>
        <w:t>）；</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5</w:t>
      </w:r>
      <w:r>
        <w:rPr>
          <w:rFonts w:ascii="Times New Roman" w:hAnsi="Times New Roman"/>
          <w:color w:val="000000"/>
          <w:sz w:val="18"/>
          <w:szCs w:val="18"/>
        </w:rPr>
        <w:t>——</w:t>
      </w:r>
      <w:r>
        <w:rPr>
          <w:rFonts w:hint="eastAsia" w:ascii="宋体" w:hAnsi="宋体"/>
          <w:color w:val="000000"/>
          <w:sz w:val="18"/>
          <w:szCs w:val="18"/>
        </w:rPr>
        <w:t>凸出部位箍筋（</w:t>
      </w:r>
      <w:r>
        <w:rPr>
          <w:rFonts w:ascii="Times New Roman" w:hAnsi="Times New Roman"/>
          <w:i/>
          <w:iCs/>
          <w:color w:val="000000"/>
          <w:sz w:val="18"/>
          <w:szCs w:val="18"/>
        </w:rPr>
        <w:t>A</w:t>
      </w:r>
      <w:r>
        <w:rPr>
          <w:rFonts w:ascii="Times New Roman" w:hAnsi="Times New Roman"/>
          <w:color w:val="000000"/>
          <w:sz w:val="18"/>
          <w:szCs w:val="18"/>
          <w:vertAlign w:val="subscript"/>
        </w:rPr>
        <w:t>v1</w:t>
      </w:r>
      <w:r>
        <w:rPr>
          <w:rFonts w:hint="eastAsia" w:ascii="宋体" w:hAnsi="宋体"/>
          <w:color w:val="000000"/>
          <w:sz w:val="18"/>
          <w:szCs w:val="18"/>
        </w:rPr>
        <w:t>）；</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6</w:t>
      </w:r>
      <w:r>
        <w:rPr>
          <w:rFonts w:ascii="Times New Roman" w:hAnsi="Times New Roman"/>
          <w:color w:val="000000"/>
          <w:sz w:val="18"/>
          <w:szCs w:val="18"/>
        </w:rPr>
        <w:t>——</w:t>
      </w:r>
      <w:r>
        <w:rPr>
          <w:rFonts w:hint="eastAsia" w:ascii="宋体" w:hAnsi="宋体"/>
          <w:color w:val="000000"/>
          <w:sz w:val="18"/>
          <w:szCs w:val="18"/>
        </w:rPr>
        <w:t>预制次梁；</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7</w:t>
      </w:r>
      <w:r>
        <w:rPr>
          <w:rFonts w:ascii="Times New Roman" w:hAnsi="Times New Roman"/>
          <w:color w:val="000000"/>
          <w:sz w:val="18"/>
          <w:szCs w:val="18"/>
        </w:rPr>
        <w:t>——</w:t>
      </w:r>
      <w:r>
        <w:rPr>
          <w:rFonts w:hint="eastAsia" w:ascii="宋体" w:hAnsi="宋体"/>
          <w:color w:val="000000"/>
          <w:sz w:val="18"/>
          <w:szCs w:val="18"/>
        </w:rPr>
        <w:t>预制边主梁；</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8</w:t>
      </w:r>
      <w:r>
        <w:rPr>
          <w:rFonts w:ascii="Times New Roman" w:hAnsi="Times New Roman"/>
          <w:color w:val="000000"/>
          <w:sz w:val="18"/>
          <w:szCs w:val="18"/>
        </w:rPr>
        <w:t>——</w:t>
      </w:r>
      <w:r>
        <w:rPr>
          <w:rFonts w:hint="eastAsia" w:ascii="宋体" w:hAnsi="宋体"/>
          <w:color w:val="000000"/>
          <w:sz w:val="18"/>
          <w:szCs w:val="18"/>
        </w:rPr>
        <w:t>构造筋；</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9</w:t>
      </w:r>
      <w:r>
        <w:rPr>
          <w:rFonts w:ascii="Times New Roman" w:hAnsi="Times New Roman"/>
          <w:color w:val="000000"/>
          <w:sz w:val="18"/>
          <w:szCs w:val="18"/>
        </w:rPr>
        <w:t>——</w:t>
      </w:r>
      <w:r>
        <w:rPr>
          <w:rFonts w:hint="eastAsia" w:ascii="宋体" w:hAnsi="宋体"/>
          <w:color w:val="000000"/>
          <w:sz w:val="18"/>
          <w:szCs w:val="18"/>
        </w:rPr>
        <w:t>预制中间主梁；</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1</w:t>
      </w:r>
      <w:r>
        <w:rPr>
          <w:rFonts w:ascii="宋体" w:hAnsi="宋体"/>
          <w:color w:val="000000"/>
          <w:sz w:val="18"/>
          <w:szCs w:val="18"/>
        </w:rPr>
        <w:t>0</w:t>
      </w:r>
      <w:r>
        <w:rPr>
          <w:rFonts w:ascii="Times New Roman" w:hAnsi="Times New Roman"/>
          <w:color w:val="000000"/>
          <w:sz w:val="18"/>
          <w:szCs w:val="18"/>
        </w:rPr>
        <w:t>——</w:t>
      </w:r>
      <w:r>
        <w:rPr>
          <w:rFonts w:hint="eastAsia" w:ascii="宋体" w:hAnsi="宋体"/>
          <w:color w:val="000000"/>
          <w:sz w:val="18"/>
          <w:szCs w:val="18"/>
        </w:rPr>
        <w:t>主梁附加箍筋；</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1</w:t>
      </w:r>
      <w:r>
        <w:rPr>
          <w:rFonts w:ascii="宋体" w:hAnsi="宋体"/>
          <w:color w:val="000000"/>
          <w:sz w:val="18"/>
          <w:szCs w:val="18"/>
        </w:rPr>
        <w:t>1</w:t>
      </w:r>
      <w:r>
        <w:rPr>
          <w:rFonts w:ascii="Times New Roman" w:hAnsi="Times New Roman"/>
          <w:color w:val="000000"/>
          <w:sz w:val="18"/>
          <w:szCs w:val="18"/>
        </w:rPr>
        <w:t>——</w:t>
      </w:r>
      <w:r>
        <w:rPr>
          <w:rFonts w:hint="eastAsia" w:ascii="宋体" w:hAnsi="宋体"/>
          <w:color w:val="000000"/>
          <w:sz w:val="18"/>
          <w:szCs w:val="18"/>
        </w:rPr>
        <w:t>主梁缺口部位箍筋。</w:t>
      </w:r>
    </w:p>
    <w:p>
      <w:pPr>
        <w:spacing w:before="156" w:beforeLines="50" w:after="156" w:afterLines="50" w:line="240" w:lineRule="auto"/>
        <w:jc w:val="center"/>
        <w:rPr>
          <w:rFonts w:ascii="黑体" w:hAnsi="黑体" w:eastAsia="黑体"/>
          <w:color w:val="000000"/>
        </w:rPr>
      </w:pPr>
      <w:r>
        <w:rPr>
          <w:rFonts w:hint="eastAsia" w:ascii="黑体" w:hAnsi="黑体" w:eastAsia="黑体"/>
          <w:color w:val="000000"/>
        </w:rPr>
        <w:t>图</w:t>
      </w:r>
      <w:r>
        <w:rPr>
          <w:rFonts w:ascii="黑体" w:hAnsi="黑体" w:eastAsia="黑体"/>
          <w:color w:val="000000"/>
        </w:rPr>
        <w:t>6</w:t>
      </w:r>
      <w:r>
        <w:rPr>
          <w:rFonts w:hint="eastAsia" w:ascii="黑体" w:hAnsi="黑体" w:eastAsia="黑体"/>
          <w:color w:val="000000"/>
        </w:rPr>
        <w:t xml:space="preserve"> 主梁与次梁的连接构造示意</w:t>
      </w:r>
    </w:p>
    <w:p>
      <w:pPr>
        <w:pStyle w:val="58"/>
        <w:ind w:firstLine="0" w:firstLineChars="0"/>
        <w:rPr>
          <w:rFonts w:hAnsi="黑体"/>
          <w:bCs/>
        </w:rPr>
      </w:pPr>
      <w:r>
        <w:rPr>
          <w:rFonts w:ascii="黑体" w:hAnsi="黑体" w:eastAsia="黑体"/>
        </w:rPr>
        <w:t>5</w:t>
      </w:r>
      <w:r>
        <w:rPr>
          <w:rFonts w:hint="eastAsia" w:ascii="黑体" w:hAnsi="黑体" w:eastAsia="黑体"/>
        </w:rPr>
        <w:t>.</w:t>
      </w:r>
      <w:r>
        <w:rPr>
          <w:rFonts w:ascii="黑体" w:hAnsi="黑体" w:eastAsia="黑体"/>
        </w:rPr>
        <w:t>6.6</w:t>
      </w:r>
      <w:r>
        <w:rPr>
          <w:rFonts w:hint="eastAsia" w:ascii="黑体" w:hAnsi="黑体" w:eastAsia="黑体"/>
        </w:rPr>
        <w:t xml:space="preserve"> </w:t>
      </w:r>
      <w:r>
        <w:rPr>
          <w:rFonts w:hint="eastAsia" w:hAnsi="黑体"/>
          <w:bCs/>
        </w:rPr>
        <w:t>预制板之间连接时，应在预制板相邻处板面铺钢筋网片（图</w:t>
      </w:r>
      <w:r>
        <w:rPr>
          <w:rFonts w:hAnsi="黑体"/>
          <w:bCs/>
        </w:rPr>
        <w:t>7</w:t>
      </w:r>
      <w:r>
        <w:rPr>
          <w:rFonts w:hint="eastAsia" w:hAnsi="黑体"/>
          <w:bCs/>
        </w:rPr>
        <w:t>），网片钢筋直径不宜小于5mm，强度等级不应小于HPB300，短向钢筋的长度不宜小于600mm，间距不宜大于200mm；网片长向可采用三根钢筋，钢筋长度可比预制板短200mm。</w:t>
      </w:r>
    </w:p>
    <w:p>
      <w:pPr>
        <w:pStyle w:val="58"/>
        <w:ind w:firstLine="0" w:firstLineChars="0"/>
        <w:rPr>
          <w:rFonts w:hAnsi="宋体"/>
          <w:color w:val="000000"/>
        </w:rPr>
      </w:pPr>
    </w:p>
    <w:p>
      <w:pPr>
        <w:pStyle w:val="237"/>
        <w:rPr>
          <w:rFonts w:ascii="黑体" w:hAnsi="黑体" w:eastAsia="黑体"/>
          <w:sz w:val="18"/>
          <w:szCs w:val="18"/>
        </w:rPr>
      </w:pPr>
      <w:r>
        <w:drawing>
          <wp:inline distT="0" distB="0" distL="0" distR="0">
            <wp:extent cx="3448050" cy="1003300"/>
            <wp:effectExtent l="0" t="0" r="0" b="0"/>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74"/>
                    <pic:cNvPicPr>
                      <a:picLocks noChangeAspect="1" noChangeArrowheads="1"/>
                    </pic:cNvPicPr>
                  </pic:nvPicPr>
                  <pic:blipFill>
                    <a:blip r:embed="rId113" cstate="print"/>
                    <a:srcRect/>
                    <a:stretch>
                      <a:fillRect/>
                    </a:stretch>
                  </pic:blipFill>
                  <pic:spPr>
                    <a:xfrm>
                      <a:off x="0" y="0"/>
                      <a:ext cx="3516690" cy="1023685"/>
                    </a:xfrm>
                    <a:prstGeom prst="rect">
                      <a:avLst/>
                    </a:prstGeom>
                    <a:noFill/>
                    <a:ln w="9525">
                      <a:noFill/>
                      <a:miter lim="800000"/>
                      <a:headEnd/>
                      <a:tailEnd/>
                    </a:ln>
                  </pic:spPr>
                </pic:pic>
              </a:graphicData>
            </a:graphic>
          </wp:inline>
        </w:drawing>
      </w:r>
    </w:p>
    <w:p>
      <w:pPr>
        <w:spacing w:line="240" w:lineRule="auto"/>
        <w:jc w:val="center"/>
        <w:rPr>
          <w:rFonts w:ascii="黑体" w:hAnsi="黑体" w:eastAsia="黑体"/>
          <w:sz w:val="18"/>
          <w:szCs w:val="18"/>
        </w:rPr>
      </w:pPr>
      <w:r>
        <w:rPr>
          <w:rFonts w:hint="eastAsia" w:ascii="黑体" w:hAnsi="黑体" w:eastAsia="黑体"/>
          <w:sz w:val="18"/>
          <w:szCs w:val="18"/>
          <w:lang w:eastAsia="zh-CN"/>
        </w:rPr>
        <w:t>（</w:t>
      </w:r>
      <w:r>
        <w:rPr>
          <w:rFonts w:hint="eastAsia" w:ascii="黑体" w:hAnsi="黑体" w:eastAsia="黑体"/>
          <w:sz w:val="18"/>
          <w:szCs w:val="18"/>
        </w:rPr>
        <w:t xml:space="preserve">a）钢筋网片          </w:t>
      </w:r>
      <w:r>
        <w:rPr>
          <w:rFonts w:ascii="黑体" w:hAnsi="黑体" w:eastAsia="黑体"/>
          <w:sz w:val="18"/>
          <w:szCs w:val="18"/>
        </w:rPr>
        <w:t xml:space="preserve">        </w:t>
      </w:r>
      <w:r>
        <w:rPr>
          <w:rFonts w:hint="eastAsia" w:ascii="黑体" w:hAnsi="黑体" w:eastAsia="黑体"/>
          <w:sz w:val="18"/>
          <w:szCs w:val="18"/>
        </w:rPr>
        <w:t xml:space="preserve">     </w:t>
      </w:r>
      <w:r>
        <w:rPr>
          <w:rFonts w:hint="eastAsia" w:ascii="黑体" w:hAnsi="黑体" w:eastAsia="黑体"/>
          <w:sz w:val="18"/>
          <w:szCs w:val="18"/>
          <w:lang w:eastAsia="zh-CN"/>
        </w:rPr>
        <w:t>（</w:t>
      </w:r>
      <w:r>
        <w:rPr>
          <w:rFonts w:hint="eastAsia" w:ascii="黑体" w:hAnsi="黑体" w:eastAsia="黑体"/>
          <w:sz w:val="18"/>
          <w:szCs w:val="18"/>
        </w:rPr>
        <w:t>b）钢筋网片位置</w:t>
      </w:r>
    </w:p>
    <w:p>
      <w:pPr>
        <w:widowControl/>
        <w:autoSpaceDE w:val="0"/>
        <w:autoSpaceDN w:val="0"/>
        <w:adjustRightInd/>
        <w:spacing w:line="240" w:lineRule="auto"/>
        <w:ind w:left="780" w:leftChars="200" w:hanging="360" w:hangingChars="200"/>
        <w:jc w:val="left"/>
        <w:rPr>
          <w:rFonts w:ascii="宋体" w:hAnsi="Times New Roman"/>
          <w:bCs/>
          <w:kern w:val="0"/>
          <w:sz w:val="18"/>
          <w:szCs w:val="18"/>
        </w:rPr>
      </w:pPr>
      <w:r>
        <w:rPr>
          <w:rFonts w:hint="eastAsia" w:ascii="宋体" w:hAnsi="Times New Roman"/>
          <w:bCs/>
          <w:kern w:val="0"/>
          <w:sz w:val="18"/>
          <w:szCs w:val="18"/>
        </w:rPr>
        <w:t>标引序号说明：</w:t>
      </w:r>
    </w:p>
    <w:p>
      <w:pPr>
        <w:spacing w:line="240" w:lineRule="auto"/>
        <w:ind w:firstLine="450" w:firstLineChars="250"/>
        <w:rPr>
          <w:rFonts w:ascii="宋体" w:hAnsi="宋体"/>
          <w:color w:val="000000"/>
          <w:sz w:val="18"/>
          <w:szCs w:val="18"/>
        </w:rPr>
      </w:pPr>
      <w:r>
        <w:rPr>
          <w:rFonts w:ascii="宋体" w:hAnsi="宋体"/>
          <w:sz w:val="18"/>
          <w:szCs w:val="18"/>
        </w:rPr>
        <w:t>1</w:t>
      </w:r>
      <w:r>
        <w:rPr>
          <w:rFonts w:ascii="宋体" w:hAnsi="宋体"/>
          <w:sz w:val="18"/>
          <w:szCs w:val="18"/>
        </w:rPr>
        <w:softHyphen/>
      </w:r>
      <w:r>
        <w:rPr>
          <w:rFonts w:ascii="Times New Roman" w:hAnsi="Times New Roman"/>
          <w:color w:val="000000"/>
          <w:sz w:val="18"/>
          <w:szCs w:val="18"/>
        </w:rPr>
        <w:t>——</w:t>
      </w:r>
      <w:r>
        <w:rPr>
          <w:rFonts w:hint="eastAsia" w:ascii="宋体" w:hAnsi="宋体"/>
          <w:color w:val="000000"/>
          <w:sz w:val="18"/>
          <w:szCs w:val="18"/>
        </w:rPr>
        <w:t>钢筋网片的短向钢筋；</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2</w:t>
      </w:r>
      <w:r>
        <w:rPr>
          <w:rFonts w:ascii="Times New Roman" w:hAnsi="Times New Roman"/>
          <w:color w:val="000000"/>
          <w:sz w:val="18"/>
          <w:szCs w:val="18"/>
        </w:rPr>
        <w:t>——</w:t>
      </w:r>
      <w:r>
        <w:rPr>
          <w:rFonts w:hint="eastAsia" w:ascii="宋体" w:hAnsi="宋体"/>
          <w:color w:val="000000"/>
          <w:sz w:val="18"/>
          <w:szCs w:val="18"/>
        </w:rPr>
        <w:t>钢筋网片的长向钢筋；</w:t>
      </w:r>
    </w:p>
    <w:p>
      <w:pPr>
        <w:spacing w:line="240" w:lineRule="auto"/>
        <w:ind w:firstLine="450" w:firstLineChars="250"/>
        <w:rPr>
          <w:rFonts w:ascii="宋体" w:hAnsi="宋体"/>
          <w:sz w:val="18"/>
          <w:szCs w:val="18"/>
        </w:rPr>
      </w:pPr>
      <w:r>
        <w:rPr>
          <w:rFonts w:ascii="宋体" w:hAnsi="宋体"/>
          <w:color w:val="000000"/>
          <w:sz w:val="18"/>
          <w:szCs w:val="18"/>
        </w:rPr>
        <w:t>3</w:t>
      </w:r>
      <w:r>
        <w:rPr>
          <w:rFonts w:ascii="Times New Roman" w:hAnsi="Times New Roman"/>
          <w:color w:val="000000"/>
          <w:sz w:val="18"/>
          <w:szCs w:val="18"/>
        </w:rPr>
        <w:t>——</w:t>
      </w:r>
      <w:r>
        <w:rPr>
          <w:rFonts w:hint="eastAsia" w:ascii="宋体" w:hAnsi="宋体"/>
          <w:sz w:val="18"/>
          <w:szCs w:val="18"/>
        </w:rPr>
        <w:t>钢筋网片的短向长度；</w:t>
      </w:r>
    </w:p>
    <w:p>
      <w:pPr>
        <w:spacing w:line="240" w:lineRule="auto"/>
        <w:ind w:firstLine="450" w:firstLineChars="250"/>
        <w:rPr>
          <w:rFonts w:ascii="宋体" w:hAnsi="宋体"/>
          <w:color w:val="000000"/>
          <w:sz w:val="18"/>
          <w:szCs w:val="18"/>
        </w:rPr>
      </w:pPr>
      <w:r>
        <w:rPr>
          <w:rFonts w:ascii="宋体" w:hAnsi="宋体"/>
          <w:color w:val="000000"/>
          <w:sz w:val="18"/>
          <w:szCs w:val="18"/>
        </w:rPr>
        <w:t>4</w:t>
      </w:r>
      <w:r>
        <w:rPr>
          <w:rFonts w:ascii="Times New Roman" w:hAnsi="Times New Roman"/>
          <w:color w:val="000000"/>
          <w:sz w:val="18"/>
          <w:szCs w:val="18"/>
        </w:rPr>
        <w:t>——</w:t>
      </w:r>
      <w:r>
        <w:rPr>
          <w:rFonts w:hint="eastAsia" w:ascii="宋体" w:hAnsi="宋体"/>
          <w:color w:val="000000"/>
          <w:sz w:val="18"/>
          <w:szCs w:val="18"/>
        </w:rPr>
        <w:t>钢筋网片的长向长度；</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5</w:t>
      </w:r>
      <w:r>
        <w:rPr>
          <w:rFonts w:ascii="Times New Roman" w:hAnsi="Times New Roman"/>
          <w:color w:val="000000"/>
          <w:sz w:val="18"/>
          <w:szCs w:val="18"/>
        </w:rPr>
        <w:t>——</w:t>
      </w:r>
      <w:r>
        <w:rPr>
          <w:rFonts w:hint="eastAsia" w:ascii="宋体" w:hAnsi="宋体"/>
          <w:color w:val="000000"/>
          <w:sz w:val="18"/>
          <w:szCs w:val="18"/>
        </w:rPr>
        <w:t>叠合层；</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6</w:t>
      </w:r>
      <w:r>
        <w:rPr>
          <w:rFonts w:ascii="Times New Roman" w:hAnsi="Times New Roman"/>
          <w:color w:val="000000"/>
          <w:sz w:val="18"/>
          <w:szCs w:val="18"/>
        </w:rPr>
        <w:t>——</w:t>
      </w:r>
      <w:r>
        <w:rPr>
          <w:rFonts w:hint="eastAsia" w:ascii="宋体" w:hAnsi="宋体"/>
          <w:color w:val="000000"/>
          <w:sz w:val="18"/>
          <w:szCs w:val="18"/>
        </w:rPr>
        <w:t>预制板。</w:t>
      </w:r>
    </w:p>
    <w:p>
      <w:pPr>
        <w:spacing w:before="156" w:beforeLines="50" w:after="156" w:afterLines="50" w:line="240" w:lineRule="auto"/>
        <w:jc w:val="center"/>
        <w:rPr>
          <w:rFonts w:ascii="黑体" w:hAnsi="黑体" w:eastAsia="黑体"/>
          <w:color w:val="000000"/>
        </w:rPr>
      </w:pPr>
      <w:r>
        <w:rPr>
          <w:rFonts w:hint="eastAsia" w:ascii="黑体" w:hAnsi="黑体" w:eastAsia="黑体"/>
          <w:color w:val="000000"/>
        </w:rPr>
        <w:t>图</w:t>
      </w:r>
      <w:r>
        <w:rPr>
          <w:rFonts w:ascii="黑体" w:hAnsi="黑体" w:eastAsia="黑体"/>
          <w:color w:val="000000"/>
        </w:rPr>
        <w:t>7</w:t>
      </w:r>
      <w:r>
        <w:rPr>
          <w:rFonts w:hint="eastAsia" w:ascii="黑体" w:hAnsi="黑体" w:eastAsia="黑体"/>
          <w:color w:val="000000"/>
        </w:rPr>
        <w:t xml:space="preserve"> 板纵缝连接构造</w:t>
      </w:r>
    </w:p>
    <w:p>
      <w:pPr>
        <w:pStyle w:val="58"/>
        <w:ind w:firstLine="0" w:firstLineChars="0"/>
        <w:rPr>
          <w:rFonts w:hAnsi="黑体"/>
          <w:bCs/>
        </w:rPr>
      </w:pPr>
      <w:r>
        <w:rPr>
          <w:rFonts w:ascii="黑体" w:hAnsi="黑体" w:eastAsia="黑体"/>
        </w:rPr>
        <w:t>5</w:t>
      </w:r>
      <w:r>
        <w:rPr>
          <w:rFonts w:hint="eastAsia" w:ascii="黑体" w:hAnsi="黑体" w:eastAsia="黑体"/>
        </w:rPr>
        <w:t>.</w:t>
      </w:r>
      <w:r>
        <w:rPr>
          <w:rFonts w:ascii="黑体" w:hAnsi="黑体" w:eastAsia="黑体"/>
        </w:rPr>
        <w:t>6.7</w:t>
      </w:r>
      <w:r>
        <w:rPr>
          <w:rFonts w:hint="eastAsia" w:ascii="黑体" w:hAnsi="黑体" w:eastAsia="黑体"/>
        </w:rPr>
        <w:t xml:space="preserve"> </w:t>
      </w:r>
      <w:r>
        <w:rPr>
          <w:rFonts w:hint="eastAsia" w:hAnsi="黑体"/>
          <w:bCs/>
        </w:rPr>
        <w:t>预制多层柱层间连接节点处应增设交叉钢筋，并应与纵筋焊接（图</w:t>
      </w:r>
      <w:r>
        <w:rPr>
          <w:rFonts w:hAnsi="黑体"/>
          <w:bCs/>
        </w:rPr>
        <w:t>8</w:t>
      </w:r>
      <w:r>
        <w:rPr>
          <w:rFonts w:hint="eastAsia" w:hAnsi="黑体"/>
          <w:bCs/>
        </w:rPr>
        <w:t>）。交叉钢筋每侧应设置一片，每根交叉钢筋斜段垂直投影长度可比叠合梁高小40mm，端部直段长度可取为300mm。交叉钢筋的强度等级不宜小于HRB400，其直径应按运输、施工阶段的承载力及变形要求计算确定，且不应小于12mm。</w:t>
      </w:r>
    </w:p>
    <w:p>
      <w:pPr>
        <w:pStyle w:val="58"/>
        <w:ind w:firstLine="0" w:firstLineChars="0"/>
        <w:rPr>
          <w:rFonts w:ascii="黑体" w:hAnsi="黑体" w:eastAsia="黑体"/>
        </w:rPr>
      </w:pPr>
    </w:p>
    <w:p>
      <w:pPr>
        <w:pStyle w:val="237"/>
        <w:rPr>
          <w:rFonts w:ascii="黑体" w:hAnsi="黑体" w:eastAsia="黑体"/>
          <w:sz w:val="18"/>
          <w:szCs w:val="18"/>
        </w:rPr>
      </w:pPr>
      <w:r>
        <w:rPr>
          <w:rFonts w:ascii="黑体" w:hAnsi="黑体" w:eastAsia="黑体"/>
          <w:sz w:val="18"/>
          <w:szCs w:val="18"/>
        </w:rPr>
        <w:drawing>
          <wp:inline distT="0" distB="0" distL="0" distR="0">
            <wp:extent cx="2466975" cy="2237740"/>
            <wp:effectExtent l="0" t="0" r="0" b="0"/>
            <wp:docPr id="285"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图片 285"/>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2482906" cy="2252412"/>
                    </a:xfrm>
                    <a:prstGeom prst="rect">
                      <a:avLst/>
                    </a:prstGeom>
                    <a:noFill/>
                  </pic:spPr>
                </pic:pic>
              </a:graphicData>
            </a:graphic>
          </wp:inline>
        </w:drawing>
      </w:r>
    </w:p>
    <w:p>
      <w:pPr>
        <w:widowControl/>
        <w:autoSpaceDE w:val="0"/>
        <w:autoSpaceDN w:val="0"/>
        <w:adjustRightInd/>
        <w:spacing w:line="240" w:lineRule="auto"/>
        <w:ind w:left="780" w:leftChars="200" w:hanging="360" w:hangingChars="200"/>
        <w:jc w:val="left"/>
        <w:rPr>
          <w:rFonts w:ascii="宋体" w:hAnsi="Times New Roman"/>
          <w:bCs/>
          <w:kern w:val="0"/>
          <w:sz w:val="18"/>
          <w:szCs w:val="18"/>
        </w:rPr>
      </w:pPr>
      <w:r>
        <w:rPr>
          <w:rFonts w:hint="eastAsia" w:ascii="宋体" w:hAnsi="Times New Roman"/>
          <w:bCs/>
          <w:kern w:val="0"/>
          <w:sz w:val="18"/>
          <w:szCs w:val="18"/>
        </w:rPr>
        <w:t>标引序号说明：</w:t>
      </w:r>
    </w:p>
    <w:p>
      <w:pPr>
        <w:spacing w:line="240" w:lineRule="auto"/>
        <w:ind w:firstLine="450" w:firstLineChars="250"/>
        <w:rPr>
          <w:rFonts w:ascii="宋体" w:hAnsi="宋体"/>
          <w:color w:val="000000"/>
          <w:sz w:val="18"/>
          <w:szCs w:val="18"/>
        </w:rPr>
      </w:pPr>
      <w:r>
        <w:rPr>
          <w:rFonts w:ascii="宋体" w:hAnsi="宋体"/>
          <w:sz w:val="18"/>
          <w:szCs w:val="18"/>
        </w:rPr>
        <w:t>h</w:t>
      </w:r>
      <w:r>
        <w:rPr>
          <w:rFonts w:ascii="Times New Roman" w:hAnsi="Times New Roman"/>
          <w:sz w:val="18"/>
          <w:szCs w:val="18"/>
        </w:rPr>
        <w:softHyphen/>
      </w:r>
      <w:r>
        <w:rPr>
          <w:rFonts w:ascii="Times New Roman" w:hAnsi="Times New Roman"/>
          <w:color w:val="000000"/>
          <w:sz w:val="18"/>
          <w:szCs w:val="18"/>
        </w:rPr>
        <w:t>——</w:t>
      </w:r>
      <w:r>
        <w:rPr>
          <w:rFonts w:hint="eastAsia" w:ascii="宋体" w:hAnsi="宋体"/>
          <w:color w:val="000000"/>
          <w:sz w:val="18"/>
          <w:szCs w:val="18"/>
        </w:rPr>
        <w:t>梁高；</w:t>
      </w:r>
    </w:p>
    <w:p>
      <w:pPr>
        <w:spacing w:line="240" w:lineRule="auto"/>
        <w:ind w:firstLine="450" w:firstLineChars="250"/>
        <w:rPr>
          <w:rFonts w:ascii="宋体" w:hAnsi="宋体"/>
          <w:color w:val="000000"/>
          <w:sz w:val="18"/>
          <w:szCs w:val="18"/>
        </w:rPr>
      </w:pPr>
      <w:r>
        <w:rPr>
          <w:rFonts w:ascii="宋体" w:hAnsi="宋体"/>
          <w:color w:val="000000"/>
          <w:sz w:val="18"/>
          <w:szCs w:val="18"/>
        </w:rPr>
        <w:t>1</w:t>
      </w:r>
      <w:r>
        <w:rPr>
          <w:rFonts w:ascii="Times New Roman" w:hAnsi="Times New Roman"/>
          <w:color w:val="000000"/>
          <w:sz w:val="18"/>
          <w:szCs w:val="18"/>
        </w:rPr>
        <w:t>——</w:t>
      </w:r>
      <w:r>
        <w:rPr>
          <w:rFonts w:hint="eastAsia" w:ascii="宋体" w:hAnsi="宋体"/>
          <w:color w:val="000000"/>
          <w:sz w:val="18"/>
          <w:szCs w:val="18"/>
        </w:rPr>
        <w:t>焊接；</w:t>
      </w:r>
    </w:p>
    <w:p>
      <w:pPr>
        <w:spacing w:line="240" w:lineRule="auto"/>
        <w:ind w:firstLine="450" w:firstLineChars="250"/>
        <w:rPr>
          <w:rFonts w:ascii="宋体" w:hAnsi="宋体"/>
          <w:sz w:val="18"/>
          <w:szCs w:val="18"/>
        </w:rPr>
      </w:pPr>
      <w:r>
        <w:rPr>
          <w:rFonts w:ascii="宋体" w:hAnsi="宋体"/>
          <w:color w:val="000000"/>
          <w:sz w:val="18"/>
          <w:szCs w:val="18"/>
        </w:rPr>
        <w:t>2</w:t>
      </w:r>
      <w:r>
        <w:rPr>
          <w:rFonts w:ascii="Times New Roman" w:hAnsi="Times New Roman"/>
          <w:color w:val="000000"/>
          <w:sz w:val="18"/>
          <w:szCs w:val="18"/>
        </w:rPr>
        <w:t>——</w:t>
      </w:r>
      <w:r>
        <w:rPr>
          <w:rFonts w:hint="eastAsia" w:ascii="宋体" w:hAnsi="宋体"/>
          <w:sz w:val="18"/>
          <w:szCs w:val="18"/>
        </w:rPr>
        <w:t>楼面板标高；</w:t>
      </w:r>
    </w:p>
    <w:p>
      <w:pPr>
        <w:spacing w:line="240" w:lineRule="auto"/>
        <w:ind w:firstLine="450" w:firstLineChars="250"/>
        <w:rPr>
          <w:rFonts w:ascii="宋体" w:hAnsi="宋体"/>
          <w:color w:val="000000"/>
          <w:sz w:val="18"/>
          <w:szCs w:val="18"/>
        </w:rPr>
      </w:pPr>
      <w:r>
        <w:rPr>
          <w:rFonts w:ascii="宋体" w:hAnsi="宋体"/>
          <w:color w:val="000000"/>
          <w:sz w:val="18"/>
          <w:szCs w:val="18"/>
        </w:rPr>
        <w:t>3</w:t>
      </w:r>
      <w:r>
        <w:rPr>
          <w:rFonts w:ascii="Times New Roman" w:hAnsi="Times New Roman"/>
          <w:color w:val="000000"/>
          <w:sz w:val="18"/>
          <w:szCs w:val="18"/>
        </w:rPr>
        <w:t>——</w:t>
      </w:r>
      <w:r>
        <w:rPr>
          <w:rFonts w:hint="eastAsia" w:ascii="宋体" w:hAnsi="宋体"/>
          <w:color w:val="000000"/>
          <w:sz w:val="18"/>
          <w:szCs w:val="18"/>
        </w:rPr>
        <w:t>交叉钢筋。</w:t>
      </w:r>
    </w:p>
    <w:p>
      <w:pPr>
        <w:spacing w:before="156" w:beforeLines="50" w:after="156" w:afterLines="50" w:line="240" w:lineRule="auto"/>
        <w:jc w:val="center"/>
        <w:rPr>
          <w:rFonts w:ascii="黑体" w:hAnsi="黑体" w:eastAsia="黑体"/>
          <w:color w:val="000000"/>
        </w:rPr>
      </w:pPr>
      <w:r>
        <w:rPr>
          <w:rFonts w:hint="eastAsia" w:ascii="黑体" w:hAnsi="黑体" w:eastAsia="黑体"/>
          <w:color w:val="000000"/>
        </w:rPr>
        <w:t>图</w:t>
      </w:r>
      <w:r>
        <w:rPr>
          <w:rFonts w:ascii="黑体" w:hAnsi="黑体" w:eastAsia="黑体"/>
          <w:color w:val="000000"/>
        </w:rPr>
        <w:t>8</w:t>
      </w:r>
      <w:r>
        <w:rPr>
          <w:rFonts w:hint="eastAsia" w:ascii="黑体" w:hAnsi="黑体" w:eastAsia="黑体"/>
          <w:color w:val="000000"/>
        </w:rPr>
        <w:t xml:space="preserve"> 预制柱层间节点示意节点详图</w:t>
      </w:r>
    </w:p>
    <w:p>
      <w:pPr>
        <w:pStyle w:val="58"/>
        <w:ind w:firstLine="0" w:firstLineChars="0"/>
        <w:rPr>
          <w:rFonts w:hAnsi="黑体"/>
          <w:bCs/>
        </w:rPr>
      </w:pPr>
      <w:r>
        <w:rPr>
          <w:rFonts w:ascii="黑体" w:hAnsi="黑体" w:eastAsia="黑体"/>
        </w:rPr>
        <w:t>5</w:t>
      </w:r>
      <w:r>
        <w:rPr>
          <w:rFonts w:hint="eastAsia" w:ascii="黑体" w:hAnsi="黑体" w:eastAsia="黑体"/>
        </w:rPr>
        <w:t>.</w:t>
      </w:r>
      <w:r>
        <w:rPr>
          <w:rFonts w:ascii="黑体" w:hAnsi="黑体" w:eastAsia="黑体"/>
        </w:rPr>
        <w:t>6.8</w:t>
      </w:r>
      <w:r>
        <w:rPr>
          <w:rFonts w:hint="eastAsia" w:ascii="黑体" w:hAnsi="黑体" w:eastAsia="黑体"/>
        </w:rPr>
        <w:t xml:space="preserve"> </w:t>
      </w:r>
      <w:r>
        <w:rPr>
          <w:rFonts w:hint="eastAsia" w:hAnsi="黑体"/>
          <w:bCs/>
        </w:rPr>
        <w:t>预制梁的配筋构造应满足下列要求：</w:t>
      </w:r>
    </w:p>
    <w:p>
      <w:pPr>
        <w:pStyle w:val="58"/>
        <w:ind w:left="840" w:leftChars="200" w:hanging="420" w:hangingChars="200"/>
        <w:rPr>
          <w:bCs/>
          <w:szCs w:val="21"/>
        </w:rPr>
      </w:pPr>
      <w:r>
        <w:t>a</w:t>
      </w:r>
      <w:r>
        <w:rPr>
          <w:rFonts w:hint="eastAsia"/>
        </w:rPr>
        <w:t>)</w:t>
      </w:r>
      <w:r>
        <w:tab/>
      </w:r>
      <w:r>
        <w:rPr>
          <w:rFonts w:hint="eastAsia"/>
          <w:bCs/>
          <w:szCs w:val="21"/>
        </w:rPr>
        <w:t>预制梁底角部应设置普通钢筋，两侧应设置腰筋（图</w:t>
      </w:r>
      <w:r>
        <w:rPr>
          <w:bCs/>
          <w:szCs w:val="21"/>
        </w:rPr>
        <w:t>9</w:t>
      </w:r>
      <w:r>
        <w:rPr>
          <w:rFonts w:hint="eastAsia"/>
          <w:bCs/>
          <w:szCs w:val="21"/>
        </w:rPr>
        <w:t>）；</w:t>
      </w:r>
    </w:p>
    <w:p>
      <w:pPr>
        <w:pStyle w:val="58"/>
        <w:ind w:left="840" w:leftChars="200" w:hanging="420" w:hangingChars="200"/>
        <w:rPr>
          <w:bCs/>
          <w:szCs w:val="21"/>
        </w:rPr>
      </w:pPr>
      <w:r>
        <w:t>b</w:t>
      </w:r>
      <w:r>
        <w:rPr>
          <w:rFonts w:hint="eastAsia"/>
        </w:rPr>
        <w:t>)</w:t>
      </w:r>
      <w:r>
        <w:tab/>
      </w:r>
      <w:r>
        <w:rPr>
          <w:rFonts w:hint="eastAsia"/>
          <w:bCs/>
          <w:szCs w:val="21"/>
        </w:rPr>
        <w:t>预制梁端部应设置保证钢绞线的位置的带孔模板；钢绞线的分布宜分散、对称；其混凝土保护层厚度不应小于55mm；下部纵向钢绞线水平方向的净间距不应小于35mm；各层钢绞线之间的净间距不应小于25mm；</w:t>
      </w:r>
    </w:p>
    <w:p>
      <w:pPr>
        <w:pStyle w:val="58"/>
        <w:ind w:left="840" w:leftChars="200" w:hanging="420" w:hangingChars="200"/>
      </w:pPr>
      <w:bookmarkStart w:id="105" w:name="_Hlk142571159"/>
      <w:r>
        <w:t>c</w:t>
      </w:r>
      <w:r>
        <w:rPr>
          <w:rFonts w:hint="eastAsia"/>
        </w:rPr>
        <w:t>)</w:t>
      </w:r>
      <w:r>
        <w:tab/>
      </w:r>
      <w:r>
        <w:rPr>
          <w:rFonts w:hint="eastAsia"/>
          <w:bCs/>
          <w:szCs w:val="21"/>
        </w:rPr>
        <w:t>梁跨度较小时可不配置预应力筋；</w:t>
      </w:r>
    </w:p>
    <w:bookmarkEnd w:id="105"/>
    <w:p>
      <w:pPr>
        <w:pStyle w:val="58"/>
        <w:ind w:left="840" w:leftChars="200" w:hanging="420" w:hangingChars="200"/>
        <w:rPr>
          <w:bCs/>
          <w:szCs w:val="21"/>
        </w:rPr>
      </w:pPr>
      <w:r>
        <w:t>d</w:t>
      </w:r>
      <w:r>
        <w:rPr>
          <w:rFonts w:hint="eastAsia"/>
        </w:rPr>
        <w:t>)</w:t>
      </w:r>
      <w:r>
        <w:tab/>
      </w:r>
      <w:r>
        <w:rPr>
          <w:rFonts w:hint="eastAsia"/>
          <w:bCs/>
          <w:szCs w:val="21"/>
        </w:rPr>
        <w:t>当箍筋采用组合封闭箍筋（图</w:t>
      </w:r>
      <w:r>
        <w:rPr>
          <w:bCs/>
          <w:szCs w:val="21"/>
        </w:rPr>
        <w:t>9</w:t>
      </w:r>
      <w:r>
        <w:rPr>
          <w:rFonts w:hint="eastAsia"/>
          <w:bCs/>
          <w:szCs w:val="21"/>
        </w:rPr>
        <w:t>b）时，开口箍筋上方应设置135</w:t>
      </w:r>
      <w:r>
        <w:rPr>
          <w:bCs/>
          <w:szCs w:val="21"/>
        </w:rPr>
        <w:t>°</w:t>
      </w:r>
      <w:r>
        <w:rPr>
          <w:rFonts w:hint="eastAsia"/>
          <w:bCs/>
          <w:szCs w:val="21"/>
        </w:rPr>
        <w:t>弯钩，框架梁弯钩平直段长度不应小于箍筋直径的10倍，次梁弯钩平直段长度不应小于5d；箍筋帽两端宜设置135</w:t>
      </w:r>
      <w:r>
        <w:rPr>
          <w:bCs/>
          <w:szCs w:val="21"/>
        </w:rPr>
        <w:t>°</w:t>
      </w:r>
      <w:r>
        <w:rPr>
          <w:rFonts w:hint="eastAsia"/>
          <w:bCs/>
          <w:szCs w:val="21"/>
        </w:rPr>
        <w:t>弯钩，也可一端135</w:t>
      </w:r>
      <w:r>
        <w:rPr>
          <w:bCs/>
          <w:szCs w:val="21"/>
        </w:rPr>
        <w:t>°</w:t>
      </w:r>
      <w:r>
        <w:rPr>
          <w:rFonts w:hint="eastAsia"/>
          <w:bCs/>
          <w:szCs w:val="21"/>
        </w:rPr>
        <w:t>另一端90</w:t>
      </w:r>
      <w:r>
        <w:rPr>
          <w:bCs/>
          <w:szCs w:val="21"/>
        </w:rPr>
        <w:t>°</w:t>
      </w:r>
      <w:r>
        <w:rPr>
          <w:rFonts w:hint="eastAsia"/>
          <w:bCs/>
          <w:szCs w:val="21"/>
        </w:rPr>
        <w:t>弯钩，但135</w:t>
      </w:r>
      <w:r>
        <w:rPr>
          <w:bCs/>
          <w:szCs w:val="21"/>
        </w:rPr>
        <w:t>°</w:t>
      </w:r>
      <w:r>
        <w:rPr>
          <w:rFonts w:hint="eastAsia"/>
          <w:bCs/>
          <w:szCs w:val="21"/>
        </w:rPr>
        <w:t>弯钩和90</w:t>
      </w:r>
      <w:r>
        <w:rPr>
          <w:bCs/>
          <w:szCs w:val="21"/>
        </w:rPr>
        <w:t>°</w:t>
      </w:r>
      <w:r>
        <w:rPr>
          <w:rFonts w:hint="eastAsia"/>
          <w:bCs/>
          <w:szCs w:val="21"/>
        </w:rPr>
        <w:t>弯钩应沿纵向受力钢筋方向交错设置，框架梁弯钩平直段长度不应小于箍筋直径的10倍，次梁135</w:t>
      </w:r>
      <w:r>
        <w:rPr>
          <w:bCs/>
          <w:szCs w:val="21"/>
        </w:rPr>
        <w:t>°</w:t>
      </w:r>
      <w:r>
        <w:rPr>
          <w:rFonts w:hint="eastAsia"/>
          <w:bCs/>
          <w:szCs w:val="21"/>
        </w:rPr>
        <w:t>弯钩平直段长度不应小于5d，90</w:t>
      </w:r>
      <w:r>
        <w:rPr>
          <w:bCs/>
          <w:szCs w:val="21"/>
        </w:rPr>
        <w:t>°</w:t>
      </w:r>
      <w:r>
        <w:rPr>
          <w:rFonts w:hint="eastAsia"/>
          <w:bCs/>
          <w:szCs w:val="21"/>
        </w:rPr>
        <w:t>弯钩平直段长度不应小于10d；</w:t>
      </w:r>
    </w:p>
    <w:p>
      <w:pPr>
        <w:pStyle w:val="58"/>
        <w:ind w:left="840" w:leftChars="200" w:hanging="420" w:hangingChars="200"/>
        <w:rPr>
          <w:bCs/>
          <w:szCs w:val="21"/>
        </w:rPr>
      </w:pPr>
      <w:r>
        <w:t>e</w:t>
      </w:r>
      <w:r>
        <w:rPr>
          <w:rFonts w:hint="eastAsia"/>
        </w:rPr>
        <w:t>)</w:t>
      </w:r>
      <w:r>
        <w:tab/>
      </w:r>
      <w:r>
        <w:rPr>
          <w:rFonts w:hint="eastAsia"/>
          <w:bCs/>
          <w:szCs w:val="21"/>
        </w:rPr>
        <w:t>抗震等级为一、二级的叠合框架梁的梁端箍筋加密区宜采用整体封闭箍筋；当叠合梁受扭时应采用整体封闭箍筋（图</w:t>
      </w:r>
      <w:r>
        <w:rPr>
          <w:bCs/>
          <w:szCs w:val="21"/>
        </w:rPr>
        <w:t>9</w:t>
      </w:r>
      <w:r>
        <w:rPr>
          <w:rFonts w:hint="eastAsia"/>
          <w:bCs/>
          <w:szCs w:val="21"/>
        </w:rPr>
        <w:t>a）；</w:t>
      </w:r>
    </w:p>
    <w:p>
      <w:pPr>
        <w:pStyle w:val="58"/>
        <w:ind w:left="840" w:leftChars="200" w:hanging="420" w:hangingChars="200"/>
        <w:rPr>
          <w:bCs/>
          <w:szCs w:val="21"/>
        </w:rPr>
      </w:pPr>
      <w:r>
        <w:t>f</w:t>
      </w:r>
      <w:r>
        <w:rPr>
          <w:rFonts w:hint="eastAsia"/>
        </w:rPr>
        <w:t>)</w:t>
      </w:r>
      <w:r>
        <w:tab/>
      </w:r>
      <w:r>
        <w:rPr>
          <w:rFonts w:hint="eastAsia"/>
          <w:bCs/>
          <w:szCs w:val="21"/>
        </w:rPr>
        <w:t>框架梁箍筋加密区长度内的箍筋肢距：一级抗震等级，不宜大于200mm和20倍箍筋直径的较大值，且不应大于300mm；二、三级抗震等级，不宜大于250mm和20倍箍筋直径的较大值，且不应大于350mm；四级抗震等级，不宜大于300mm，且不应大于400mm。</w:t>
      </w:r>
    </w:p>
    <w:p>
      <w:pPr>
        <w:pStyle w:val="58"/>
        <w:ind w:left="780" w:leftChars="200" w:hanging="360" w:hangingChars="200"/>
        <w:rPr>
          <w:bCs/>
          <w:sz w:val="18"/>
          <w:szCs w:val="18"/>
        </w:rPr>
      </w:pPr>
    </w:p>
    <w:p>
      <w:pPr>
        <w:pStyle w:val="58"/>
        <w:ind w:firstLine="0" w:firstLineChars="0"/>
        <w:jc w:val="center"/>
      </w:pPr>
      <w:r>
        <w:rPr>
          <w:rFonts w:hint="eastAsia"/>
        </w:rPr>
        <w:t xml:space="preserve"> </w:t>
      </w:r>
      <w:r>
        <w:t xml:space="preserve">    </w:t>
      </w:r>
      <w:r>
        <w:drawing>
          <wp:inline distT="0" distB="0" distL="0" distR="0">
            <wp:extent cx="5096510" cy="1619250"/>
            <wp:effectExtent l="0" t="0" r="0" b="0"/>
            <wp:docPr id="286"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图片 4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5128695" cy="1629304"/>
                    </a:xfrm>
                    <a:prstGeom prst="rect">
                      <a:avLst/>
                    </a:prstGeom>
                    <a:noFill/>
                    <a:ln>
                      <a:noFill/>
                    </a:ln>
                  </pic:spPr>
                </pic:pic>
              </a:graphicData>
            </a:graphic>
          </wp:inline>
        </w:drawing>
      </w:r>
    </w:p>
    <w:p>
      <w:pPr>
        <w:spacing w:line="240" w:lineRule="auto"/>
        <w:jc w:val="center"/>
        <w:rPr>
          <w:rFonts w:ascii="黑体" w:hAnsi="黑体" w:eastAsia="黑体"/>
          <w:sz w:val="18"/>
          <w:szCs w:val="18"/>
        </w:rPr>
      </w:pPr>
      <w:r>
        <w:rPr>
          <w:rFonts w:hint="eastAsia" w:ascii="黑体" w:hAnsi="黑体" w:eastAsia="黑体"/>
          <w:sz w:val="18"/>
          <w:szCs w:val="18"/>
          <w:lang w:eastAsia="zh-CN"/>
        </w:rPr>
        <w:t>（</w:t>
      </w:r>
      <w:r>
        <w:rPr>
          <w:rFonts w:ascii="黑体" w:hAnsi="黑体" w:eastAsia="黑体"/>
          <w:sz w:val="18"/>
          <w:szCs w:val="18"/>
        </w:rPr>
        <w:t>a）采用</w:t>
      </w:r>
      <w:r>
        <w:rPr>
          <w:rFonts w:hint="eastAsia" w:ascii="黑体" w:hAnsi="黑体" w:eastAsia="黑体"/>
          <w:sz w:val="18"/>
          <w:szCs w:val="18"/>
        </w:rPr>
        <w:t>整体</w:t>
      </w:r>
      <w:r>
        <w:rPr>
          <w:rFonts w:ascii="黑体" w:hAnsi="黑体" w:eastAsia="黑体"/>
          <w:sz w:val="18"/>
          <w:szCs w:val="18"/>
        </w:rPr>
        <w:t>封闭箍筋</w:t>
      </w:r>
      <w:r>
        <w:rPr>
          <w:rFonts w:hint="eastAsia" w:ascii="黑体" w:hAnsi="黑体" w:eastAsia="黑体"/>
          <w:sz w:val="18"/>
          <w:szCs w:val="18"/>
        </w:rPr>
        <w:t xml:space="preserve">             </w:t>
      </w:r>
      <w:r>
        <w:rPr>
          <w:rFonts w:ascii="黑体" w:hAnsi="黑体" w:eastAsia="黑体"/>
          <w:sz w:val="18"/>
          <w:szCs w:val="18"/>
        </w:rPr>
        <w:t xml:space="preserve">     </w:t>
      </w:r>
      <w:r>
        <w:rPr>
          <w:rFonts w:hint="eastAsia" w:ascii="黑体" w:hAnsi="黑体" w:eastAsia="黑体"/>
          <w:sz w:val="18"/>
          <w:szCs w:val="18"/>
        </w:rPr>
        <w:t xml:space="preserve">        </w:t>
      </w:r>
      <w:r>
        <w:rPr>
          <w:rFonts w:hint="eastAsia" w:ascii="黑体" w:hAnsi="黑体" w:eastAsia="黑体"/>
          <w:sz w:val="18"/>
          <w:szCs w:val="18"/>
          <w:lang w:eastAsia="zh-CN"/>
        </w:rPr>
        <w:t>（</w:t>
      </w:r>
      <w:r>
        <w:rPr>
          <w:rFonts w:ascii="黑体" w:hAnsi="黑体" w:eastAsia="黑体"/>
          <w:sz w:val="18"/>
          <w:szCs w:val="18"/>
        </w:rPr>
        <w:t>b）采用组合封闭箍筋</w:t>
      </w:r>
    </w:p>
    <w:p>
      <w:pPr>
        <w:widowControl/>
        <w:autoSpaceDE w:val="0"/>
        <w:autoSpaceDN w:val="0"/>
        <w:adjustRightInd/>
        <w:spacing w:line="240" w:lineRule="auto"/>
        <w:ind w:left="780" w:leftChars="200" w:hanging="360" w:hangingChars="200"/>
        <w:jc w:val="left"/>
        <w:rPr>
          <w:rFonts w:ascii="宋体" w:hAnsi="Times New Roman"/>
          <w:bCs/>
          <w:kern w:val="0"/>
          <w:sz w:val="18"/>
          <w:szCs w:val="18"/>
        </w:rPr>
      </w:pPr>
      <w:r>
        <w:rPr>
          <w:rFonts w:hint="eastAsia" w:ascii="宋体" w:hAnsi="Times New Roman"/>
          <w:bCs/>
          <w:kern w:val="0"/>
          <w:sz w:val="18"/>
          <w:szCs w:val="18"/>
        </w:rPr>
        <w:t>标引序号说明：</w:t>
      </w:r>
    </w:p>
    <w:p>
      <w:pPr>
        <w:spacing w:line="240" w:lineRule="auto"/>
        <w:ind w:firstLine="450" w:firstLineChars="250"/>
        <w:rPr>
          <w:rFonts w:ascii="宋体" w:hAnsi="宋体"/>
          <w:color w:val="000000"/>
          <w:sz w:val="18"/>
          <w:szCs w:val="18"/>
        </w:rPr>
      </w:pPr>
      <w:r>
        <w:rPr>
          <w:rFonts w:ascii="宋体" w:hAnsi="宋体"/>
          <w:color w:val="000000"/>
          <w:sz w:val="18"/>
          <w:szCs w:val="18"/>
        </w:rPr>
        <w:t>1</w:t>
      </w:r>
      <w:r>
        <w:rPr>
          <w:rFonts w:ascii="Times New Roman" w:hAnsi="Times New Roman"/>
          <w:color w:val="000000"/>
          <w:sz w:val="18"/>
          <w:szCs w:val="18"/>
        </w:rPr>
        <w:t>——</w:t>
      </w:r>
      <w:r>
        <w:rPr>
          <w:rFonts w:hint="eastAsia" w:ascii="宋体" w:hAnsi="宋体"/>
          <w:color w:val="000000"/>
          <w:sz w:val="18"/>
          <w:szCs w:val="18"/>
        </w:rPr>
        <w:t>预制梁；</w:t>
      </w:r>
    </w:p>
    <w:p>
      <w:pPr>
        <w:spacing w:line="240" w:lineRule="auto"/>
        <w:ind w:firstLine="450" w:firstLineChars="250"/>
        <w:rPr>
          <w:rFonts w:ascii="宋体" w:hAnsi="宋体"/>
          <w:sz w:val="18"/>
          <w:szCs w:val="18"/>
        </w:rPr>
      </w:pPr>
      <w:r>
        <w:rPr>
          <w:rFonts w:ascii="宋体" w:hAnsi="宋体"/>
          <w:color w:val="000000"/>
          <w:sz w:val="18"/>
          <w:szCs w:val="18"/>
        </w:rPr>
        <w:t>2</w:t>
      </w:r>
      <w:r>
        <w:rPr>
          <w:rFonts w:ascii="Times New Roman" w:hAnsi="Times New Roman"/>
          <w:color w:val="000000"/>
          <w:sz w:val="18"/>
          <w:szCs w:val="18"/>
        </w:rPr>
        <w:t>——</w:t>
      </w:r>
      <w:r>
        <w:rPr>
          <w:rFonts w:hint="eastAsia" w:ascii="宋体" w:hAnsi="宋体"/>
          <w:sz w:val="18"/>
          <w:szCs w:val="18"/>
        </w:rPr>
        <w:t>叠合梁上部钢筋；</w:t>
      </w:r>
    </w:p>
    <w:p>
      <w:pPr>
        <w:spacing w:line="240" w:lineRule="auto"/>
        <w:ind w:firstLine="450" w:firstLineChars="250"/>
        <w:rPr>
          <w:rFonts w:ascii="宋体" w:hAnsi="宋体"/>
          <w:color w:val="000000"/>
          <w:sz w:val="18"/>
          <w:szCs w:val="18"/>
        </w:rPr>
      </w:pPr>
      <w:r>
        <w:rPr>
          <w:rFonts w:ascii="宋体" w:hAnsi="宋体"/>
          <w:color w:val="000000"/>
          <w:sz w:val="18"/>
          <w:szCs w:val="18"/>
        </w:rPr>
        <w:t>3</w:t>
      </w:r>
      <w:r>
        <w:rPr>
          <w:rFonts w:ascii="Times New Roman" w:hAnsi="Times New Roman"/>
          <w:color w:val="000000"/>
          <w:sz w:val="18"/>
          <w:szCs w:val="18"/>
        </w:rPr>
        <w:t>——</w:t>
      </w:r>
      <w:r>
        <w:rPr>
          <w:rFonts w:hint="eastAsia" w:ascii="宋体" w:hAnsi="宋体"/>
          <w:color w:val="000000"/>
          <w:sz w:val="18"/>
          <w:szCs w:val="18"/>
        </w:rPr>
        <w:t>腰筋（按设计确定）；</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4</w:t>
      </w:r>
      <w:r>
        <w:rPr>
          <w:rFonts w:ascii="Times New Roman" w:hAnsi="Times New Roman"/>
          <w:color w:val="000000"/>
          <w:sz w:val="18"/>
          <w:szCs w:val="18"/>
        </w:rPr>
        <w:t>——</w:t>
      </w:r>
      <w:r>
        <w:rPr>
          <w:rFonts w:hint="eastAsia" w:ascii="宋体" w:hAnsi="宋体"/>
          <w:color w:val="000000"/>
          <w:sz w:val="18"/>
          <w:szCs w:val="18"/>
        </w:rPr>
        <w:t>钢绞线；</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5</w:t>
      </w:r>
      <w:r>
        <w:rPr>
          <w:rFonts w:ascii="Times New Roman" w:hAnsi="Times New Roman"/>
          <w:color w:val="000000"/>
          <w:sz w:val="18"/>
          <w:szCs w:val="18"/>
        </w:rPr>
        <w:t>——</w:t>
      </w:r>
      <w:r>
        <w:rPr>
          <w:rFonts w:hint="eastAsia" w:ascii="宋体" w:hAnsi="宋体"/>
          <w:color w:val="000000"/>
          <w:sz w:val="18"/>
          <w:szCs w:val="18"/>
        </w:rPr>
        <w:t>普通钢筋；</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6</w:t>
      </w:r>
      <w:r>
        <w:rPr>
          <w:rFonts w:ascii="Times New Roman" w:hAnsi="Times New Roman"/>
          <w:color w:val="000000"/>
          <w:sz w:val="18"/>
          <w:szCs w:val="18"/>
        </w:rPr>
        <w:t>——</w:t>
      </w:r>
      <w:r>
        <w:rPr>
          <w:rFonts w:hint="eastAsia" w:ascii="宋体" w:hAnsi="宋体"/>
          <w:color w:val="000000"/>
          <w:sz w:val="18"/>
          <w:szCs w:val="18"/>
        </w:rPr>
        <w:t>封闭箍筋；</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7</w:t>
      </w:r>
      <w:r>
        <w:rPr>
          <w:rFonts w:ascii="Times New Roman" w:hAnsi="Times New Roman"/>
          <w:color w:val="000000"/>
          <w:sz w:val="18"/>
          <w:szCs w:val="18"/>
        </w:rPr>
        <w:t>——</w:t>
      </w:r>
      <w:r>
        <w:rPr>
          <w:rFonts w:hint="eastAsia" w:ascii="宋体" w:hAnsi="宋体"/>
          <w:color w:val="000000"/>
          <w:sz w:val="18"/>
          <w:szCs w:val="18"/>
        </w:rPr>
        <w:t>开口箍筋；</w:t>
      </w:r>
    </w:p>
    <w:p>
      <w:pPr>
        <w:spacing w:line="240" w:lineRule="auto"/>
        <w:ind w:firstLine="450" w:firstLineChars="250"/>
        <w:rPr>
          <w:rFonts w:ascii="宋体" w:hAnsi="宋体"/>
          <w:color w:val="000000"/>
          <w:sz w:val="18"/>
          <w:szCs w:val="18"/>
        </w:rPr>
      </w:pPr>
      <w:r>
        <w:rPr>
          <w:rFonts w:ascii="宋体" w:hAnsi="宋体"/>
          <w:color w:val="000000"/>
          <w:sz w:val="18"/>
          <w:szCs w:val="18"/>
        </w:rPr>
        <w:t>8</w:t>
      </w:r>
      <w:r>
        <w:rPr>
          <w:rFonts w:ascii="Times New Roman" w:hAnsi="Times New Roman"/>
          <w:color w:val="000000"/>
          <w:sz w:val="18"/>
          <w:szCs w:val="18"/>
        </w:rPr>
        <w:t>——</w:t>
      </w:r>
      <w:r>
        <w:rPr>
          <w:rFonts w:hint="eastAsia" w:ascii="宋体" w:hAnsi="宋体"/>
          <w:color w:val="000000"/>
          <w:sz w:val="18"/>
          <w:szCs w:val="18"/>
        </w:rPr>
        <w:t>箍筋帽。</w:t>
      </w:r>
    </w:p>
    <w:p>
      <w:pPr>
        <w:spacing w:before="156" w:beforeLines="50" w:after="156" w:afterLines="50" w:line="240" w:lineRule="auto"/>
        <w:jc w:val="center"/>
        <w:rPr>
          <w:rFonts w:ascii="黑体" w:hAnsi="黑体" w:eastAsia="黑体"/>
          <w:color w:val="000000"/>
        </w:rPr>
      </w:pPr>
      <w:r>
        <w:rPr>
          <w:rFonts w:hint="eastAsia" w:ascii="黑体" w:hAnsi="黑体" w:eastAsia="黑体"/>
          <w:color w:val="000000"/>
        </w:rPr>
        <w:t>图</w:t>
      </w:r>
      <w:r>
        <w:rPr>
          <w:rFonts w:ascii="黑体" w:hAnsi="黑体" w:eastAsia="黑体"/>
          <w:color w:val="000000"/>
        </w:rPr>
        <w:t>9</w:t>
      </w:r>
      <w:r>
        <w:rPr>
          <w:rFonts w:hint="eastAsia" w:ascii="黑体" w:hAnsi="黑体" w:eastAsia="黑体"/>
          <w:color w:val="000000"/>
        </w:rPr>
        <w:t xml:space="preserve"> 预制梁构造示意构造详图</w:t>
      </w:r>
    </w:p>
    <w:p>
      <w:pPr>
        <w:pStyle w:val="58"/>
        <w:spacing w:before="312" w:beforeLines="100" w:after="312" w:afterLines="100"/>
        <w:ind w:firstLine="0" w:firstLineChars="0"/>
        <w:outlineLvl w:val="1"/>
        <w:rPr>
          <w:rFonts w:ascii="黑体" w:hAnsi="黑体" w:eastAsia="黑体"/>
        </w:rPr>
      </w:pPr>
      <w:bookmarkStart w:id="106" w:name="_Toc142923603"/>
      <w:r>
        <w:rPr>
          <w:rFonts w:ascii="黑体" w:hAnsi="黑体" w:eastAsia="黑体"/>
        </w:rPr>
        <w:t>5</w:t>
      </w:r>
      <w:r>
        <w:rPr>
          <w:rFonts w:hint="eastAsia" w:ascii="黑体" w:hAnsi="黑体" w:eastAsia="黑体"/>
        </w:rPr>
        <w:t>.</w:t>
      </w:r>
      <w:r>
        <w:rPr>
          <w:rFonts w:ascii="黑体" w:hAnsi="黑体" w:eastAsia="黑体"/>
        </w:rPr>
        <w:t>7</w:t>
      </w:r>
      <w:r>
        <w:rPr>
          <w:rFonts w:hint="eastAsia" w:ascii="黑体" w:hAnsi="黑体" w:eastAsia="黑体"/>
        </w:rPr>
        <w:t xml:space="preserve"> 预制剪力墙的连接构造</w:t>
      </w:r>
      <w:bookmarkEnd w:id="106"/>
    </w:p>
    <w:p>
      <w:pPr>
        <w:pStyle w:val="58"/>
        <w:ind w:firstLine="0" w:firstLineChars="0"/>
        <w:rPr>
          <w:bCs/>
          <w:szCs w:val="21"/>
        </w:rPr>
      </w:pPr>
      <w:r>
        <w:rPr>
          <w:rFonts w:ascii="黑体" w:hAnsi="黑体" w:eastAsia="黑体"/>
        </w:rPr>
        <w:t>5</w:t>
      </w:r>
      <w:r>
        <w:rPr>
          <w:rFonts w:hint="eastAsia" w:ascii="黑体" w:hAnsi="黑体" w:eastAsia="黑体"/>
        </w:rPr>
        <w:t>.</w:t>
      </w:r>
      <w:r>
        <w:rPr>
          <w:rFonts w:ascii="黑体" w:hAnsi="黑体" w:eastAsia="黑体"/>
        </w:rPr>
        <w:t>7</w:t>
      </w:r>
      <w:r>
        <w:rPr>
          <w:rFonts w:hint="eastAsia" w:ascii="黑体" w:hAnsi="黑体" w:eastAsia="黑体"/>
        </w:rPr>
        <w:t xml:space="preserve">.1 </w:t>
      </w:r>
      <w:r>
        <w:rPr>
          <w:rFonts w:hint="eastAsia"/>
          <w:bCs/>
          <w:szCs w:val="21"/>
        </w:rPr>
        <w:t>预制剪力墙竖向钢筋采用集中约束搭接连接时（图</w:t>
      </w:r>
      <w:r>
        <w:rPr>
          <w:bCs/>
          <w:szCs w:val="21"/>
        </w:rPr>
        <w:t>10</w:t>
      </w:r>
      <w:r>
        <w:rPr>
          <w:rFonts w:hint="eastAsia"/>
          <w:bCs/>
          <w:szCs w:val="21"/>
        </w:rPr>
        <w:t>），预制剪力墙下部设置预留孔道，孔道外侧设置螺旋箍筋或焊接环箍，下层预制墙的上部竖向钢筋弯折后伸入预留孔道，注入灌浆料，与上层预制墙的竖向钢筋搭接连接。伸入预留孔道的竖向钢筋应对称设置，竖向钢筋之间的净间距不应小于25mm，与孔道壁的净间距宜为15mm。边缘构件部位每孔增加一根同直径的附加竖向钢筋。下部墙体钢筋弯折之后的空缺部位设置短钢筋。预留孔道下端设置灌浆孔，排气孔应高于预留孔道顶端。</w:t>
      </w:r>
    </w:p>
    <w:p>
      <w:pPr>
        <w:pStyle w:val="58"/>
        <w:ind w:firstLine="0" w:firstLineChars="0"/>
        <w:rPr>
          <w:rFonts w:hAnsi="宋体"/>
          <w:color w:val="000000"/>
        </w:rPr>
      </w:pPr>
    </w:p>
    <w:p>
      <w:pPr>
        <w:pStyle w:val="58"/>
        <w:ind w:firstLine="0" w:firstLineChars="0"/>
        <w:jc w:val="center"/>
        <w:rPr>
          <w:rFonts w:ascii="黑体" w:hAnsi="黑体" w:eastAsia="黑体"/>
          <w:sz w:val="18"/>
          <w:szCs w:val="18"/>
        </w:rPr>
      </w:pPr>
      <w:r>
        <w:drawing>
          <wp:inline distT="0" distB="0" distL="0" distR="0">
            <wp:extent cx="4312920" cy="2115820"/>
            <wp:effectExtent l="0" t="0" r="0" b="0"/>
            <wp:docPr id="287" name="图片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287"/>
                    <pic:cNvPicPr>
                      <a:picLocks noChangeAspect="1"/>
                    </pic:cNvPicPr>
                  </pic:nvPicPr>
                  <pic:blipFill>
                    <a:blip r:embed="rId116"/>
                    <a:stretch>
                      <a:fillRect/>
                    </a:stretch>
                  </pic:blipFill>
                  <pic:spPr>
                    <a:xfrm>
                      <a:off x="0" y="0"/>
                      <a:ext cx="4349076" cy="2133439"/>
                    </a:xfrm>
                    <a:prstGeom prst="rect">
                      <a:avLst/>
                    </a:prstGeom>
                  </pic:spPr>
                </pic:pic>
              </a:graphicData>
            </a:graphic>
          </wp:inline>
        </w:drawing>
      </w:r>
    </w:p>
    <w:p>
      <w:pPr>
        <w:widowControl/>
        <w:autoSpaceDE w:val="0"/>
        <w:autoSpaceDN w:val="0"/>
        <w:adjustRightInd/>
        <w:spacing w:line="240" w:lineRule="auto"/>
        <w:ind w:left="780" w:leftChars="200" w:hanging="360" w:hangingChars="200"/>
        <w:jc w:val="left"/>
        <w:rPr>
          <w:rFonts w:ascii="宋体" w:hAnsi="Times New Roman"/>
          <w:bCs/>
          <w:kern w:val="0"/>
          <w:sz w:val="18"/>
          <w:szCs w:val="18"/>
        </w:rPr>
      </w:pPr>
      <w:r>
        <w:rPr>
          <w:rFonts w:hint="eastAsia" w:ascii="宋体" w:hAnsi="Times New Roman"/>
          <w:bCs/>
          <w:kern w:val="0"/>
          <w:sz w:val="18"/>
          <w:szCs w:val="18"/>
        </w:rPr>
        <w:t>标引序号说明：</w:t>
      </w:r>
    </w:p>
    <w:p>
      <w:pPr>
        <w:spacing w:line="240" w:lineRule="auto"/>
        <w:ind w:firstLine="450" w:firstLineChars="250"/>
        <w:rPr>
          <w:rFonts w:ascii="宋体" w:hAnsi="宋体"/>
          <w:color w:val="000000"/>
          <w:sz w:val="18"/>
          <w:szCs w:val="18"/>
        </w:rPr>
      </w:pPr>
      <w:r>
        <w:rPr>
          <w:rFonts w:ascii="宋体" w:hAnsi="宋体"/>
          <w:color w:val="000000"/>
          <w:sz w:val="18"/>
          <w:szCs w:val="18"/>
        </w:rPr>
        <w:t>1</w:t>
      </w:r>
      <w:r>
        <w:rPr>
          <w:rFonts w:ascii="Times New Roman" w:hAnsi="Times New Roman"/>
          <w:color w:val="000000"/>
          <w:sz w:val="18"/>
          <w:szCs w:val="18"/>
        </w:rPr>
        <w:t>——</w:t>
      </w:r>
      <w:r>
        <w:rPr>
          <w:rFonts w:hint="eastAsia" w:ascii="宋体" w:hAnsi="宋体"/>
          <w:color w:val="000000"/>
          <w:sz w:val="18"/>
          <w:szCs w:val="18"/>
        </w:rPr>
        <w:t>预留孔道；</w:t>
      </w:r>
    </w:p>
    <w:p>
      <w:pPr>
        <w:spacing w:line="240" w:lineRule="auto"/>
        <w:ind w:firstLine="450" w:firstLineChars="250"/>
        <w:rPr>
          <w:rFonts w:ascii="宋体" w:hAnsi="宋体"/>
          <w:sz w:val="18"/>
          <w:szCs w:val="18"/>
        </w:rPr>
      </w:pPr>
      <w:r>
        <w:rPr>
          <w:rFonts w:ascii="宋体" w:hAnsi="宋体"/>
          <w:color w:val="000000"/>
          <w:sz w:val="18"/>
          <w:szCs w:val="18"/>
        </w:rPr>
        <w:t>2</w:t>
      </w:r>
      <w:r>
        <w:rPr>
          <w:rFonts w:ascii="Times New Roman" w:hAnsi="Times New Roman"/>
          <w:color w:val="000000"/>
          <w:sz w:val="18"/>
          <w:szCs w:val="18"/>
        </w:rPr>
        <w:t>——</w:t>
      </w:r>
      <w:r>
        <w:rPr>
          <w:rFonts w:hint="eastAsia" w:ascii="宋体" w:hAnsi="宋体"/>
          <w:sz w:val="18"/>
          <w:szCs w:val="18"/>
        </w:rPr>
        <w:t>螺旋箍筋；</w:t>
      </w:r>
    </w:p>
    <w:p>
      <w:pPr>
        <w:spacing w:line="240" w:lineRule="auto"/>
        <w:ind w:firstLine="450" w:firstLineChars="250"/>
        <w:rPr>
          <w:rFonts w:ascii="宋体" w:hAnsi="宋体"/>
          <w:color w:val="000000"/>
          <w:sz w:val="18"/>
          <w:szCs w:val="18"/>
        </w:rPr>
      </w:pPr>
      <w:r>
        <w:rPr>
          <w:rFonts w:ascii="宋体" w:hAnsi="宋体"/>
          <w:color w:val="000000"/>
          <w:sz w:val="18"/>
          <w:szCs w:val="18"/>
        </w:rPr>
        <w:t>3</w:t>
      </w:r>
      <w:r>
        <w:rPr>
          <w:rFonts w:ascii="Times New Roman" w:hAnsi="Times New Roman"/>
          <w:color w:val="000000"/>
          <w:sz w:val="18"/>
          <w:szCs w:val="18"/>
        </w:rPr>
        <w:t>——</w:t>
      </w:r>
      <w:r>
        <w:rPr>
          <w:rFonts w:hint="eastAsia" w:ascii="宋体" w:hAnsi="宋体"/>
          <w:color w:val="000000"/>
          <w:sz w:val="18"/>
          <w:szCs w:val="18"/>
        </w:rPr>
        <w:t>箍筋；</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4</w:t>
      </w:r>
      <w:r>
        <w:rPr>
          <w:rFonts w:ascii="Times New Roman" w:hAnsi="Times New Roman"/>
          <w:color w:val="000000"/>
          <w:sz w:val="18"/>
          <w:szCs w:val="18"/>
        </w:rPr>
        <w:t>——</w:t>
      </w:r>
      <w:r>
        <w:rPr>
          <w:rFonts w:hint="eastAsia" w:ascii="宋体" w:hAnsi="宋体"/>
          <w:color w:val="000000"/>
          <w:sz w:val="18"/>
          <w:szCs w:val="18"/>
        </w:rPr>
        <w:t>钢绞线；</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5</w:t>
      </w:r>
      <w:r>
        <w:rPr>
          <w:rFonts w:ascii="Times New Roman" w:hAnsi="Times New Roman"/>
          <w:color w:val="000000"/>
          <w:sz w:val="18"/>
          <w:szCs w:val="18"/>
        </w:rPr>
        <w:t>——</w:t>
      </w:r>
      <w:r>
        <w:rPr>
          <w:rFonts w:hint="eastAsia" w:ascii="宋体" w:hAnsi="宋体"/>
          <w:color w:val="000000"/>
          <w:sz w:val="18"/>
          <w:szCs w:val="18"/>
        </w:rPr>
        <w:t>下层预制墙伸入孔道竖向钢筋；</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6</w:t>
      </w:r>
      <w:r>
        <w:rPr>
          <w:rFonts w:ascii="Times New Roman" w:hAnsi="Times New Roman"/>
          <w:color w:val="000000"/>
          <w:sz w:val="18"/>
          <w:szCs w:val="18"/>
        </w:rPr>
        <w:t>——</w:t>
      </w:r>
      <w:r>
        <w:rPr>
          <w:rFonts w:hint="eastAsia" w:ascii="宋体" w:hAnsi="宋体"/>
          <w:color w:val="000000"/>
          <w:sz w:val="18"/>
          <w:szCs w:val="18"/>
        </w:rPr>
        <w:t>附加竖向钢筋；</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7</w:t>
      </w:r>
      <w:r>
        <w:rPr>
          <w:rFonts w:ascii="Times New Roman" w:hAnsi="Times New Roman"/>
          <w:color w:val="000000"/>
          <w:sz w:val="18"/>
          <w:szCs w:val="18"/>
        </w:rPr>
        <w:t>——</w:t>
      </w:r>
      <w:r>
        <w:rPr>
          <w:rFonts w:hint="eastAsia" w:ascii="宋体" w:hAnsi="宋体"/>
          <w:color w:val="000000"/>
          <w:sz w:val="18"/>
          <w:szCs w:val="18"/>
        </w:rPr>
        <w:t>短钢筋；</w:t>
      </w:r>
    </w:p>
    <w:p>
      <w:pPr>
        <w:spacing w:line="240" w:lineRule="auto"/>
        <w:ind w:firstLine="450" w:firstLineChars="250"/>
        <w:rPr>
          <w:rFonts w:ascii="宋体" w:hAnsi="宋体"/>
          <w:color w:val="000000"/>
          <w:sz w:val="18"/>
          <w:szCs w:val="18"/>
        </w:rPr>
      </w:pPr>
      <w:r>
        <w:rPr>
          <w:rFonts w:ascii="宋体" w:hAnsi="宋体"/>
          <w:color w:val="000000"/>
          <w:sz w:val="18"/>
          <w:szCs w:val="18"/>
        </w:rPr>
        <w:t>8</w:t>
      </w:r>
      <w:r>
        <w:rPr>
          <w:rFonts w:ascii="Times New Roman" w:hAnsi="Times New Roman"/>
          <w:color w:val="000000"/>
          <w:sz w:val="18"/>
          <w:szCs w:val="18"/>
        </w:rPr>
        <w:t>——</w:t>
      </w:r>
      <w:r>
        <w:rPr>
          <w:rFonts w:hint="eastAsia" w:ascii="宋体" w:hAnsi="宋体"/>
          <w:color w:val="000000"/>
          <w:sz w:val="18"/>
          <w:szCs w:val="18"/>
        </w:rPr>
        <w:t>灌浆孔；</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9</w:t>
      </w:r>
      <w:r>
        <w:rPr>
          <w:rFonts w:ascii="Times New Roman" w:hAnsi="Times New Roman"/>
          <w:color w:val="000000"/>
          <w:sz w:val="18"/>
          <w:szCs w:val="18"/>
        </w:rPr>
        <w:t>——</w:t>
      </w:r>
      <w:r>
        <w:rPr>
          <w:rFonts w:hint="eastAsia" w:ascii="宋体" w:hAnsi="宋体"/>
          <w:color w:val="000000"/>
          <w:sz w:val="18"/>
          <w:szCs w:val="18"/>
        </w:rPr>
        <w:t>排气孔。</w:t>
      </w:r>
    </w:p>
    <w:p>
      <w:pPr>
        <w:spacing w:before="156" w:beforeLines="50" w:after="156" w:afterLines="50" w:line="240" w:lineRule="auto"/>
        <w:jc w:val="center"/>
        <w:rPr>
          <w:rFonts w:ascii="黑体" w:hAnsi="黑体" w:eastAsia="黑体"/>
          <w:color w:val="000000"/>
        </w:rPr>
      </w:pPr>
      <w:r>
        <w:rPr>
          <w:rFonts w:hint="eastAsia" w:ascii="黑体" w:hAnsi="黑体" w:eastAsia="黑体"/>
          <w:color w:val="000000"/>
        </w:rPr>
        <w:t>图</w:t>
      </w:r>
      <w:r>
        <w:rPr>
          <w:rFonts w:ascii="黑体" w:hAnsi="黑体" w:eastAsia="黑体"/>
          <w:color w:val="000000"/>
        </w:rPr>
        <w:t>10</w:t>
      </w:r>
      <w:r>
        <w:rPr>
          <w:rFonts w:hint="eastAsia" w:ascii="黑体" w:hAnsi="黑体" w:eastAsia="黑体"/>
          <w:color w:val="000000"/>
        </w:rPr>
        <w:t xml:space="preserve"> 竖向钢筋集中约束搭接连接示意</w:t>
      </w:r>
    </w:p>
    <w:p>
      <w:pPr>
        <w:pStyle w:val="58"/>
        <w:ind w:firstLine="0" w:firstLineChars="0"/>
        <w:rPr>
          <w:rFonts w:ascii="Times New Roman"/>
          <w:bCs/>
          <w:szCs w:val="21"/>
        </w:rPr>
      </w:pPr>
      <w:r>
        <w:rPr>
          <w:rFonts w:ascii="黑体" w:hAnsi="黑体" w:eastAsia="黑体"/>
        </w:rPr>
        <w:t>5</w:t>
      </w:r>
      <w:r>
        <w:rPr>
          <w:rFonts w:hint="eastAsia" w:ascii="黑体" w:hAnsi="黑体" w:eastAsia="黑体"/>
        </w:rPr>
        <w:t>.</w:t>
      </w:r>
      <w:r>
        <w:rPr>
          <w:rFonts w:ascii="黑体" w:hAnsi="黑体" w:eastAsia="黑体"/>
        </w:rPr>
        <w:t>7</w:t>
      </w:r>
      <w:r>
        <w:rPr>
          <w:rFonts w:hint="eastAsia" w:ascii="黑体" w:hAnsi="黑体" w:eastAsia="黑体"/>
        </w:rPr>
        <w:t>.</w:t>
      </w:r>
      <w:r>
        <w:rPr>
          <w:rFonts w:ascii="黑体" w:hAnsi="黑体" w:eastAsia="黑体"/>
        </w:rPr>
        <w:t>2</w:t>
      </w:r>
      <w:r>
        <w:rPr>
          <w:rFonts w:hint="eastAsia" w:ascii="黑体" w:hAnsi="黑体" w:eastAsia="黑体"/>
        </w:rPr>
        <w:t xml:space="preserve"> </w:t>
      </w:r>
      <w:r>
        <w:rPr>
          <w:rFonts w:hint="eastAsia" w:ascii="Times New Roman"/>
          <w:bCs/>
          <w:szCs w:val="21"/>
        </w:rPr>
        <w:t>采用竖向钢筋集中约束搭接连接的钢筋直径不宜大于18mm。预制剪力墙中的预留孔道可采用金属波纹管成型。金属波纹管可在成孔后旋出，也可永久留置预制构件中。其直径应满足下列要求：</w:t>
      </w:r>
    </w:p>
    <w:p>
      <w:pPr>
        <w:pStyle w:val="58"/>
        <w:ind w:left="840" w:leftChars="200" w:hanging="420" w:hangingChars="200"/>
      </w:pPr>
      <w:r>
        <w:t>a</w:t>
      </w:r>
      <w:r>
        <w:rPr>
          <w:rFonts w:hint="eastAsia"/>
        </w:rPr>
        <w:t>)</w:t>
      </w:r>
      <w:r>
        <w:tab/>
      </w:r>
      <w:r>
        <w:rPr>
          <w:rFonts w:hint="eastAsia"/>
        </w:rPr>
        <w:t>当剪力墙的截面厚度为200mm时，预留孔道金属波纹管直径不应小于110mm，不宜大于130mm；</w:t>
      </w:r>
    </w:p>
    <w:p>
      <w:pPr>
        <w:pStyle w:val="58"/>
        <w:ind w:left="840" w:leftChars="200" w:hanging="420" w:hangingChars="200"/>
        <w:rPr>
          <w:bCs/>
          <w:szCs w:val="21"/>
        </w:rPr>
      </w:pPr>
      <w:r>
        <w:t>b</w:t>
      </w:r>
      <w:r>
        <w:rPr>
          <w:rFonts w:hint="eastAsia"/>
        </w:rPr>
        <w:t>)</w:t>
      </w:r>
      <w:r>
        <w:tab/>
      </w:r>
      <w:r>
        <w:rPr>
          <w:rFonts w:hint="eastAsia"/>
          <w:bCs/>
          <w:szCs w:val="21"/>
        </w:rPr>
        <w:t>当剪力墙的截面厚度为250mm时，预留孔道金属波纹管直径不应小于160mm，不宜大于180mm；</w:t>
      </w:r>
    </w:p>
    <w:p>
      <w:pPr>
        <w:pStyle w:val="58"/>
        <w:ind w:left="840" w:leftChars="200" w:hanging="420" w:hangingChars="200"/>
        <w:rPr>
          <w:bCs/>
          <w:szCs w:val="21"/>
        </w:rPr>
      </w:pPr>
      <w:r>
        <w:t>c</w:t>
      </w:r>
      <w:r>
        <w:rPr>
          <w:rFonts w:hint="eastAsia"/>
        </w:rPr>
        <w:t>)</w:t>
      </w:r>
      <w:r>
        <w:tab/>
      </w:r>
      <w:r>
        <w:rPr>
          <w:rFonts w:hint="eastAsia"/>
          <w:bCs/>
          <w:szCs w:val="21"/>
        </w:rPr>
        <w:t>当剪力墙的截面厚度为300mm时，预留孔道金属波纹管直径不应小于180mm，不宜大于230mm。</w:t>
      </w:r>
    </w:p>
    <w:p>
      <w:pPr>
        <w:pStyle w:val="58"/>
        <w:ind w:firstLine="0" w:firstLineChars="0"/>
        <w:rPr>
          <w:rFonts w:ascii="Times New Roman"/>
          <w:bCs/>
          <w:szCs w:val="21"/>
        </w:rPr>
      </w:pPr>
      <w:r>
        <w:rPr>
          <w:rFonts w:ascii="黑体" w:hAnsi="黑体" w:eastAsia="黑体"/>
        </w:rPr>
        <w:t>5</w:t>
      </w:r>
      <w:r>
        <w:rPr>
          <w:rFonts w:hint="eastAsia" w:ascii="黑体" w:hAnsi="黑体" w:eastAsia="黑体"/>
        </w:rPr>
        <w:t>.</w:t>
      </w:r>
      <w:r>
        <w:rPr>
          <w:rFonts w:ascii="黑体" w:hAnsi="黑体" w:eastAsia="黑体"/>
        </w:rPr>
        <w:t>7</w:t>
      </w:r>
      <w:r>
        <w:rPr>
          <w:rFonts w:hint="eastAsia" w:ascii="黑体" w:hAnsi="黑体" w:eastAsia="黑体"/>
        </w:rPr>
        <w:t>.</w:t>
      </w:r>
      <w:r>
        <w:rPr>
          <w:rFonts w:ascii="黑体" w:hAnsi="黑体" w:eastAsia="黑体"/>
        </w:rPr>
        <w:t>3</w:t>
      </w:r>
      <w:r>
        <w:rPr>
          <w:rFonts w:hint="eastAsia" w:ascii="黑体" w:hAnsi="黑体" w:eastAsia="黑体"/>
        </w:rPr>
        <w:t xml:space="preserve"> </w:t>
      </w:r>
      <w:r>
        <w:rPr>
          <w:rFonts w:hint="eastAsia" w:ascii="Times New Roman"/>
          <w:bCs/>
          <w:szCs w:val="21"/>
        </w:rPr>
        <w:t>边缘构件部分预留孔道高度为</w:t>
      </w:r>
      <w:r>
        <w:rPr>
          <w:rFonts w:ascii="Times New Roman"/>
          <w:bCs/>
          <w:i/>
          <w:iCs/>
          <w:szCs w:val="21"/>
        </w:rPr>
        <w:t>l</w:t>
      </w:r>
      <w:r>
        <w:rPr>
          <w:rFonts w:ascii="Times New Roman"/>
          <w:bCs/>
          <w:i/>
          <w:iCs/>
          <w:szCs w:val="21"/>
          <w:vertAlign w:val="subscript"/>
        </w:rPr>
        <w:t>l</w:t>
      </w:r>
      <w:r>
        <w:rPr>
          <w:rFonts w:ascii="Times New Roman"/>
          <w:bCs/>
          <w:szCs w:val="21"/>
          <w:vertAlign w:val="subscript"/>
        </w:rPr>
        <w:t>e</w:t>
      </w:r>
      <w:r>
        <w:rPr>
          <w:rFonts w:hint="eastAsia" w:ascii="Times New Roman"/>
          <w:bCs/>
          <w:szCs w:val="21"/>
        </w:rPr>
        <w:t>加50mm，其余部分预留孔道高度为1.2</w:t>
      </w:r>
      <w:r>
        <w:rPr>
          <w:rFonts w:ascii="Times New Roman"/>
          <w:bCs/>
          <w:i/>
          <w:iCs/>
          <w:szCs w:val="21"/>
        </w:rPr>
        <w:t>la</w:t>
      </w:r>
      <w:r>
        <w:rPr>
          <w:rFonts w:ascii="Times New Roman"/>
          <w:bCs/>
          <w:szCs w:val="21"/>
        </w:rPr>
        <w:t>E</w:t>
      </w:r>
      <w:r>
        <w:rPr>
          <w:rFonts w:hint="eastAsia" w:ascii="Times New Roman"/>
          <w:bCs/>
          <w:szCs w:val="21"/>
        </w:rPr>
        <w:t>加50mm（图</w:t>
      </w:r>
      <w:r>
        <w:rPr>
          <w:rFonts w:ascii="Times New Roman"/>
          <w:bCs/>
          <w:szCs w:val="21"/>
        </w:rPr>
        <w:t>11</w:t>
      </w:r>
      <w:r>
        <w:rPr>
          <w:rFonts w:hint="eastAsia" w:ascii="Times New Roman"/>
          <w:bCs/>
          <w:szCs w:val="21"/>
        </w:rPr>
        <w:t>）。</w:t>
      </w:r>
    </w:p>
    <w:p>
      <w:pPr>
        <w:pStyle w:val="58"/>
        <w:ind w:firstLine="0" w:firstLineChars="0"/>
        <w:rPr>
          <w:rFonts w:ascii="Times New Roman"/>
          <w:bCs/>
          <w:szCs w:val="21"/>
        </w:rPr>
      </w:pPr>
    </w:p>
    <w:p>
      <w:pPr>
        <w:pStyle w:val="58"/>
        <w:ind w:firstLine="0" w:firstLineChars="0"/>
        <w:jc w:val="center"/>
        <w:rPr>
          <w:rFonts w:ascii="Times New Roman"/>
          <w:bCs/>
          <w:szCs w:val="21"/>
        </w:rPr>
      </w:pPr>
      <w:r>
        <w:rPr>
          <w:rFonts w:ascii="Times New Roman"/>
          <w:bCs/>
          <w:szCs w:val="21"/>
        </w:rPr>
        <w:drawing>
          <wp:inline distT="0" distB="0" distL="0" distR="0">
            <wp:extent cx="2397760" cy="2085975"/>
            <wp:effectExtent l="0" t="0" r="0" b="0"/>
            <wp:docPr id="1792" name="图片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 name="图片 1792"/>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2425750" cy="2110102"/>
                    </a:xfrm>
                    <a:prstGeom prst="rect">
                      <a:avLst/>
                    </a:prstGeom>
                    <a:noFill/>
                  </pic:spPr>
                </pic:pic>
              </a:graphicData>
            </a:graphic>
          </wp:inline>
        </w:drawing>
      </w:r>
    </w:p>
    <w:p>
      <w:pPr>
        <w:spacing w:before="156" w:beforeLines="50" w:after="156" w:afterLines="50" w:line="240" w:lineRule="auto"/>
        <w:jc w:val="center"/>
        <w:rPr>
          <w:rFonts w:ascii="黑体" w:hAnsi="黑体" w:eastAsia="黑体"/>
          <w:color w:val="000000"/>
        </w:rPr>
      </w:pPr>
      <w:r>
        <w:rPr>
          <w:rFonts w:hint="eastAsia" w:ascii="黑体" w:hAnsi="黑体" w:eastAsia="黑体"/>
          <w:color w:val="000000"/>
        </w:rPr>
        <w:t>图</w:t>
      </w:r>
      <w:r>
        <w:rPr>
          <w:rFonts w:ascii="黑体" w:hAnsi="黑体" w:eastAsia="黑体"/>
          <w:color w:val="000000"/>
        </w:rPr>
        <w:t>11</w:t>
      </w:r>
      <w:r>
        <w:rPr>
          <w:rFonts w:hint="eastAsia" w:ascii="黑体" w:hAnsi="黑体" w:eastAsia="黑体"/>
          <w:color w:val="000000"/>
        </w:rPr>
        <w:t xml:space="preserve"> 预留孔道高度示意</w:t>
      </w:r>
    </w:p>
    <w:p>
      <w:pPr>
        <w:adjustRightInd/>
        <w:spacing w:line="240" w:lineRule="auto"/>
        <w:jc w:val="left"/>
        <w:rPr>
          <w:rFonts w:ascii="Times New Roman" w:hAnsi="Times New Roman"/>
          <w:bCs/>
          <w:kern w:val="0"/>
        </w:rPr>
      </w:pPr>
      <w:r>
        <w:rPr>
          <w:rFonts w:ascii="黑体" w:hAnsi="黑体" w:eastAsia="黑体"/>
          <w:kern w:val="0"/>
          <w:szCs w:val="20"/>
        </w:rPr>
        <w:t>5</w:t>
      </w:r>
      <w:r>
        <w:rPr>
          <w:rFonts w:hint="eastAsia" w:ascii="黑体" w:hAnsi="黑体" w:eastAsia="黑体"/>
          <w:kern w:val="0"/>
          <w:szCs w:val="20"/>
        </w:rPr>
        <w:t>.7.4</w:t>
      </w:r>
      <w:r>
        <w:rPr>
          <w:rFonts w:hint="eastAsia" w:ascii="黑体" w:hAnsi="黑体" w:eastAsia="黑体"/>
          <w:sz w:val="18"/>
          <w:szCs w:val="18"/>
        </w:rPr>
        <w:t xml:space="preserve"> </w:t>
      </w:r>
      <w:r>
        <w:rPr>
          <w:rFonts w:hint="eastAsia" w:ascii="Times New Roman" w:hAnsi="Times New Roman"/>
          <w:bCs/>
          <w:kern w:val="0"/>
        </w:rPr>
        <w:t>预制剪力墙内预留孔道外侧应设置螺旋箍筋，范围同预留孔高度。其缠绕直径宜大于预留孔道外径10mm，下部1/2螺距可取50mm，上部1/2螺距可取100mm。螺旋箍筋可采用HRB400钢筋制作，连接纵筋直径为12、14mm时，螺旋箍筋直径宜采用6mm，连接纵筋直径为16、18mm时，螺旋箍筋直径宜采用8mm。</w:t>
      </w:r>
    </w:p>
    <w:p>
      <w:pPr>
        <w:adjustRightInd/>
        <w:spacing w:line="240" w:lineRule="auto"/>
        <w:jc w:val="left"/>
        <w:rPr>
          <w:rFonts w:ascii="Times New Roman" w:hAnsi="Times New Roman"/>
          <w:bCs/>
          <w:kern w:val="0"/>
        </w:rPr>
      </w:pPr>
      <w:r>
        <w:rPr>
          <w:rFonts w:ascii="黑体" w:hAnsi="黑体" w:eastAsia="黑体"/>
          <w:kern w:val="0"/>
          <w:szCs w:val="20"/>
        </w:rPr>
        <w:t>5</w:t>
      </w:r>
      <w:r>
        <w:rPr>
          <w:rFonts w:hint="eastAsia" w:ascii="黑体" w:hAnsi="黑体" w:eastAsia="黑体"/>
          <w:kern w:val="0"/>
          <w:szCs w:val="20"/>
        </w:rPr>
        <w:t>.7.5</w:t>
      </w:r>
      <w:r>
        <w:rPr>
          <w:rFonts w:hint="eastAsia" w:ascii="黑体" w:hAnsi="黑体" w:eastAsia="黑体"/>
          <w:sz w:val="18"/>
          <w:szCs w:val="18"/>
        </w:rPr>
        <w:t xml:space="preserve"> </w:t>
      </w:r>
      <w:r>
        <w:rPr>
          <w:rFonts w:hint="eastAsia" w:ascii="Times New Roman" w:hAnsi="Times New Roman"/>
          <w:bCs/>
          <w:kern w:val="0"/>
        </w:rPr>
        <w:t>当采用竖向钢筋集中约束搭接连接时，暗柱竖向钢筋搭接长度范围内箍筋、拉筋间距应不大于5d，d为搭接钢筋较小直径和100mm的较小值。</w:t>
      </w:r>
    </w:p>
    <w:p>
      <w:pPr>
        <w:adjustRightInd/>
        <w:spacing w:line="240" w:lineRule="auto"/>
        <w:jc w:val="left"/>
        <w:rPr>
          <w:rFonts w:ascii="Times New Roman" w:hAnsi="Times New Roman"/>
          <w:bCs/>
          <w:kern w:val="0"/>
        </w:rPr>
      </w:pPr>
      <w:r>
        <w:rPr>
          <w:rFonts w:ascii="黑体" w:hAnsi="黑体" w:eastAsia="黑体"/>
          <w:kern w:val="0"/>
          <w:szCs w:val="20"/>
        </w:rPr>
        <w:t>5</w:t>
      </w:r>
      <w:r>
        <w:rPr>
          <w:rFonts w:hint="eastAsia" w:ascii="黑体" w:hAnsi="黑体" w:eastAsia="黑体"/>
          <w:kern w:val="0"/>
          <w:szCs w:val="20"/>
        </w:rPr>
        <w:t>.7.6</w:t>
      </w:r>
      <w:r>
        <w:rPr>
          <w:rFonts w:hint="eastAsia" w:ascii="黑体" w:hAnsi="黑体" w:eastAsia="黑体"/>
          <w:sz w:val="18"/>
          <w:szCs w:val="18"/>
        </w:rPr>
        <w:t xml:space="preserve"> </w:t>
      </w:r>
      <w:r>
        <w:rPr>
          <w:rFonts w:hint="eastAsia" w:ascii="Times New Roman" w:hAnsi="Times New Roman"/>
          <w:bCs/>
          <w:kern w:val="0"/>
        </w:rPr>
        <w:t>预制剪力墙上部竖向钢筋可弯折两次，弯折角不应大于1/6，伸出部分垂直于楼面。当现浇连梁、圈梁截面高度或水平后浇带截面高度范围内截面高度不能满足弯折角要求时，竖向钢筋应在预制剪力墙内上端预先弯折。</w:t>
      </w:r>
    </w:p>
    <w:p>
      <w:pPr>
        <w:pStyle w:val="58"/>
        <w:ind w:firstLine="0" w:firstLineChars="0"/>
        <w:rPr>
          <w:rFonts w:ascii="Times New Roman"/>
          <w:bCs/>
          <w:szCs w:val="21"/>
        </w:rPr>
      </w:pPr>
      <w:r>
        <w:rPr>
          <w:rFonts w:ascii="黑体" w:hAnsi="黑体" w:eastAsia="黑体"/>
        </w:rPr>
        <w:t>5</w:t>
      </w:r>
      <w:r>
        <w:rPr>
          <w:rFonts w:hint="eastAsia" w:ascii="黑体" w:hAnsi="黑体" w:eastAsia="黑体"/>
        </w:rPr>
        <w:t>.</w:t>
      </w:r>
      <w:r>
        <w:rPr>
          <w:rFonts w:ascii="黑体" w:hAnsi="黑体" w:eastAsia="黑体"/>
        </w:rPr>
        <w:t>7</w:t>
      </w:r>
      <w:r>
        <w:rPr>
          <w:rFonts w:hint="eastAsia" w:ascii="黑体" w:hAnsi="黑体" w:eastAsia="黑体"/>
        </w:rPr>
        <w:t xml:space="preserve">.7 </w:t>
      </w:r>
      <w:r>
        <w:rPr>
          <w:rFonts w:hint="eastAsia" w:ascii="Times New Roman"/>
          <w:bCs/>
          <w:szCs w:val="21"/>
        </w:rPr>
        <w:t>屋面以及立面收进的楼层，应在剪力墙顶部设置封闭的后浇钢筋混凝土圈梁（图</w:t>
      </w:r>
      <w:r>
        <w:rPr>
          <w:rFonts w:ascii="Times New Roman"/>
          <w:bCs/>
          <w:szCs w:val="21"/>
        </w:rPr>
        <w:t>12</w:t>
      </w:r>
      <w:r>
        <w:rPr>
          <w:rFonts w:hint="eastAsia" w:ascii="Times New Roman"/>
          <w:bCs/>
          <w:szCs w:val="21"/>
        </w:rPr>
        <w:t>），并应符合下列规定：</w:t>
      </w:r>
    </w:p>
    <w:p>
      <w:pPr>
        <w:pStyle w:val="58"/>
        <w:ind w:left="840" w:leftChars="200" w:hanging="420" w:hangingChars="200"/>
        <w:rPr>
          <w:bCs/>
          <w:szCs w:val="21"/>
        </w:rPr>
      </w:pPr>
      <w:r>
        <w:t>a</w:t>
      </w:r>
      <w:r>
        <w:rPr>
          <w:rFonts w:hint="eastAsia"/>
        </w:rPr>
        <w:t>)</w:t>
      </w:r>
      <w:r>
        <w:tab/>
      </w:r>
      <w:r>
        <w:rPr>
          <w:rFonts w:hint="eastAsia"/>
          <w:bCs/>
          <w:szCs w:val="21"/>
        </w:rPr>
        <w:t>圈梁截面宽度不应小于剪力墙的厚度，截面高度不宜小于楼板厚度及250mm的较大值；圈梁应与现浇或者叠合楼盖或屋盖浇筑成整体；</w:t>
      </w:r>
    </w:p>
    <w:p>
      <w:pPr>
        <w:pStyle w:val="58"/>
        <w:ind w:left="840" w:leftChars="200" w:hanging="420" w:hangingChars="200"/>
      </w:pPr>
      <w:r>
        <w:t>b</w:t>
      </w:r>
      <w:r>
        <w:rPr>
          <w:rFonts w:hint="eastAsia"/>
        </w:rPr>
        <w:t>)</w:t>
      </w:r>
      <w:r>
        <w:tab/>
      </w:r>
      <w:r>
        <w:rPr>
          <w:rFonts w:hint="eastAsia"/>
        </w:rPr>
        <w:t>圈梁内配置的纵筋不小于4</w:t>
      </w:r>
      <w:r>
        <w:rPr>
          <w:rFonts w:hint="eastAsia" w:ascii="SJQY" w:hAnsi="SJQY" w:eastAsia="SJQY" w:cs="SJQY"/>
        </w:rPr>
        <w:t>C</w:t>
      </w:r>
      <w:r>
        <w:rPr>
          <w:rFonts w:hint="eastAsia"/>
        </w:rPr>
        <w:t>12，且按全截面计算的配筋率不应小于0.5%与水平分布筋配筋率的较大值，纵筋竖向间距不应大于200mm；箍筋间距不应大于200mm且直径不应小于8mm；</w:t>
      </w:r>
    </w:p>
    <w:p>
      <w:pPr>
        <w:pStyle w:val="58"/>
        <w:ind w:left="840" w:leftChars="200" w:hanging="420" w:hangingChars="200"/>
      </w:pPr>
      <w:r>
        <w:t>c</w:t>
      </w:r>
      <w:r>
        <w:rPr>
          <w:rFonts w:hint="eastAsia"/>
        </w:rPr>
        <w:t>)</w:t>
      </w:r>
      <w:r>
        <w:tab/>
      </w:r>
      <w:r>
        <w:rPr>
          <w:rFonts w:hint="eastAsia"/>
        </w:rPr>
        <w:t>纵筋弯折范围应设置直径8mm的短钢筋，短钢筋上端宜与后浇楼面顶平，下端从剪力墙竖向钢筋起弯点宜向下延伸200mm。</w:t>
      </w:r>
    </w:p>
    <w:p>
      <w:pPr>
        <w:pStyle w:val="58"/>
        <w:ind w:left="840" w:leftChars="200" w:hanging="420" w:hangingChars="200"/>
      </w:pPr>
    </w:p>
    <w:p>
      <w:pPr>
        <w:pStyle w:val="58"/>
        <w:ind w:firstLine="0" w:firstLineChars="0"/>
        <w:jc w:val="center"/>
        <w:rPr>
          <w:rFonts w:ascii="黑体" w:hAnsi="黑体" w:eastAsia="黑体"/>
          <w:sz w:val="18"/>
          <w:szCs w:val="18"/>
        </w:rPr>
      </w:pPr>
      <w:r>
        <w:drawing>
          <wp:inline distT="0" distB="0" distL="0" distR="0">
            <wp:extent cx="3898900" cy="1934210"/>
            <wp:effectExtent l="0" t="0" r="0" b="0"/>
            <wp:docPr id="12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21"/>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a:xfrm>
                      <a:off x="0" y="0"/>
                      <a:ext cx="3919537" cy="1944434"/>
                    </a:xfrm>
                    <a:prstGeom prst="rect">
                      <a:avLst/>
                    </a:prstGeom>
                    <a:noFill/>
                    <a:ln>
                      <a:noFill/>
                    </a:ln>
                  </pic:spPr>
                </pic:pic>
              </a:graphicData>
            </a:graphic>
          </wp:inline>
        </w:drawing>
      </w:r>
    </w:p>
    <w:p>
      <w:pPr>
        <w:widowControl/>
        <w:autoSpaceDE w:val="0"/>
        <w:autoSpaceDN w:val="0"/>
        <w:adjustRightInd/>
        <w:spacing w:line="240" w:lineRule="auto"/>
        <w:ind w:left="780" w:leftChars="200" w:hanging="360" w:hangingChars="200"/>
        <w:jc w:val="left"/>
        <w:rPr>
          <w:rFonts w:ascii="宋体" w:hAnsi="Times New Roman"/>
          <w:bCs/>
          <w:kern w:val="0"/>
          <w:sz w:val="18"/>
          <w:szCs w:val="18"/>
        </w:rPr>
      </w:pPr>
      <w:r>
        <w:rPr>
          <w:rFonts w:hint="eastAsia" w:ascii="宋体" w:hAnsi="Times New Roman"/>
          <w:bCs/>
          <w:kern w:val="0"/>
          <w:sz w:val="18"/>
          <w:szCs w:val="18"/>
        </w:rPr>
        <w:t>标引序号说明：</w:t>
      </w:r>
    </w:p>
    <w:p>
      <w:pPr>
        <w:spacing w:line="240" w:lineRule="auto"/>
        <w:ind w:firstLine="450" w:firstLineChars="250"/>
        <w:rPr>
          <w:rFonts w:ascii="宋体" w:hAnsi="宋体"/>
          <w:color w:val="000000"/>
          <w:sz w:val="18"/>
          <w:szCs w:val="18"/>
        </w:rPr>
      </w:pPr>
      <w:r>
        <w:rPr>
          <w:rFonts w:ascii="宋体" w:hAnsi="宋体"/>
          <w:color w:val="000000"/>
          <w:sz w:val="18"/>
          <w:szCs w:val="18"/>
        </w:rPr>
        <w:t>1</w:t>
      </w:r>
      <w:r>
        <w:rPr>
          <w:rFonts w:ascii="Times New Roman" w:hAnsi="Times New Roman"/>
          <w:color w:val="000000"/>
          <w:sz w:val="18"/>
          <w:szCs w:val="18"/>
        </w:rPr>
        <w:t>——</w:t>
      </w:r>
      <w:r>
        <w:rPr>
          <w:rFonts w:hint="eastAsia" w:ascii="宋体" w:hAnsi="宋体"/>
          <w:color w:val="000000"/>
          <w:sz w:val="18"/>
          <w:szCs w:val="18"/>
        </w:rPr>
        <w:t>叠合板后浇层；</w:t>
      </w:r>
    </w:p>
    <w:p>
      <w:pPr>
        <w:spacing w:line="240" w:lineRule="auto"/>
        <w:ind w:firstLine="450" w:firstLineChars="250"/>
        <w:rPr>
          <w:rFonts w:ascii="宋体" w:hAnsi="宋体"/>
          <w:sz w:val="18"/>
          <w:szCs w:val="18"/>
        </w:rPr>
      </w:pPr>
      <w:r>
        <w:rPr>
          <w:rFonts w:ascii="宋体" w:hAnsi="宋体"/>
          <w:color w:val="000000"/>
          <w:sz w:val="18"/>
          <w:szCs w:val="18"/>
        </w:rPr>
        <w:t>2</w:t>
      </w:r>
      <w:r>
        <w:rPr>
          <w:rFonts w:ascii="Times New Roman" w:hAnsi="Times New Roman"/>
          <w:color w:val="000000"/>
          <w:sz w:val="18"/>
          <w:szCs w:val="18"/>
        </w:rPr>
        <w:t>——</w:t>
      </w:r>
      <w:r>
        <w:rPr>
          <w:rFonts w:hint="eastAsia" w:ascii="宋体" w:hAnsi="宋体"/>
          <w:sz w:val="18"/>
          <w:szCs w:val="18"/>
        </w:rPr>
        <w:t>预制楼板；</w:t>
      </w:r>
    </w:p>
    <w:p>
      <w:pPr>
        <w:spacing w:line="240" w:lineRule="auto"/>
        <w:ind w:firstLine="450" w:firstLineChars="250"/>
        <w:rPr>
          <w:rFonts w:ascii="宋体" w:hAnsi="宋体"/>
          <w:color w:val="000000"/>
          <w:sz w:val="18"/>
          <w:szCs w:val="18"/>
        </w:rPr>
      </w:pPr>
      <w:r>
        <w:rPr>
          <w:rFonts w:ascii="宋体" w:hAnsi="宋体"/>
          <w:color w:val="000000"/>
          <w:sz w:val="18"/>
          <w:szCs w:val="18"/>
        </w:rPr>
        <w:t>3</w:t>
      </w:r>
      <w:r>
        <w:rPr>
          <w:rFonts w:ascii="Times New Roman" w:hAnsi="Times New Roman"/>
          <w:color w:val="000000"/>
          <w:sz w:val="18"/>
          <w:szCs w:val="18"/>
        </w:rPr>
        <w:t>——</w:t>
      </w:r>
      <w:r>
        <w:rPr>
          <w:rFonts w:hint="eastAsia" w:ascii="宋体" w:hAnsi="宋体"/>
          <w:color w:val="000000"/>
          <w:sz w:val="18"/>
          <w:szCs w:val="18"/>
        </w:rPr>
        <w:t>纵向钢筋；</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4</w:t>
      </w:r>
      <w:r>
        <w:rPr>
          <w:rFonts w:ascii="Times New Roman" w:hAnsi="Times New Roman"/>
          <w:color w:val="000000"/>
          <w:sz w:val="18"/>
          <w:szCs w:val="18"/>
        </w:rPr>
        <w:t>——</w:t>
      </w:r>
      <w:r>
        <w:rPr>
          <w:rFonts w:hint="eastAsia" w:ascii="宋体" w:hAnsi="宋体"/>
          <w:color w:val="000000"/>
          <w:sz w:val="18"/>
          <w:szCs w:val="18"/>
        </w:rPr>
        <w:t>预制剪力墙；</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5</w:t>
      </w:r>
      <w:r>
        <w:rPr>
          <w:rFonts w:ascii="Times New Roman" w:hAnsi="Times New Roman"/>
          <w:color w:val="000000"/>
          <w:sz w:val="18"/>
          <w:szCs w:val="18"/>
        </w:rPr>
        <w:t>——</w:t>
      </w:r>
      <w:r>
        <w:rPr>
          <w:rFonts w:hint="eastAsia" w:ascii="宋体" w:hAnsi="宋体"/>
          <w:color w:val="000000"/>
          <w:sz w:val="18"/>
          <w:szCs w:val="18"/>
        </w:rPr>
        <w:t>后浇圈梁；</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6</w:t>
      </w:r>
      <w:r>
        <w:rPr>
          <w:rFonts w:ascii="Times New Roman" w:hAnsi="Times New Roman"/>
          <w:color w:val="000000"/>
          <w:sz w:val="18"/>
          <w:szCs w:val="18"/>
        </w:rPr>
        <w:t>——</w:t>
      </w:r>
      <w:r>
        <w:rPr>
          <w:rFonts w:hint="eastAsia" w:ascii="宋体" w:hAnsi="宋体"/>
          <w:color w:val="000000"/>
          <w:sz w:val="18"/>
          <w:szCs w:val="18"/>
        </w:rPr>
        <w:t>直径8mm短钢筋。</w:t>
      </w:r>
    </w:p>
    <w:p>
      <w:pPr>
        <w:spacing w:before="156" w:beforeLines="50" w:after="156" w:afterLines="50" w:line="240" w:lineRule="auto"/>
        <w:jc w:val="center"/>
        <w:rPr>
          <w:rFonts w:ascii="黑体" w:hAnsi="黑体" w:eastAsia="黑体"/>
          <w:color w:val="000000"/>
        </w:rPr>
      </w:pPr>
      <w:r>
        <w:rPr>
          <w:rFonts w:hint="eastAsia" w:ascii="黑体" w:hAnsi="黑体" w:eastAsia="黑体"/>
          <w:color w:val="000000"/>
        </w:rPr>
        <w:t>图</w:t>
      </w:r>
      <w:r>
        <w:rPr>
          <w:rFonts w:ascii="黑体" w:hAnsi="黑体" w:eastAsia="黑体"/>
          <w:color w:val="000000"/>
        </w:rPr>
        <w:t>12</w:t>
      </w:r>
      <w:r>
        <w:rPr>
          <w:rFonts w:hint="eastAsia" w:ascii="黑体" w:hAnsi="黑体" w:eastAsia="黑体"/>
          <w:color w:val="000000"/>
        </w:rPr>
        <w:t xml:space="preserve"> 后浇钢筋混凝土圈梁构造示意</w:t>
      </w:r>
    </w:p>
    <w:p>
      <w:pPr>
        <w:pStyle w:val="58"/>
        <w:ind w:firstLine="0" w:firstLineChars="0"/>
        <w:rPr>
          <w:rFonts w:ascii="Times New Roman"/>
          <w:bCs/>
          <w:szCs w:val="21"/>
        </w:rPr>
      </w:pPr>
      <w:r>
        <w:rPr>
          <w:rFonts w:ascii="黑体" w:hAnsi="黑体" w:eastAsia="黑体"/>
        </w:rPr>
        <w:t>5</w:t>
      </w:r>
      <w:r>
        <w:rPr>
          <w:rFonts w:hint="eastAsia" w:ascii="黑体" w:hAnsi="黑体" w:eastAsia="黑体"/>
        </w:rPr>
        <w:t>.</w:t>
      </w:r>
      <w:r>
        <w:rPr>
          <w:rFonts w:ascii="黑体" w:hAnsi="黑体" w:eastAsia="黑体"/>
        </w:rPr>
        <w:t>7</w:t>
      </w:r>
      <w:r>
        <w:rPr>
          <w:rFonts w:hint="eastAsia" w:ascii="黑体" w:hAnsi="黑体" w:eastAsia="黑体"/>
        </w:rPr>
        <w:t>.</w:t>
      </w:r>
      <w:r>
        <w:rPr>
          <w:rFonts w:ascii="黑体" w:hAnsi="黑体" w:eastAsia="黑体"/>
        </w:rPr>
        <w:t>8</w:t>
      </w:r>
      <w:r>
        <w:rPr>
          <w:rFonts w:hint="eastAsia" w:ascii="黑体" w:hAnsi="黑体" w:eastAsia="黑体"/>
        </w:rPr>
        <w:t xml:space="preserve"> </w:t>
      </w:r>
      <w:r>
        <w:rPr>
          <w:rFonts w:hint="eastAsia" w:ascii="Times New Roman"/>
          <w:bCs/>
          <w:szCs w:val="21"/>
        </w:rPr>
        <w:t>各层楼面位置，剪力墙顶部无后浇圈梁时，应设置连续的水平后浇带（图</w:t>
      </w:r>
      <w:r>
        <w:rPr>
          <w:rFonts w:ascii="Times New Roman"/>
          <w:bCs/>
          <w:szCs w:val="21"/>
        </w:rPr>
        <w:t>13</w:t>
      </w:r>
      <w:r>
        <w:rPr>
          <w:rFonts w:hint="eastAsia" w:ascii="Times New Roman"/>
          <w:bCs/>
          <w:szCs w:val="21"/>
        </w:rPr>
        <w:t>）；水平后浇带应符合下列规定：</w:t>
      </w:r>
    </w:p>
    <w:p>
      <w:pPr>
        <w:pStyle w:val="58"/>
        <w:ind w:left="840" w:leftChars="200" w:hanging="420" w:hangingChars="200"/>
        <w:rPr>
          <w:bCs/>
          <w:szCs w:val="21"/>
        </w:rPr>
      </w:pPr>
      <w:bookmarkStart w:id="107" w:name="_Hlk142573526"/>
      <w:r>
        <w:t>a</w:t>
      </w:r>
      <w:r>
        <w:rPr>
          <w:rFonts w:hint="eastAsia"/>
        </w:rPr>
        <w:t>)</w:t>
      </w:r>
      <w:r>
        <w:tab/>
      </w:r>
      <w:r>
        <w:rPr>
          <w:rFonts w:hint="eastAsia"/>
          <w:bCs/>
          <w:szCs w:val="21"/>
        </w:rPr>
        <w:t>水平后浇带宽度应取剪力墙的厚度，高度宜同楼板厚度；水平后浇带应与现浇或叠合楼盖浇筑成整体；</w:t>
      </w:r>
    </w:p>
    <w:bookmarkEnd w:id="107"/>
    <w:p>
      <w:pPr>
        <w:pStyle w:val="58"/>
        <w:ind w:left="840" w:leftChars="200" w:hanging="420" w:hangingChars="200"/>
        <w:rPr>
          <w:bCs/>
          <w:szCs w:val="21"/>
        </w:rPr>
      </w:pPr>
      <w:r>
        <w:t>b</w:t>
      </w:r>
      <w:r>
        <w:rPr>
          <w:rFonts w:hint="eastAsia"/>
        </w:rPr>
        <w:t>)</w:t>
      </w:r>
      <w:r>
        <w:tab/>
      </w:r>
      <w:r>
        <w:rPr>
          <w:rFonts w:hint="eastAsia"/>
          <w:bCs/>
          <w:szCs w:val="21"/>
        </w:rPr>
        <w:t>水平后浇带内应配置不少于2根连续纵向钢筋，其直径不宜小于12mm；</w:t>
      </w:r>
    </w:p>
    <w:p>
      <w:pPr>
        <w:pStyle w:val="58"/>
        <w:ind w:left="840" w:leftChars="200" w:hanging="420" w:hangingChars="200"/>
        <w:rPr>
          <w:bCs/>
          <w:szCs w:val="21"/>
        </w:rPr>
      </w:pPr>
      <w:r>
        <w:t>c</w:t>
      </w:r>
      <w:r>
        <w:rPr>
          <w:rFonts w:hint="eastAsia"/>
        </w:rPr>
        <w:t>)</w:t>
      </w:r>
      <w:r>
        <w:tab/>
      </w:r>
      <w:r>
        <w:rPr>
          <w:rFonts w:hint="eastAsia"/>
          <w:bCs/>
          <w:szCs w:val="21"/>
        </w:rPr>
        <w:t>纵筋弯折范围应设置直径8mm的短钢筋，短钢筋上端与后浇楼面顶平，下端从剪力墙竖向钢筋起弯点向下延伸200mm。</w:t>
      </w:r>
    </w:p>
    <w:p>
      <w:pPr>
        <w:pStyle w:val="58"/>
        <w:ind w:left="840" w:leftChars="200" w:hanging="420" w:hangingChars="200"/>
        <w:rPr>
          <w:bCs/>
          <w:szCs w:val="21"/>
        </w:rPr>
      </w:pPr>
    </w:p>
    <w:p>
      <w:pPr>
        <w:pStyle w:val="58"/>
        <w:ind w:firstLine="0" w:firstLineChars="0"/>
        <w:jc w:val="center"/>
        <w:rPr>
          <w:bCs/>
          <w:szCs w:val="21"/>
        </w:rPr>
      </w:pPr>
      <w:r>
        <w:rPr>
          <w:bCs/>
          <w:szCs w:val="21"/>
        </w:rPr>
        <w:drawing>
          <wp:inline distT="0" distB="0" distL="0" distR="0">
            <wp:extent cx="3642995" cy="1578610"/>
            <wp:effectExtent l="0" t="0" r="0"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a:xfrm>
                      <a:off x="0" y="0"/>
                      <a:ext cx="3666970" cy="1588769"/>
                    </a:xfrm>
                    <a:prstGeom prst="rect">
                      <a:avLst/>
                    </a:prstGeom>
                    <a:noFill/>
                  </pic:spPr>
                </pic:pic>
              </a:graphicData>
            </a:graphic>
          </wp:inline>
        </w:drawing>
      </w:r>
    </w:p>
    <w:p>
      <w:pPr>
        <w:widowControl/>
        <w:autoSpaceDE w:val="0"/>
        <w:autoSpaceDN w:val="0"/>
        <w:adjustRightInd/>
        <w:spacing w:line="240" w:lineRule="auto"/>
        <w:ind w:left="780" w:leftChars="200" w:hanging="360" w:hangingChars="200"/>
        <w:jc w:val="left"/>
        <w:rPr>
          <w:rFonts w:ascii="宋体" w:hAnsi="Times New Roman"/>
          <w:bCs/>
          <w:kern w:val="0"/>
          <w:sz w:val="18"/>
          <w:szCs w:val="18"/>
        </w:rPr>
      </w:pPr>
      <w:r>
        <w:rPr>
          <w:rFonts w:hint="eastAsia" w:ascii="宋体" w:hAnsi="Times New Roman"/>
          <w:bCs/>
          <w:kern w:val="0"/>
          <w:sz w:val="18"/>
          <w:szCs w:val="18"/>
        </w:rPr>
        <w:t>标引序号说明：</w:t>
      </w:r>
    </w:p>
    <w:p>
      <w:pPr>
        <w:spacing w:line="240" w:lineRule="auto"/>
        <w:ind w:firstLine="450" w:firstLineChars="250"/>
        <w:rPr>
          <w:rFonts w:ascii="宋体" w:hAnsi="宋体"/>
          <w:color w:val="000000"/>
          <w:sz w:val="18"/>
          <w:szCs w:val="18"/>
        </w:rPr>
      </w:pPr>
      <w:r>
        <w:rPr>
          <w:rFonts w:ascii="宋体" w:hAnsi="宋体"/>
          <w:color w:val="000000"/>
          <w:sz w:val="18"/>
          <w:szCs w:val="18"/>
        </w:rPr>
        <w:t>1</w:t>
      </w:r>
      <w:r>
        <w:rPr>
          <w:rFonts w:ascii="Times New Roman" w:hAnsi="Times New Roman"/>
          <w:color w:val="000000"/>
          <w:sz w:val="18"/>
          <w:szCs w:val="18"/>
        </w:rPr>
        <w:t>——</w:t>
      </w:r>
      <w:r>
        <w:rPr>
          <w:rFonts w:hint="eastAsia" w:ascii="宋体" w:hAnsi="宋体"/>
          <w:color w:val="000000"/>
          <w:sz w:val="18"/>
          <w:szCs w:val="18"/>
        </w:rPr>
        <w:t>叠合板后浇层；</w:t>
      </w:r>
    </w:p>
    <w:p>
      <w:pPr>
        <w:spacing w:line="240" w:lineRule="auto"/>
        <w:ind w:firstLine="450" w:firstLineChars="250"/>
        <w:rPr>
          <w:rFonts w:ascii="宋体" w:hAnsi="宋体"/>
          <w:sz w:val="18"/>
          <w:szCs w:val="18"/>
        </w:rPr>
      </w:pPr>
      <w:r>
        <w:rPr>
          <w:rFonts w:ascii="宋体" w:hAnsi="宋体"/>
          <w:color w:val="000000"/>
          <w:sz w:val="18"/>
          <w:szCs w:val="18"/>
        </w:rPr>
        <w:t>2</w:t>
      </w:r>
      <w:r>
        <w:rPr>
          <w:rFonts w:ascii="Times New Roman" w:hAnsi="Times New Roman"/>
          <w:color w:val="000000"/>
          <w:sz w:val="18"/>
          <w:szCs w:val="18"/>
        </w:rPr>
        <w:t>——</w:t>
      </w:r>
      <w:r>
        <w:rPr>
          <w:rFonts w:hint="eastAsia" w:ascii="宋体" w:hAnsi="宋体"/>
          <w:sz w:val="18"/>
          <w:szCs w:val="18"/>
        </w:rPr>
        <w:t>预制板；</w:t>
      </w:r>
    </w:p>
    <w:p>
      <w:pPr>
        <w:spacing w:line="240" w:lineRule="auto"/>
        <w:ind w:firstLine="450" w:firstLineChars="250"/>
        <w:rPr>
          <w:rFonts w:ascii="宋体" w:hAnsi="宋体"/>
          <w:color w:val="000000"/>
          <w:sz w:val="18"/>
          <w:szCs w:val="18"/>
        </w:rPr>
      </w:pPr>
      <w:r>
        <w:rPr>
          <w:rFonts w:ascii="宋体" w:hAnsi="宋体"/>
          <w:color w:val="000000"/>
          <w:sz w:val="18"/>
          <w:szCs w:val="18"/>
        </w:rPr>
        <w:t>3</w:t>
      </w:r>
      <w:r>
        <w:rPr>
          <w:rFonts w:ascii="Times New Roman" w:hAnsi="Times New Roman"/>
          <w:color w:val="000000"/>
          <w:sz w:val="18"/>
          <w:szCs w:val="18"/>
        </w:rPr>
        <w:t>——</w:t>
      </w:r>
      <w:r>
        <w:rPr>
          <w:rFonts w:hint="eastAsia" w:ascii="宋体" w:hAnsi="宋体"/>
          <w:color w:val="000000"/>
          <w:sz w:val="18"/>
          <w:szCs w:val="18"/>
        </w:rPr>
        <w:t>纵向钢筋；</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4</w:t>
      </w:r>
      <w:r>
        <w:rPr>
          <w:rFonts w:ascii="Times New Roman" w:hAnsi="Times New Roman"/>
          <w:color w:val="000000"/>
          <w:sz w:val="18"/>
          <w:szCs w:val="18"/>
        </w:rPr>
        <w:t>——</w:t>
      </w:r>
      <w:r>
        <w:rPr>
          <w:rFonts w:hint="eastAsia" w:ascii="宋体" w:hAnsi="宋体"/>
          <w:color w:val="000000"/>
          <w:sz w:val="18"/>
          <w:szCs w:val="18"/>
        </w:rPr>
        <w:t>预制墙板；</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5</w:t>
      </w:r>
      <w:r>
        <w:rPr>
          <w:rFonts w:ascii="Times New Roman" w:hAnsi="Times New Roman"/>
          <w:color w:val="000000"/>
          <w:sz w:val="18"/>
          <w:szCs w:val="18"/>
        </w:rPr>
        <w:t>——</w:t>
      </w:r>
      <w:r>
        <w:rPr>
          <w:rFonts w:hint="eastAsia" w:ascii="宋体" w:hAnsi="宋体"/>
          <w:color w:val="000000"/>
          <w:sz w:val="18"/>
          <w:szCs w:val="18"/>
        </w:rPr>
        <w:t>水平后浇带；</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6</w:t>
      </w:r>
      <w:r>
        <w:rPr>
          <w:rFonts w:ascii="Times New Roman" w:hAnsi="Times New Roman"/>
          <w:color w:val="000000"/>
          <w:sz w:val="18"/>
          <w:szCs w:val="18"/>
        </w:rPr>
        <w:t>——</w:t>
      </w:r>
      <w:r>
        <w:rPr>
          <w:rFonts w:hint="eastAsia" w:ascii="宋体" w:hAnsi="宋体"/>
          <w:color w:val="000000"/>
          <w:sz w:val="18"/>
          <w:szCs w:val="18"/>
        </w:rPr>
        <w:t>直径8mm短钢筋。</w:t>
      </w:r>
    </w:p>
    <w:p>
      <w:pPr>
        <w:spacing w:before="156" w:beforeLines="50" w:after="156" w:afterLines="50" w:line="240" w:lineRule="auto"/>
        <w:jc w:val="center"/>
        <w:rPr>
          <w:rFonts w:ascii="黑体" w:hAnsi="黑体" w:eastAsia="黑体"/>
          <w:color w:val="000000"/>
        </w:rPr>
      </w:pPr>
      <w:r>
        <w:rPr>
          <w:rFonts w:hint="eastAsia" w:ascii="黑体" w:hAnsi="黑体" w:eastAsia="黑体"/>
          <w:color w:val="000000"/>
        </w:rPr>
        <w:t>图</w:t>
      </w:r>
      <w:r>
        <w:rPr>
          <w:rFonts w:ascii="黑体" w:hAnsi="黑体" w:eastAsia="黑体"/>
          <w:color w:val="000000"/>
        </w:rPr>
        <w:t>13</w:t>
      </w:r>
      <w:r>
        <w:rPr>
          <w:rFonts w:hint="eastAsia" w:ascii="黑体" w:hAnsi="黑体" w:eastAsia="黑体"/>
          <w:color w:val="000000"/>
        </w:rPr>
        <w:t xml:space="preserve"> 水平后浇带构造示意</w:t>
      </w:r>
    </w:p>
    <w:p>
      <w:pPr>
        <w:pStyle w:val="58"/>
        <w:ind w:firstLine="0" w:firstLineChars="0"/>
        <w:jc w:val="left"/>
        <w:rPr>
          <w:bCs/>
          <w:szCs w:val="21"/>
        </w:rPr>
      </w:pPr>
      <w:r>
        <w:rPr>
          <w:rFonts w:ascii="黑体" w:hAnsi="黑体" w:eastAsia="黑体"/>
        </w:rPr>
        <w:t>5</w:t>
      </w:r>
      <w:r>
        <w:rPr>
          <w:rFonts w:hint="eastAsia" w:ascii="黑体" w:hAnsi="黑体" w:eastAsia="黑体"/>
        </w:rPr>
        <w:t>.7.9</w:t>
      </w:r>
      <w:r>
        <w:rPr>
          <w:rFonts w:hint="eastAsia"/>
          <w:bCs/>
          <w:szCs w:val="21"/>
        </w:rPr>
        <w:t xml:space="preserve"> 边缘构件部分每个预留孔内应设置4根钢筋，宜设置直径及伸出长度与其相同的附加钢筋，其面积不宜少于总面积的25%。附加钢筋应设置在预制墙中并满足锚固长度要求。</w:t>
      </w:r>
    </w:p>
    <w:p>
      <w:pPr>
        <w:pStyle w:val="58"/>
        <w:ind w:firstLine="0" w:firstLineChars="0"/>
        <w:jc w:val="left"/>
        <w:rPr>
          <w:bCs/>
          <w:szCs w:val="21"/>
        </w:rPr>
      </w:pPr>
      <w:r>
        <w:rPr>
          <w:rFonts w:ascii="黑体" w:hAnsi="黑体" w:eastAsia="黑体"/>
        </w:rPr>
        <w:t>5</w:t>
      </w:r>
      <w:r>
        <w:rPr>
          <w:rFonts w:hint="eastAsia" w:ascii="黑体" w:hAnsi="黑体" w:eastAsia="黑体"/>
        </w:rPr>
        <w:t>.7.10</w:t>
      </w:r>
      <w:r>
        <w:rPr>
          <w:rFonts w:hint="eastAsia"/>
          <w:bCs/>
          <w:szCs w:val="21"/>
        </w:rPr>
        <w:t xml:space="preserve"> 当剪力墙接缝位于边缘构件区域时，应符合国家现行标准《装配式混凝土建筑技术标准》GB/T 51231和《装配式混凝土结构技术规程》JGJ 1的相关规定。</w:t>
      </w:r>
    </w:p>
    <w:p>
      <w:pPr>
        <w:pStyle w:val="58"/>
        <w:ind w:firstLine="0" w:firstLineChars="0"/>
        <w:jc w:val="left"/>
        <w:rPr>
          <w:bCs/>
          <w:szCs w:val="21"/>
        </w:rPr>
      </w:pPr>
      <w:r>
        <w:rPr>
          <w:rFonts w:ascii="黑体" w:hAnsi="黑体" w:eastAsia="黑体"/>
        </w:rPr>
        <w:t>5</w:t>
      </w:r>
      <w:r>
        <w:rPr>
          <w:rFonts w:hint="eastAsia" w:ascii="黑体" w:hAnsi="黑体" w:eastAsia="黑体"/>
        </w:rPr>
        <w:t>.7.11</w:t>
      </w:r>
      <w:r>
        <w:rPr>
          <w:rFonts w:hint="eastAsia"/>
          <w:bCs/>
          <w:szCs w:val="21"/>
        </w:rPr>
        <w:t xml:space="preserve"> 当剪力墙接缝不在约束边缘构件区域时，纵向钢筋连接采用集中约束搭接连接的预制剪力墙的边缘构件宜采用暗柱和翼墙（图</w:t>
      </w:r>
      <w:r>
        <w:rPr>
          <w:bCs/>
          <w:szCs w:val="21"/>
        </w:rPr>
        <w:t>14</w:t>
      </w:r>
      <w:r>
        <w:rPr>
          <w:rFonts w:hint="eastAsia"/>
          <w:bCs/>
          <w:szCs w:val="21"/>
        </w:rPr>
        <w:t>），并应符合现行行业标准《高层建筑混凝土结构技术规程》JGJ 3的相关规定。</w:t>
      </w:r>
    </w:p>
    <w:p>
      <w:pPr>
        <w:pStyle w:val="58"/>
        <w:ind w:firstLine="0" w:firstLineChars="0"/>
        <w:jc w:val="left"/>
        <w:rPr>
          <w:bCs/>
          <w:szCs w:val="21"/>
        </w:rPr>
      </w:pPr>
    </w:p>
    <w:p>
      <w:pPr>
        <w:pStyle w:val="58"/>
        <w:ind w:firstLine="0" w:firstLineChars="0"/>
        <w:jc w:val="center"/>
        <w:rPr>
          <w:bCs/>
          <w:szCs w:val="21"/>
        </w:rPr>
      </w:pPr>
      <w:r>
        <w:drawing>
          <wp:inline distT="0" distB="0" distL="0" distR="0">
            <wp:extent cx="3605530" cy="1351915"/>
            <wp:effectExtent l="0" t="0" r="0" b="0"/>
            <wp:docPr id="179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 name="图片 24"/>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a:xfrm>
                      <a:off x="0" y="0"/>
                      <a:ext cx="3605841" cy="1352137"/>
                    </a:xfrm>
                    <a:prstGeom prst="rect">
                      <a:avLst/>
                    </a:prstGeom>
                    <a:noFill/>
                    <a:ln>
                      <a:noFill/>
                    </a:ln>
                  </pic:spPr>
                </pic:pic>
              </a:graphicData>
            </a:graphic>
          </wp:inline>
        </w:drawing>
      </w:r>
    </w:p>
    <w:p>
      <w:pPr>
        <w:spacing w:line="240" w:lineRule="auto"/>
        <w:jc w:val="center"/>
        <w:rPr>
          <w:rFonts w:ascii="黑体" w:hAnsi="黑体" w:eastAsia="黑体"/>
          <w:sz w:val="18"/>
          <w:szCs w:val="18"/>
        </w:rPr>
      </w:pPr>
      <w:r>
        <w:rPr>
          <w:rFonts w:hint="eastAsia" w:ascii="黑体" w:hAnsi="黑体" w:eastAsia="黑体"/>
          <w:sz w:val="18"/>
          <w:szCs w:val="18"/>
          <w:lang w:eastAsia="zh-CN"/>
        </w:rPr>
        <w:t>（</w:t>
      </w:r>
      <w:r>
        <w:rPr>
          <w:rFonts w:hint="eastAsia" w:ascii="黑体" w:hAnsi="黑体" w:eastAsia="黑体"/>
          <w:sz w:val="18"/>
          <w:szCs w:val="18"/>
        </w:rPr>
        <w:t>a）暗柱</w:t>
      </w:r>
    </w:p>
    <w:p>
      <w:pPr>
        <w:pStyle w:val="58"/>
        <w:ind w:firstLine="0" w:firstLineChars="0"/>
        <w:jc w:val="center"/>
        <w:rPr>
          <w:bCs/>
          <w:szCs w:val="21"/>
        </w:rPr>
      </w:pPr>
      <w:r>
        <w:rPr>
          <w:bCs/>
          <w:szCs w:val="21"/>
        </w:rPr>
        <w:drawing>
          <wp:inline distT="0" distB="0" distL="0" distR="0">
            <wp:extent cx="3926840" cy="2432685"/>
            <wp:effectExtent l="0" t="0" r="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a:xfrm>
                      <a:off x="0" y="0"/>
                      <a:ext cx="4006442" cy="2482399"/>
                    </a:xfrm>
                    <a:prstGeom prst="rect">
                      <a:avLst/>
                    </a:prstGeom>
                    <a:noFill/>
                  </pic:spPr>
                </pic:pic>
              </a:graphicData>
            </a:graphic>
          </wp:inline>
        </w:drawing>
      </w:r>
    </w:p>
    <w:p>
      <w:pPr>
        <w:spacing w:line="240" w:lineRule="auto"/>
        <w:jc w:val="center"/>
        <w:rPr>
          <w:rFonts w:ascii="黑体" w:hAnsi="黑体" w:eastAsia="黑体"/>
          <w:sz w:val="18"/>
          <w:szCs w:val="18"/>
        </w:rPr>
      </w:pPr>
      <w:r>
        <w:rPr>
          <w:rFonts w:hint="eastAsia" w:ascii="黑体" w:hAnsi="黑体" w:eastAsia="黑体"/>
          <w:sz w:val="18"/>
          <w:szCs w:val="18"/>
          <w:lang w:eastAsia="zh-CN"/>
        </w:rPr>
        <w:t>（</w:t>
      </w:r>
      <w:r>
        <w:rPr>
          <w:rFonts w:hint="eastAsia" w:ascii="黑体" w:hAnsi="黑体" w:eastAsia="黑体"/>
          <w:sz w:val="18"/>
          <w:szCs w:val="18"/>
        </w:rPr>
        <w:t xml:space="preserve">b）有翼墙                     </w:t>
      </w:r>
      <w:r>
        <w:rPr>
          <w:rFonts w:hint="eastAsia" w:ascii="黑体" w:hAnsi="黑体" w:eastAsia="黑体"/>
          <w:sz w:val="18"/>
          <w:szCs w:val="18"/>
          <w:lang w:eastAsia="zh-CN"/>
        </w:rPr>
        <w:t>（</w:t>
      </w:r>
      <w:r>
        <w:rPr>
          <w:rFonts w:hint="eastAsia" w:ascii="黑体" w:hAnsi="黑体" w:eastAsia="黑体"/>
          <w:sz w:val="18"/>
          <w:szCs w:val="18"/>
        </w:rPr>
        <w:t>c）转角墙（L形墙）</w:t>
      </w:r>
    </w:p>
    <w:p>
      <w:pPr>
        <w:widowControl/>
        <w:autoSpaceDE w:val="0"/>
        <w:autoSpaceDN w:val="0"/>
        <w:adjustRightInd/>
        <w:spacing w:line="240" w:lineRule="auto"/>
        <w:ind w:left="780" w:leftChars="200" w:hanging="360" w:hangingChars="200"/>
        <w:jc w:val="left"/>
        <w:rPr>
          <w:rFonts w:ascii="宋体" w:hAnsi="Times New Roman"/>
          <w:bCs/>
          <w:kern w:val="0"/>
          <w:sz w:val="18"/>
          <w:szCs w:val="18"/>
        </w:rPr>
      </w:pPr>
      <w:r>
        <w:rPr>
          <w:rFonts w:hint="eastAsia" w:ascii="宋体" w:hAnsi="Times New Roman"/>
          <w:bCs/>
          <w:kern w:val="0"/>
          <w:sz w:val="18"/>
          <w:szCs w:val="18"/>
        </w:rPr>
        <w:t>标引序号说明：</w:t>
      </w:r>
    </w:p>
    <w:p>
      <w:pPr>
        <w:spacing w:line="240" w:lineRule="auto"/>
        <w:ind w:firstLine="450" w:firstLineChars="250"/>
        <w:rPr>
          <w:rFonts w:ascii="宋体" w:hAnsi="宋体"/>
          <w:color w:val="000000"/>
          <w:sz w:val="18"/>
          <w:szCs w:val="18"/>
        </w:rPr>
      </w:pPr>
      <w:r>
        <w:rPr>
          <w:rFonts w:ascii="宋体" w:hAnsi="宋体"/>
          <w:color w:val="000000"/>
          <w:sz w:val="18"/>
          <w:szCs w:val="18"/>
        </w:rPr>
        <w:t>1</w:t>
      </w:r>
      <w:r>
        <w:rPr>
          <w:rFonts w:ascii="Times New Roman" w:hAnsi="Times New Roman"/>
          <w:color w:val="000000"/>
          <w:sz w:val="18"/>
          <w:szCs w:val="18"/>
        </w:rPr>
        <w:t>——</w:t>
      </w:r>
      <w:r>
        <w:rPr>
          <w:rFonts w:hint="eastAsia" w:ascii="宋体" w:hAnsi="宋体"/>
          <w:color w:val="000000"/>
          <w:sz w:val="18"/>
          <w:szCs w:val="18"/>
        </w:rPr>
        <w:t>预留孔道；</w:t>
      </w:r>
    </w:p>
    <w:p>
      <w:pPr>
        <w:spacing w:line="240" w:lineRule="auto"/>
        <w:ind w:firstLine="450" w:firstLineChars="250"/>
        <w:rPr>
          <w:rFonts w:ascii="宋体" w:hAnsi="宋体"/>
          <w:sz w:val="18"/>
          <w:szCs w:val="18"/>
        </w:rPr>
      </w:pPr>
      <w:r>
        <w:rPr>
          <w:rFonts w:ascii="宋体" w:hAnsi="宋体"/>
          <w:color w:val="000000"/>
          <w:sz w:val="18"/>
          <w:szCs w:val="18"/>
        </w:rPr>
        <w:t>2</w:t>
      </w:r>
      <w:r>
        <w:rPr>
          <w:rFonts w:ascii="Times New Roman" w:hAnsi="Times New Roman"/>
          <w:color w:val="000000"/>
          <w:sz w:val="18"/>
          <w:szCs w:val="18"/>
        </w:rPr>
        <w:t>——</w:t>
      </w:r>
      <w:r>
        <w:rPr>
          <w:rFonts w:hint="eastAsia" w:ascii="宋体" w:hAnsi="宋体"/>
          <w:sz w:val="18"/>
          <w:szCs w:val="18"/>
        </w:rPr>
        <w:t>螺旋箍筋；</w:t>
      </w:r>
    </w:p>
    <w:p>
      <w:pPr>
        <w:spacing w:line="240" w:lineRule="auto"/>
        <w:ind w:firstLine="450" w:firstLineChars="250"/>
        <w:rPr>
          <w:rFonts w:ascii="宋体" w:hAnsi="宋体"/>
          <w:color w:val="000000"/>
          <w:sz w:val="18"/>
          <w:szCs w:val="18"/>
        </w:rPr>
      </w:pPr>
      <w:r>
        <w:rPr>
          <w:rFonts w:ascii="宋体" w:hAnsi="宋体"/>
          <w:color w:val="000000"/>
          <w:sz w:val="18"/>
          <w:szCs w:val="18"/>
        </w:rPr>
        <w:t>3</w:t>
      </w:r>
      <w:r>
        <w:rPr>
          <w:rFonts w:ascii="Times New Roman" w:hAnsi="Times New Roman"/>
          <w:color w:val="000000"/>
          <w:sz w:val="18"/>
          <w:szCs w:val="18"/>
        </w:rPr>
        <w:t>——</w:t>
      </w:r>
      <w:r>
        <w:rPr>
          <w:rFonts w:hint="eastAsia" w:ascii="宋体" w:hAnsi="宋体"/>
          <w:color w:val="000000"/>
          <w:sz w:val="18"/>
          <w:szCs w:val="18"/>
        </w:rPr>
        <w:t>箍筋；</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4</w:t>
      </w:r>
      <w:r>
        <w:rPr>
          <w:rFonts w:ascii="Times New Roman" w:hAnsi="Times New Roman"/>
          <w:color w:val="000000"/>
          <w:sz w:val="18"/>
          <w:szCs w:val="18"/>
        </w:rPr>
        <w:t>——</w:t>
      </w:r>
      <w:r>
        <w:rPr>
          <w:rFonts w:hint="eastAsia" w:ascii="宋体" w:hAnsi="宋体"/>
          <w:color w:val="000000"/>
          <w:sz w:val="18"/>
          <w:szCs w:val="18"/>
        </w:rPr>
        <w:t>上层预制墙竖向钢筋；</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5</w:t>
      </w:r>
      <w:r>
        <w:rPr>
          <w:rFonts w:ascii="Times New Roman" w:hAnsi="Times New Roman"/>
          <w:color w:val="000000"/>
          <w:sz w:val="18"/>
          <w:szCs w:val="18"/>
        </w:rPr>
        <w:t>——</w:t>
      </w:r>
      <w:r>
        <w:rPr>
          <w:rFonts w:hint="eastAsia" w:ascii="宋体" w:hAnsi="宋体"/>
          <w:color w:val="000000"/>
          <w:sz w:val="18"/>
          <w:szCs w:val="18"/>
        </w:rPr>
        <w:t>下层预制墙伸入孔道竖向钢筋；</w:t>
      </w:r>
    </w:p>
    <w:p>
      <w:pPr>
        <w:spacing w:line="240" w:lineRule="auto"/>
        <w:ind w:firstLine="450" w:firstLineChars="250"/>
        <w:rPr>
          <w:rFonts w:ascii="宋体" w:hAnsi="宋体"/>
          <w:color w:val="000000"/>
          <w:sz w:val="18"/>
          <w:szCs w:val="18"/>
        </w:rPr>
      </w:pPr>
      <w:r>
        <w:rPr>
          <w:rFonts w:hint="eastAsia" w:ascii="宋体" w:hAnsi="宋体"/>
          <w:color w:val="000000"/>
          <w:sz w:val="18"/>
          <w:szCs w:val="18"/>
        </w:rPr>
        <w:t>6</w:t>
      </w:r>
      <w:r>
        <w:rPr>
          <w:rFonts w:ascii="Times New Roman" w:hAnsi="Times New Roman"/>
          <w:color w:val="000000"/>
          <w:sz w:val="18"/>
          <w:szCs w:val="18"/>
        </w:rPr>
        <w:t>——</w:t>
      </w:r>
      <w:r>
        <w:rPr>
          <w:rFonts w:hint="eastAsia" w:ascii="宋体" w:hAnsi="宋体"/>
          <w:color w:val="000000"/>
          <w:sz w:val="18"/>
          <w:szCs w:val="18"/>
        </w:rPr>
        <w:t>附加竖向钢筋。</w:t>
      </w:r>
    </w:p>
    <w:p>
      <w:pPr>
        <w:spacing w:before="156" w:beforeLines="50" w:after="156" w:afterLines="50" w:line="240" w:lineRule="auto"/>
        <w:jc w:val="center"/>
        <w:rPr>
          <w:rFonts w:ascii="黑体" w:hAnsi="黑体" w:eastAsia="黑体"/>
          <w:color w:val="000000"/>
        </w:rPr>
      </w:pPr>
      <w:r>
        <w:rPr>
          <w:rFonts w:hint="eastAsia" w:ascii="黑体" w:hAnsi="黑体" w:eastAsia="黑体"/>
          <w:color w:val="000000"/>
        </w:rPr>
        <w:t>图</w:t>
      </w:r>
      <w:r>
        <w:rPr>
          <w:rFonts w:ascii="黑体" w:hAnsi="黑体" w:eastAsia="黑体"/>
          <w:color w:val="000000"/>
        </w:rPr>
        <w:t>14</w:t>
      </w:r>
      <w:r>
        <w:rPr>
          <w:rFonts w:hint="eastAsia" w:ascii="黑体" w:hAnsi="黑体" w:eastAsia="黑体"/>
          <w:color w:val="000000"/>
        </w:rPr>
        <w:t xml:space="preserve"> 预制剪力墙的约束边缘构件示意</w:t>
      </w:r>
    </w:p>
    <w:p>
      <w:pPr>
        <w:pStyle w:val="58"/>
        <w:ind w:firstLine="0" w:firstLineChars="0"/>
        <w:jc w:val="left"/>
        <w:rPr>
          <w:bCs/>
          <w:szCs w:val="21"/>
        </w:rPr>
      </w:pPr>
      <w:r>
        <w:rPr>
          <w:rFonts w:ascii="黑体" w:hAnsi="黑体" w:eastAsia="黑体"/>
        </w:rPr>
        <w:t>5</w:t>
      </w:r>
      <w:r>
        <w:rPr>
          <w:rFonts w:hint="eastAsia" w:ascii="黑体" w:hAnsi="黑体" w:eastAsia="黑体"/>
        </w:rPr>
        <w:t>.7.</w:t>
      </w:r>
      <w:r>
        <w:rPr>
          <w:rFonts w:ascii="黑体" w:hAnsi="黑体" w:eastAsia="黑体"/>
        </w:rPr>
        <w:t>12</w:t>
      </w:r>
      <w:r>
        <w:rPr>
          <w:rFonts w:hint="eastAsia"/>
          <w:bCs/>
          <w:szCs w:val="21"/>
        </w:rPr>
        <w:t xml:space="preserve"> 当剪力墙接缝不在构造边缘构件区域时，纵向钢筋连接采用集中约束搭接连接的预制剪力墙的边缘构件宜采用暗柱和翼墙（图</w:t>
      </w:r>
      <w:r>
        <w:rPr>
          <w:rFonts w:hint="eastAsia"/>
          <w:bCs/>
          <w:szCs w:val="21"/>
          <w:lang w:val="en-US" w:eastAsia="zh-CN"/>
        </w:rPr>
        <w:t>15</w:t>
      </w:r>
      <w:r>
        <w:rPr>
          <w:rFonts w:hint="eastAsia"/>
          <w:bCs/>
          <w:szCs w:val="21"/>
        </w:rPr>
        <w:t>），并应符合现行行业标准《高层建筑混凝土结构技术规程》JGJ 3的相关规定。</w:t>
      </w:r>
    </w:p>
    <w:p>
      <w:pPr>
        <w:pStyle w:val="58"/>
        <w:ind w:firstLine="0" w:firstLineChars="0"/>
        <w:jc w:val="left"/>
        <w:rPr>
          <w:bCs/>
          <w:szCs w:val="21"/>
        </w:rPr>
      </w:pPr>
    </w:p>
    <w:p>
      <w:pPr>
        <w:pStyle w:val="58"/>
        <w:ind w:firstLine="0" w:firstLineChars="0"/>
        <w:jc w:val="center"/>
        <w:rPr>
          <w:rFonts w:ascii="黑体" w:hAnsi="黑体" w:eastAsia="黑体"/>
          <w:sz w:val="18"/>
          <w:szCs w:val="18"/>
        </w:rPr>
      </w:pPr>
      <w:r>
        <w:drawing>
          <wp:inline distT="0" distB="0" distL="0" distR="0">
            <wp:extent cx="1908810" cy="1181100"/>
            <wp:effectExtent l="0" t="0" r="1524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122"/>
                    <a:stretch>
                      <a:fillRect/>
                    </a:stretch>
                  </pic:blipFill>
                  <pic:spPr>
                    <a:xfrm>
                      <a:off x="0" y="0"/>
                      <a:ext cx="1908810" cy="1181100"/>
                    </a:xfrm>
                    <a:prstGeom prst="rect">
                      <a:avLst/>
                    </a:prstGeom>
                  </pic:spPr>
                </pic:pic>
              </a:graphicData>
            </a:graphic>
          </wp:inline>
        </w:drawing>
      </w:r>
    </w:p>
    <w:p>
      <w:pPr>
        <w:pStyle w:val="58"/>
        <w:ind w:firstLine="0" w:firstLineChars="0"/>
        <w:jc w:val="center"/>
        <w:rPr>
          <w:rFonts w:ascii="黑体" w:hAnsi="黑体" w:eastAsia="黑体"/>
          <w:bCs/>
          <w:sz w:val="18"/>
          <w:szCs w:val="18"/>
        </w:rPr>
      </w:pPr>
      <w:r>
        <w:drawing>
          <wp:inline distT="0" distB="0" distL="0" distR="0">
            <wp:extent cx="3640455" cy="2038350"/>
            <wp:effectExtent l="0" t="0" r="0" b="0"/>
            <wp:docPr id="179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 name="图片 27"/>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a:xfrm>
                      <a:off x="0" y="0"/>
                      <a:ext cx="3640810" cy="2038706"/>
                    </a:xfrm>
                    <a:prstGeom prst="rect">
                      <a:avLst/>
                    </a:prstGeom>
                    <a:noFill/>
                    <a:ln>
                      <a:noFill/>
                    </a:ln>
                  </pic:spPr>
                </pic:pic>
              </a:graphicData>
            </a:graphic>
          </wp:inline>
        </w:drawing>
      </w:r>
    </w:p>
    <w:p>
      <w:pPr>
        <w:widowControl/>
        <w:autoSpaceDE w:val="0"/>
        <w:autoSpaceDN w:val="0"/>
        <w:adjustRightInd/>
        <w:spacing w:line="240" w:lineRule="auto"/>
        <w:ind w:left="780" w:leftChars="200" w:hanging="360" w:hangingChars="200"/>
        <w:jc w:val="left"/>
        <w:rPr>
          <w:rFonts w:ascii="宋体" w:hAnsi="Times New Roman"/>
          <w:bCs/>
          <w:kern w:val="0"/>
          <w:sz w:val="18"/>
          <w:szCs w:val="18"/>
        </w:rPr>
      </w:pPr>
      <w:r>
        <w:rPr>
          <w:rFonts w:hint="eastAsia" w:ascii="宋体" w:hAnsi="Times New Roman"/>
          <w:bCs/>
          <w:kern w:val="0"/>
          <w:sz w:val="18"/>
          <w:szCs w:val="18"/>
        </w:rPr>
        <w:t>标引序号说明：</w:t>
      </w:r>
    </w:p>
    <w:p>
      <w:pPr>
        <w:spacing w:line="240" w:lineRule="auto"/>
        <w:ind w:firstLine="450" w:firstLineChars="250"/>
        <w:rPr>
          <w:rFonts w:ascii="宋体" w:hAnsi="宋体"/>
          <w:color w:val="000000"/>
          <w:sz w:val="18"/>
          <w:szCs w:val="18"/>
        </w:rPr>
      </w:pPr>
      <w:r>
        <w:rPr>
          <w:rFonts w:ascii="宋体" w:hAnsi="宋体"/>
          <w:color w:val="000000"/>
          <w:sz w:val="18"/>
          <w:szCs w:val="18"/>
        </w:rPr>
        <w:t>1</w:t>
      </w:r>
      <w:r>
        <w:rPr>
          <w:rFonts w:ascii="Times New Roman" w:hAnsi="Times New Roman"/>
          <w:color w:val="000000"/>
          <w:sz w:val="18"/>
          <w:szCs w:val="18"/>
        </w:rPr>
        <w:t>——</w:t>
      </w:r>
      <w:r>
        <w:rPr>
          <w:rFonts w:hint="eastAsia" w:ascii="宋体" w:hAnsi="宋体"/>
          <w:color w:val="000000"/>
          <w:sz w:val="18"/>
          <w:szCs w:val="18"/>
        </w:rPr>
        <w:t>下层预制墙伸入孔道竖向钢筋；</w:t>
      </w:r>
    </w:p>
    <w:p>
      <w:pPr>
        <w:spacing w:line="240" w:lineRule="auto"/>
        <w:ind w:firstLine="450" w:firstLineChars="250"/>
        <w:rPr>
          <w:rFonts w:ascii="宋体" w:hAnsi="宋体"/>
          <w:sz w:val="18"/>
          <w:szCs w:val="18"/>
        </w:rPr>
      </w:pPr>
      <w:r>
        <w:rPr>
          <w:rFonts w:ascii="宋体" w:hAnsi="宋体"/>
          <w:color w:val="000000"/>
          <w:sz w:val="18"/>
          <w:szCs w:val="18"/>
        </w:rPr>
        <w:t>2</w:t>
      </w:r>
      <w:r>
        <w:rPr>
          <w:rFonts w:ascii="Times New Roman" w:hAnsi="Times New Roman"/>
          <w:color w:val="000000"/>
          <w:sz w:val="18"/>
          <w:szCs w:val="18"/>
        </w:rPr>
        <w:t>——</w:t>
      </w:r>
      <w:r>
        <w:rPr>
          <w:rFonts w:hint="eastAsia" w:ascii="宋体" w:hAnsi="宋体"/>
          <w:sz w:val="18"/>
          <w:szCs w:val="18"/>
        </w:rPr>
        <w:t>附加竖向钢筋；</w:t>
      </w:r>
    </w:p>
    <w:p>
      <w:pPr>
        <w:spacing w:line="240" w:lineRule="auto"/>
        <w:ind w:firstLine="450" w:firstLineChars="250"/>
        <w:rPr>
          <w:rFonts w:ascii="宋体" w:hAnsi="宋体"/>
          <w:color w:val="000000"/>
          <w:sz w:val="18"/>
          <w:szCs w:val="18"/>
        </w:rPr>
      </w:pPr>
      <w:r>
        <w:rPr>
          <w:rFonts w:ascii="宋体" w:hAnsi="宋体"/>
          <w:color w:val="000000"/>
          <w:sz w:val="18"/>
          <w:szCs w:val="18"/>
        </w:rPr>
        <w:t>3</w:t>
      </w:r>
      <w:r>
        <w:rPr>
          <w:rFonts w:ascii="Times New Roman" w:hAnsi="Times New Roman"/>
          <w:color w:val="000000"/>
          <w:sz w:val="18"/>
          <w:szCs w:val="18"/>
        </w:rPr>
        <w:t>——</w:t>
      </w:r>
      <w:r>
        <w:rPr>
          <w:rFonts w:hint="eastAsia" w:ascii="宋体" w:hAnsi="宋体"/>
          <w:color w:val="000000"/>
          <w:sz w:val="18"/>
          <w:szCs w:val="18"/>
        </w:rPr>
        <w:t>上层预制墙竖向钢筋。</w:t>
      </w:r>
    </w:p>
    <w:p>
      <w:pPr>
        <w:spacing w:before="156" w:beforeLines="50" w:after="156" w:afterLines="50" w:line="240" w:lineRule="auto"/>
        <w:jc w:val="center"/>
        <w:rPr>
          <w:rFonts w:ascii="黑体" w:hAnsi="黑体" w:eastAsia="黑体"/>
          <w:color w:val="000000"/>
        </w:rPr>
      </w:pPr>
      <w:r>
        <w:rPr>
          <w:rFonts w:hint="eastAsia" w:ascii="黑体" w:hAnsi="黑体" w:eastAsia="黑体"/>
          <w:color w:val="000000"/>
        </w:rPr>
        <w:t>图</w:t>
      </w:r>
      <w:r>
        <w:rPr>
          <w:rFonts w:ascii="黑体" w:hAnsi="黑体" w:eastAsia="黑体"/>
          <w:color w:val="000000"/>
        </w:rPr>
        <w:t>15</w:t>
      </w:r>
      <w:r>
        <w:rPr>
          <w:rFonts w:hint="eastAsia" w:ascii="黑体" w:hAnsi="黑体" w:eastAsia="黑体"/>
          <w:color w:val="000000"/>
        </w:rPr>
        <w:t xml:space="preserve"> 预制剪力墙的构造边缘构件示意</w:t>
      </w:r>
    </w:p>
    <w:p>
      <w:pPr>
        <w:rPr>
          <w:rFonts w:ascii="宋体" w:hAnsi="宋体"/>
          <w:color w:val="000000"/>
        </w:rPr>
      </w:pPr>
      <w:r>
        <w:rPr>
          <w:rFonts w:ascii="黑体" w:hAnsi="黑体" w:eastAsia="黑体"/>
        </w:rPr>
        <w:t>5</w:t>
      </w:r>
      <w:r>
        <w:rPr>
          <w:rFonts w:hint="eastAsia" w:ascii="黑体" w:hAnsi="黑体" w:eastAsia="黑体"/>
          <w:szCs w:val="20"/>
        </w:rPr>
        <w:t>.7.</w:t>
      </w:r>
      <w:r>
        <w:rPr>
          <w:rFonts w:ascii="黑体" w:hAnsi="黑体" w:eastAsia="黑体"/>
        </w:rPr>
        <w:t>13</w:t>
      </w:r>
      <w:r>
        <w:rPr>
          <w:rFonts w:hint="eastAsia" w:ascii="宋体" w:hAnsi="宋体"/>
          <w:color w:val="000000"/>
        </w:rPr>
        <w:t xml:space="preserve"> 预制剪力墙的竖向分布钢筋当采用集中约束搭接连接时，可采用每预留孔4根钢筋搭接连接，也可采用每预留孔两根钢筋搭接连接（图</w:t>
      </w:r>
      <w:r>
        <w:rPr>
          <w:rFonts w:ascii="宋体" w:hAnsi="宋体"/>
          <w:color w:val="000000"/>
        </w:rPr>
        <w:t>16</w:t>
      </w:r>
      <w:r>
        <w:rPr>
          <w:rFonts w:hint="eastAsia" w:ascii="宋体" w:hAnsi="宋体"/>
          <w:color w:val="000000"/>
        </w:rPr>
        <w:t>）。每预留孔两根钢筋搭接连接时，预留孔直径不宜小于90mm，螺旋箍筋缠绕直径大于预留孔道外径10mm，螺距为100mm；孔道中心间距不大于720mm，且在剪力墙构件承载力设计和分布钢筋配筋率计算中不得计入不连接的分布钢筋；不连接的竖向分布钢筋直径不应小于6mm。</w:t>
      </w:r>
    </w:p>
    <w:p>
      <w:pPr>
        <w:adjustRightInd/>
        <w:spacing w:line="240" w:lineRule="auto"/>
        <w:jc w:val="center"/>
        <w:rPr>
          <w:rFonts w:ascii="黑体" w:hAnsi="黑体" w:eastAsia="黑体"/>
        </w:rPr>
      </w:pPr>
      <w:r>
        <w:drawing>
          <wp:inline distT="0" distB="0" distL="0" distR="0">
            <wp:extent cx="3784600" cy="813435"/>
            <wp:effectExtent l="0" t="0" r="0" b="0"/>
            <wp:docPr id="179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 name="图片 28"/>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a:xfrm>
                      <a:off x="0" y="0"/>
                      <a:ext cx="3878391" cy="833851"/>
                    </a:xfrm>
                    <a:prstGeom prst="rect">
                      <a:avLst/>
                    </a:prstGeom>
                    <a:noFill/>
                    <a:ln>
                      <a:noFill/>
                    </a:ln>
                  </pic:spPr>
                </pic:pic>
              </a:graphicData>
            </a:graphic>
          </wp:inline>
        </w:drawing>
      </w:r>
    </w:p>
    <w:p>
      <w:pPr>
        <w:spacing w:before="156" w:beforeLines="50" w:after="156" w:afterLines="50" w:line="240" w:lineRule="auto"/>
        <w:jc w:val="center"/>
        <w:rPr>
          <w:rFonts w:ascii="黑体" w:hAnsi="黑体" w:eastAsia="黑体"/>
        </w:rPr>
      </w:pPr>
      <w:r>
        <w:rPr>
          <w:rFonts w:hint="eastAsia" w:ascii="黑体" w:hAnsi="黑体" w:eastAsia="黑体"/>
        </w:rPr>
        <w:t>图</w:t>
      </w:r>
      <w:r>
        <w:rPr>
          <w:rFonts w:ascii="黑体" w:hAnsi="黑体" w:eastAsia="黑体"/>
        </w:rPr>
        <w:t>16</w:t>
      </w:r>
      <w:r>
        <w:rPr>
          <w:rFonts w:hint="eastAsia" w:ascii="黑体" w:hAnsi="黑体" w:eastAsia="黑体"/>
        </w:rPr>
        <w:t xml:space="preserve"> 预制剪力墙的竖向分布钢筋搭接示意</w:t>
      </w:r>
    </w:p>
    <w:p>
      <w:pPr>
        <w:pStyle w:val="58"/>
        <w:ind w:firstLine="0" w:firstLineChars="0"/>
        <w:rPr>
          <w:rFonts w:ascii="Times New Roman"/>
          <w:bCs/>
          <w:szCs w:val="21"/>
        </w:rPr>
      </w:pPr>
      <w:r>
        <w:rPr>
          <w:rFonts w:ascii="黑体" w:hAnsi="黑体" w:eastAsia="黑体"/>
        </w:rPr>
        <w:t>5</w:t>
      </w:r>
      <w:r>
        <w:rPr>
          <w:rFonts w:hint="eastAsia" w:ascii="黑体" w:hAnsi="黑体" w:eastAsia="黑体"/>
        </w:rPr>
        <w:t>.</w:t>
      </w:r>
      <w:r>
        <w:rPr>
          <w:rFonts w:ascii="黑体" w:hAnsi="黑体" w:eastAsia="黑体"/>
        </w:rPr>
        <w:t>7</w:t>
      </w:r>
      <w:r>
        <w:rPr>
          <w:rFonts w:hint="eastAsia" w:ascii="黑体" w:hAnsi="黑体" w:eastAsia="黑体"/>
        </w:rPr>
        <w:t>.</w:t>
      </w:r>
      <w:r>
        <w:rPr>
          <w:rFonts w:ascii="黑体" w:hAnsi="黑体" w:eastAsia="黑体"/>
        </w:rPr>
        <w:t>14</w:t>
      </w:r>
      <w:r>
        <w:rPr>
          <w:rFonts w:hint="eastAsia" w:ascii="黑体" w:hAnsi="黑体" w:eastAsia="黑体"/>
        </w:rPr>
        <w:t xml:space="preserve"> </w:t>
      </w:r>
      <w:r>
        <w:rPr>
          <w:rFonts w:hint="eastAsia" w:ascii="Times New Roman"/>
          <w:bCs/>
          <w:szCs w:val="21"/>
        </w:rPr>
        <w:t>预制剪力墙与后浇混凝土、灌浆料、座浆材料的结合面应设置粗糙面、键槽，并应符合下列规定：</w:t>
      </w:r>
    </w:p>
    <w:p>
      <w:pPr>
        <w:pStyle w:val="58"/>
        <w:ind w:left="840" w:leftChars="200" w:hanging="420" w:hangingChars="200"/>
        <w:rPr>
          <w:bCs/>
          <w:szCs w:val="21"/>
        </w:rPr>
      </w:pPr>
      <w:r>
        <w:t>a</w:t>
      </w:r>
      <w:r>
        <w:rPr>
          <w:rFonts w:hint="eastAsia"/>
        </w:rPr>
        <w:t>)</w:t>
      </w:r>
      <w:r>
        <w:tab/>
      </w:r>
      <w:r>
        <w:rPr>
          <w:rFonts w:hint="eastAsia"/>
          <w:bCs/>
          <w:szCs w:val="21"/>
        </w:rPr>
        <w:t>预制墙板的顶部和底部与后浇混凝土的结合面应设置粗糙面；</w:t>
      </w:r>
    </w:p>
    <w:p>
      <w:pPr>
        <w:pStyle w:val="58"/>
        <w:ind w:left="840" w:leftChars="200" w:hanging="420" w:hangingChars="200"/>
        <w:rPr>
          <w:bCs/>
          <w:szCs w:val="21"/>
        </w:rPr>
      </w:pPr>
      <w:r>
        <w:t>b</w:t>
      </w:r>
      <w:r>
        <w:rPr>
          <w:rFonts w:hint="eastAsia"/>
        </w:rPr>
        <w:t>)</w:t>
      </w:r>
      <w:r>
        <w:tab/>
      </w:r>
      <w:r>
        <w:rPr>
          <w:rFonts w:hint="eastAsia"/>
          <w:bCs/>
          <w:szCs w:val="21"/>
        </w:rPr>
        <w:t>预制墙板侧面与后浇混凝土的结合面应设置粗糙面，也可设置键槽（图1</w:t>
      </w:r>
      <w:r>
        <w:rPr>
          <w:bCs/>
          <w:szCs w:val="21"/>
        </w:rPr>
        <w:t>7</w:t>
      </w:r>
      <w:r>
        <w:rPr>
          <w:rFonts w:hint="eastAsia"/>
          <w:bCs/>
          <w:szCs w:val="21"/>
        </w:rPr>
        <w:t>）。键槽深度</w:t>
      </w:r>
      <w:r>
        <w:rPr>
          <w:rFonts w:ascii="Times New Roman"/>
          <w:bCs/>
          <w:i/>
          <w:iCs/>
          <w:szCs w:val="21"/>
        </w:rPr>
        <w:t>t</w:t>
      </w:r>
      <w:r>
        <w:rPr>
          <w:rFonts w:hint="eastAsia"/>
          <w:bCs/>
          <w:szCs w:val="21"/>
        </w:rPr>
        <w:t>不宜小于20mm，宽度w不宜小于深度的3倍且不宜大于深度的10倍，键槽间距宜等于键槽宽度，键槽端部斜面倾角不宜大于30°。</w:t>
      </w:r>
    </w:p>
    <w:p>
      <w:pPr>
        <w:pStyle w:val="58"/>
        <w:ind w:firstLine="0" w:firstLineChars="0"/>
        <w:jc w:val="center"/>
        <w:rPr>
          <w:bCs/>
          <w:szCs w:val="21"/>
        </w:rPr>
      </w:pPr>
      <w:r>
        <w:drawing>
          <wp:inline distT="0" distB="0" distL="0" distR="0">
            <wp:extent cx="4280535" cy="1802130"/>
            <wp:effectExtent l="0" t="0" r="0" b="0"/>
            <wp:docPr id="179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 name="图片 29"/>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a:xfrm>
                      <a:off x="0" y="0"/>
                      <a:ext cx="4294466" cy="1808360"/>
                    </a:xfrm>
                    <a:prstGeom prst="rect">
                      <a:avLst/>
                    </a:prstGeom>
                    <a:noFill/>
                    <a:ln>
                      <a:noFill/>
                    </a:ln>
                  </pic:spPr>
                </pic:pic>
              </a:graphicData>
            </a:graphic>
          </wp:inline>
        </w:drawing>
      </w:r>
    </w:p>
    <w:p>
      <w:pPr>
        <w:pStyle w:val="237"/>
        <w:rPr>
          <w:rFonts w:ascii="黑体" w:hAnsi="黑体" w:eastAsia="黑体"/>
          <w:sz w:val="18"/>
          <w:szCs w:val="18"/>
        </w:rPr>
      </w:pPr>
      <w:r>
        <w:rPr>
          <w:rFonts w:hint="eastAsia" w:ascii="黑体" w:hAnsi="黑体" w:eastAsia="黑体"/>
          <w:sz w:val="18"/>
          <w:szCs w:val="18"/>
          <w:lang w:eastAsia="zh-CN"/>
        </w:rPr>
        <w:t>（</w:t>
      </w:r>
      <w:r>
        <w:rPr>
          <w:rFonts w:hint="eastAsia" w:ascii="黑体" w:hAnsi="黑体" w:eastAsia="黑体"/>
          <w:sz w:val="18"/>
          <w:szCs w:val="18"/>
        </w:rPr>
        <w:t xml:space="preserve">a）键槽贯通截面           </w:t>
      </w:r>
      <w:r>
        <w:rPr>
          <w:rFonts w:ascii="黑体" w:hAnsi="黑体" w:eastAsia="黑体"/>
          <w:sz w:val="18"/>
          <w:szCs w:val="18"/>
        </w:rPr>
        <w:t xml:space="preserve">    </w:t>
      </w:r>
      <w:r>
        <w:rPr>
          <w:rFonts w:hint="eastAsia" w:ascii="黑体" w:hAnsi="黑体" w:eastAsia="黑体"/>
          <w:sz w:val="18"/>
          <w:szCs w:val="18"/>
        </w:rPr>
        <w:t xml:space="preserve">         </w:t>
      </w:r>
      <w:r>
        <w:rPr>
          <w:rFonts w:hint="eastAsia" w:ascii="黑体" w:hAnsi="黑体" w:eastAsia="黑体"/>
          <w:sz w:val="18"/>
          <w:szCs w:val="18"/>
          <w:lang w:eastAsia="zh-CN"/>
        </w:rPr>
        <w:t>（</w:t>
      </w:r>
      <w:r>
        <w:rPr>
          <w:rFonts w:hint="eastAsia" w:ascii="黑体" w:hAnsi="黑体" w:eastAsia="黑体"/>
          <w:sz w:val="18"/>
          <w:szCs w:val="18"/>
        </w:rPr>
        <w:t>b）键槽不贯通截面</w:t>
      </w:r>
    </w:p>
    <w:p>
      <w:pPr>
        <w:widowControl/>
        <w:autoSpaceDE w:val="0"/>
        <w:autoSpaceDN w:val="0"/>
        <w:adjustRightInd/>
        <w:spacing w:line="240" w:lineRule="auto"/>
        <w:ind w:left="780" w:leftChars="200" w:hanging="360" w:hangingChars="200"/>
        <w:jc w:val="left"/>
        <w:rPr>
          <w:rFonts w:ascii="宋体" w:hAnsi="Times New Roman"/>
          <w:bCs/>
          <w:kern w:val="0"/>
          <w:sz w:val="18"/>
          <w:szCs w:val="18"/>
        </w:rPr>
      </w:pPr>
      <w:r>
        <w:rPr>
          <w:rFonts w:hint="eastAsia" w:ascii="宋体" w:hAnsi="Times New Roman"/>
          <w:bCs/>
          <w:kern w:val="0"/>
          <w:sz w:val="18"/>
          <w:szCs w:val="18"/>
        </w:rPr>
        <w:t>标引序号说明：</w:t>
      </w:r>
    </w:p>
    <w:p>
      <w:pPr>
        <w:spacing w:line="240" w:lineRule="auto"/>
        <w:ind w:firstLine="450" w:firstLineChars="250"/>
        <w:rPr>
          <w:rFonts w:ascii="宋体" w:hAnsi="宋体"/>
          <w:color w:val="000000"/>
          <w:sz w:val="18"/>
          <w:szCs w:val="18"/>
        </w:rPr>
      </w:pPr>
      <w:r>
        <w:rPr>
          <w:rFonts w:ascii="宋体" w:hAnsi="宋体"/>
          <w:color w:val="000000"/>
          <w:sz w:val="18"/>
          <w:szCs w:val="18"/>
        </w:rPr>
        <w:t>1</w:t>
      </w:r>
      <w:r>
        <w:rPr>
          <w:rFonts w:ascii="Times New Roman" w:hAnsi="Times New Roman"/>
          <w:color w:val="000000"/>
          <w:sz w:val="18"/>
          <w:szCs w:val="18"/>
        </w:rPr>
        <w:t>——</w:t>
      </w:r>
      <w:r>
        <w:rPr>
          <w:rFonts w:hint="eastAsia" w:ascii="宋体" w:hAnsi="宋体"/>
          <w:color w:val="000000"/>
          <w:sz w:val="18"/>
          <w:szCs w:val="18"/>
        </w:rPr>
        <w:t>键槽；</w:t>
      </w:r>
    </w:p>
    <w:p>
      <w:pPr>
        <w:spacing w:line="240" w:lineRule="auto"/>
        <w:ind w:firstLine="450" w:firstLineChars="250"/>
        <w:rPr>
          <w:rFonts w:ascii="宋体" w:hAnsi="宋体"/>
          <w:sz w:val="18"/>
          <w:szCs w:val="18"/>
        </w:rPr>
      </w:pPr>
      <w:r>
        <w:rPr>
          <w:rFonts w:ascii="宋体" w:hAnsi="宋体"/>
          <w:color w:val="000000"/>
          <w:sz w:val="18"/>
          <w:szCs w:val="18"/>
        </w:rPr>
        <w:t>2</w:t>
      </w:r>
      <w:r>
        <w:rPr>
          <w:rFonts w:ascii="Times New Roman" w:hAnsi="Times New Roman"/>
          <w:color w:val="000000"/>
          <w:sz w:val="18"/>
          <w:szCs w:val="18"/>
        </w:rPr>
        <w:t>——</w:t>
      </w:r>
      <w:r>
        <w:rPr>
          <w:rFonts w:hint="eastAsia" w:ascii="宋体" w:hAnsi="宋体"/>
          <w:sz w:val="18"/>
          <w:szCs w:val="18"/>
        </w:rPr>
        <w:t>墙端面；</w:t>
      </w:r>
    </w:p>
    <w:p>
      <w:pPr>
        <w:spacing w:before="156" w:beforeLines="50" w:after="156" w:afterLines="50" w:line="240" w:lineRule="auto"/>
        <w:jc w:val="center"/>
        <w:rPr>
          <w:rFonts w:ascii="黑体" w:hAnsi="黑体" w:eastAsia="黑体"/>
          <w:color w:val="000000"/>
        </w:rPr>
      </w:pPr>
      <w:r>
        <w:rPr>
          <w:rFonts w:hint="eastAsia" w:ascii="黑体" w:hAnsi="黑体" w:eastAsia="黑体"/>
          <w:color w:val="000000"/>
        </w:rPr>
        <w:t>图</w:t>
      </w:r>
      <w:r>
        <w:rPr>
          <w:rFonts w:ascii="黑体" w:hAnsi="黑体" w:eastAsia="黑体"/>
          <w:color w:val="000000"/>
        </w:rPr>
        <w:t>17</w:t>
      </w:r>
      <w:r>
        <w:rPr>
          <w:rFonts w:hint="eastAsia" w:ascii="黑体" w:hAnsi="黑体" w:eastAsia="黑体"/>
          <w:color w:val="000000"/>
        </w:rPr>
        <w:t xml:space="preserve"> 墙端键槽构造示意</w:t>
      </w:r>
    </w:p>
    <w:p>
      <w:pPr>
        <w:pStyle w:val="58"/>
        <w:ind w:firstLine="0" w:firstLineChars="0"/>
        <w:rPr>
          <w:rFonts w:ascii="Times New Roman"/>
          <w:bCs/>
          <w:szCs w:val="21"/>
        </w:rPr>
      </w:pPr>
      <w:r>
        <w:rPr>
          <w:rFonts w:ascii="黑体" w:hAnsi="黑体" w:eastAsia="黑体"/>
        </w:rPr>
        <w:t>5</w:t>
      </w:r>
      <w:r>
        <w:rPr>
          <w:rFonts w:hint="eastAsia" w:ascii="黑体" w:hAnsi="黑体" w:eastAsia="黑体"/>
        </w:rPr>
        <w:t xml:space="preserve">.7.15 </w:t>
      </w:r>
      <w:r>
        <w:rPr>
          <w:rFonts w:hint="eastAsia" w:ascii="Times New Roman"/>
          <w:bCs/>
          <w:szCs w:val="21"/>
        </w:rPr>
        <w:t>开洞预制剪力墙、开洞预制剪力墙的连梁构造应符合国家现行标准《装配式混凝土建筑技术标准》GB/T 51231、《装配式混凝土结构技术规程》JGJ 1的规定。</w:t>
      </w:r>
    </w:p>
    <w:p>
      <w:pPr>
        <w:pStyle w:val="58"/>
        <w:ind w:firstLine="0" w:firstLineChars="0"/>
        <w:rPr>
          <w:rFonts w:ascii="黑体" w:hAnsi="黑体" w:eastAsia="黑体"/>
        </w:rPr>
      </w:pPr>
      <w:r>
        <w:rPr>
          <w:rFonts w:ascii="黑体" w:hAnsi="黑体" w:eastAsia="黑体"/>
        </w:rPr>
        <w:t>5</w:t>
      </w:r>
      <w:r>
        <w:rPr>
          <w:rFonts w:hint="eastAsia" w:ascii="黑体" w:hAnsi="黑体" w:eastAsia="黑体"/>
        </w:rPr>
        <w:t xml:space="preserve">.7.16 </w:t>
      </w:r>
      <w:r>
        <w:rPr>
          <w:rFonts w:hint="eastAsia" w:ascii="Times New Roman"/>
          <w:bCs/>
          <w:szCs w:val="21"/>
        </w:rPr>
        <w:t>预制剪力墙底部接缝宜设置在楼面标高处，并宜符合下列规定：</w:t>
      </w:r>
    </w:p>
    <w:p>
      <w:pPr>
        <w:pStyle w:val="58"/>
        <w:ind w:left="840" w:leftChars="200" w:hanging="420" w:hangingChars="200"/>
        <w:rPr>
          <w:bCs/>
          <w:szCs w:val="21"/>
        </w:rPr>
      </w:pPr>
      <w:r>
        <w:t>a</w:t>
      </w:r>
      <w:r>
        <w:rPr>
          <w:rFonts w:hint="eastAsia"/>
        </w:rPr>
        <w:t>)</w:t>
      </w:r>
      <w:r>
        <w:tab/>
      </w:r>
      <w:r>
        <w:rPr>
          <w:rFonts w:hint="eastAsia"/>
          <w:bCs/>
          <w:szCs w:val="21"/>
        </w:rPr>
        <w:t>接缝高度宜为20mm；</w:t>
      </w:r>
    </w:p>
    <w:p>
      <w:pPr>
        <w:pStyle w:val="58"/>
        <w:ind w:left="840" w:leftChars="200" w:hanging="420" w:hangingChars="200"/>
        <w:rPr>
          <w:bCs/>
          <w:szCs w:val="21"/>
        </w:rPr>
      </w:pPr>
      <w:r>
        <w:t>b</w:t>
      </w:r>
      <w:r>
        <w:rPr>
          <w:rFonts w:hint="eastAsia"/>
        </w:rPr>
        <w:t>)</w:t>
      </w:r>
      <w:r>
        <w:tab/>
      </w:r>
      <w:r>
        <w:rPr>
          <w:rFonts w:hint="eastAsia"/>
          <w:bCs/>
          <w:szCs w:val="21"/>
        </w:rPr>
        <w:t>接缝宜采用灌浆料填实。</w:t>
      </w:r>
    </w:p>
    <w:p>
      <w:pPr>
        <w:pStyle w:val="58"/>
        <w:ind w:firstLine="0" w:firstLineChars="0"/>
        <w:rPr>
          <w:rFonts w:ascii="Times New Roman"/>
          <w:bCs/>
          <w:szCs w:val="21"/>
        </w:rPr>
      </w:pPr>
      <w:r>
        <w:rPr>
          <w:rFonts w:ascii="黑体" w:hAnsi="黑体" w:eastAsia="黑体"/>
        </w:rPr>
        <w:t>5</w:t>
      </w:r>
      <w:r>
        <w:rPr>
          <w:rFonts w:hint="eastAsia" w:ascii="黑体" w:hAnsi="黑体" w:eastAsia="黑体"/>
        </w:rPr>
        <w:t>.7.1</w:t>
      </w:r>
      <w:r>
        <w:rPr>
          <w:rFonts w:ascii="黑体" w:hAnsi="黑体" w:eastAsia="黑体"/>
        </w:rPr>
        <w:t>7</w:t>
      </w:r>
      <w:r>
        <w:rPr>
          <w:rFonts w:hint="eastAsia" w:ascii="黑体" w:hAnsi="黑体" w:eastAsia="黑体"/>
        </w:rPr>
        <w:t xml:space="preserve"> </w:t>
      </w:r>
      <w:r>
        <w:rPr>
          <w:rFonts w:hint="eastAsia" w:ascii="Times New Roman"/>
          <w:bCs/>
          <w:szCs w:val="21"/>
        </w:rPr>
        <w:t>预制剪力墙相邻下层为现浇剪力墙时，预制剪力墙与下层现浇剪力墙中竖向钢筋的连接应符合本规程第</w:t>
      </w:r>
      <w:r>
        <w:rPr>
          <w:rFonts w:ascii="Times New Roman"/>
          <w:bCs/>
          <w:szCs w:val="21"/>
        </w:rPr>
        <w:t>5</w:t>
      </w:r>
      <w:r>
        <w:rPr>
          <w:rFonts w:hint="eastAsia" w:ascii="Times New Roman"/>
          <w:bCs/>
          <w:szCs w:val="21"/>
        </w:rPr>
        <w:t>.7节的有关规定，下层现浇剪力墙顶面应设置粗糙面。</w:t>
      </w:r>
    </w:p>
    <w:p>
      <w:pPr>
        <w:pStyle w:val="106"/>
        <w:numPr>
          <w:ilvl w:val="0"/>
          <w:numId w:val="0"/>
        </w:numPr>
        <w:spacing w:before="312" w:after="312"/>
      </w:pPr>
      <w:bookmarkStart w:id="108" w:name="_Toc142923604"/>
      <w:r>
        <w:rPr>
          <w:rFonts w:hint="eastAsia"/>
        </w:rPr>
        <w:t xml:space="preserve">6 </w:t>
      </w:r>
      <w:bookmarkEnd w:id="94"/>
      <w:r>
        <w:rPr>
          <w:rFonts w:hint="eastAsia"/>
        </w:rPr>
        <w:t>构件生产与运输</w:t>
      </w:r>
      <w:bookmarkEnd w:id="108"/>
    </w:p>
    <w:p>
      <w:pPr>
        <w:pStyle w:val="58"/>
        <w:spacing w:before="312" w:beforeLines="100" w:after="312" w:afterLines="100"/>
        <w:ind w:firstLine="0" w:firstLineChars="0"/>
        <w:outlineLvl w:val="1"/>
        <w:rPr>
          <w:rFonts w:ascii="黑体" w:hAnsi="黑体" w:eastAsia="黑体"/>
        </w:rPr>
      </w:pPr>
      <w:bookmarkStart w:id="109" w:name="_Toc97553157"/>
      <w:bookmarkStart w:id="110" w:name="_Toc142923605"/>
      <w:r>
        <w:rPr>
          <w:rFonts w:hint="eastAsia" w:ascii="黑体" w:hAnsi="黑体" w:eastAsia="黑体"/>
        </w:rPr>
        <w:t xml:space="preserve">6.1 </w:t>
      </w:r>
      <w:bookmarkEnd w:id="109"/>
      <w:r>
        <w:rPr>
          <w:rFonts w:ascii="黑体" w:hAnsi="黑体" w:eastAsia="黑体"/>
        </w:rPr>
        <w:t>一般规定</w:t>
      </w:r>
      <w:bookmarkEnd w:id="110"/>
    </w:p>
    <w:p>
      <w:pPr>
        <w:pStyle w:val="58"/>
        <w:ind w:firstLine="0" w:firstLineChars="0"/>
        <w:rPr>
          <w:bCs/>
          <w:szCs w:val="21"/>
        </w:rPr>
      </w:pPr>
      <w:r>
        <w:rPr>
          <w:rFonts w:hint="eastAsia" w:ascii="黑体" w:hAnsi="黑体" w:eastAsia="黑体"/>
        </w:rPr>
        <w:t xml:space="preserve">6.1.1 </w:t>
      </w:r>
      <w:r>
        <w:rPr>
          <w:rFonts w:hint="eastAsia"/>
          <w:bCs/>
          <w:szCs w:val="21"/>
        </w:rPr>
        <w:t>预制构件生产前，应由建设单位组织设计、生产、施工单位进行设计文件交底和会审。</w:t>
      </w:r>
    </w:p>
    <w:p>
      <w:pPr>
        <w:pStyle w:val="58"/>
        <w:ind w:firstLine="0" w:firstLineChars="0"/>
        <w:rPr>
          <w:rFonts w:ascii="黑体" w:hAnsi="黑体" w:eastAsia="黑体"/>
        </w:rPr>
      </w:pPr>
      <w:r>
        <w:rPr>
          <w:rFonts w:hint="eastAsia" w:ascii="黑体" w:hAnsi="黑体" w:eastAsia="黑体"/>
        </w:rPr>
        <w:t xml:space="preserve">6.1.2 </w:t>
      </w:r>
      <w:r>
        <w:rPr>
          <w:rFonts w:hint="eastAsia" w:hAnsi="宋体" w:cs="宋体"/>
          <w:bCs/>
          <w:szCs w:val="21"/>
        </w:rPr>
        <w:t>预制构件生产前应编制生产方案，生产方案宜包括生产计划、生产工艺、模具方案及计划、技术质量控制措施、成品存放、运输和保护方案等。</w:t>
      </w:r>
    </w:p>
    <w:p>
      <w:pPr>
        <w:pStyle w:val="58"/>
        <w:ind w:firstLine="0" w:firstLineChars="0"/>
        <w:rPr>
          <w:rFonts w:ascii="黑体" w:hAnsi="黑体" w:eastAsia="黑体"/>
        </w:rPr>
      </w:pPr>
      <w:r>
        <w:rPr>
          <w:rFonts w:hint="eastAsia" w:ascii="黑体" w:hAnsi="黑体" w:eastAsia="黑体"/>
        </w:rPr>
        <w:t xml:space="preserve">6.1.3 </w:t>
      </w:r>
      <w:r>
        <w:rPr>
          <w:rFonts w:hint="eastAsia"/>
          <w:bCs/>
          <w:szCs w:val="21"/>
        </w:rPr>
        <w:t>原材料进场时，应按照国家现行相关标准进行检查和检测，合格后方可使用。</w:t>
      </w:r>
    </w:p>
    <w:p>
      <w:pPr>
        <w:pStyle w:val="58"/>
        <w:ind w:firstLine="0" w:firstLineChars="0"/>
        <w:rPr>
          <w:rFonts w:ascii="黑体" w:hAnsi="黑体" w:eastAsia="黑体"/>
        </w:rPr>
      </w:pPr>
      <w:r>
        <w:rPr>
          <w:rFonts w:hint="eastAsia" w:ascii="黑体" w:hAnsi="黑体" w:eastAsia="黑体"/>
        </w:rPr>
        <w:t xml:space="preserve">6.1.4 </w:t>
      </w:r>
      <w:r>
        <w:rPr>
          <w:rFonts w:hint="eastAsia"/>
          <w:bCs/>
          <w:szCs w:val="21"/>
        </w:rPr>
        <w:t>钢筋的品种、级别、规格、数量和保护层厚度应符合设计要求。</w:t>
      </w:r>
    </w:p>
    <w:p>
      <w:pPr>
        <w:pStyle w:val="58"/>
        <w:ind w:firstLine="0" w:firstLineChars="0"/>
        <w:rPr>
          <w:rFonts w:ascii="黑体" w:hAnsi="黑体" w:eastAsia="黑体"/>
        </w:rPr>
      </w:pPr>
      <w:r>
        <w:rPr>
          <w:rFonts w:hint="eastAsia" w:ascii="黑体" w:hAnsi="黑体" w:eastAsia="黑体"/>
        </w:rPr>
        <w:t xml:space="preserve">6.1.5 </w:t>
      </w:r>
      <w:r>
        <w:rPr>
          <w:rFonts w:hint="eastAsia"/>
          <w:bCs/>
          <w:szCs w:val="21"/>
        </w:rPr>
        <w:t>混凝土强度等级应符合设计要求。</w:t>
      </w:r>
    </w:p>
    <w:p>
      <w:pPr>
        <w:pStyle w:val="58"/>
        <w:ind w:firstLine="0" w:firstLineChars="0"/>
        <w:rPr>
          <w:bCs/>
          <w:szCs w:val="21"/>
        </w:rPr>
      </w:pPr>
      <w:r>
        <w:rPr>
          <w:rFonts w:hint="eastAsia" w:ascii="黑体" w:hAnsi="黑体" w:eastAsia="黑体"/>
        </w:rPr>
        <w:t xml:space="preserve">6.1.6 </w:t>
      </w:r>
      <w:r>
        <w:rPr>
          <w:rFonts w:hint="eastAsia"/>
          <w:bCs/>
          <w:szCs w:val="21"/>
        </w:rPr>
        <w:t>生产单位的检测、试验、张拉、计量等设备及仪器仪表均应检定合格，并应在有效期内使用。不具备试验能力的检验项目，应委托第三方检测机构进行试验。张拉机具设备和压力表应配套标定使用，标定期限不应超过6个月。</w:t>
      </w:r>
    </w:p>
    <w:p>
      <w:pPr>
        <w:pStyle w:val="58"/>
        <w:ind w:firstLine="0" w:firstLineChars="0"/>
        <w:rPr>
          <w:rFonts w:ascii="黑体" w:hAnsi="黑体" w:eastAsia="黑体"/>
        </w:rPr>
      </w:pPr>
      <w:r>
        <w:rPr>
          <w:rFonts w:hint="eastAsia" w:ascii="黑体" w:hAnsi="黑体" w:eastAsia="黑体"/>
        </w:rPr>
        <w:t>6.1.7</w:t>
      </w:r>
      <w:r>
        <w:rPr>
          <w:rFonts w:ascii="黑体" w:hAnsi="黑体" w:eastAsia="黑体"/>
        </w:rPr>
        <w:t xml:space="preserve"> </w:t>
      </w:r>
      <w:r>
        <w:rPr>
          <w:rFonts w:hint="eastAsia"/>
          <w:bCs/>
          <w:szCs w:val="21"/>
        </w:rPr>
        <w:t>预制构件生产宜建立首件验收制度。</w:t>
      </w:r>
    </w:p>
    <w:p>
      <w:pPr>
        <w:pStyle w:val="58"/>
        <w:ind w:firstLine="0" w:firstLineChars="0"/>
        <w:rPr>
          <w:bCs/>
          <w:szCs w:val="21"/>
        </w:rPr>
      </w:pPr>
      <w:r>
        <w:rPr>
          <w:rFonts w:hint="eastAsia" w:ascii="黑体" w:hAnsi="黑体" w:eastAsia="黑体"/>
        </w:rPr>
        <w:t xml:space="preserve">6.1.8 </w:t>
      </w:r>
      <w:r>
        <w:rPr>
          <w:rFonts w:hint="eastAsia"/>
          <w:bCs/>
          <w:szCs w:val="21"/>
        </w:rPr>
        <w:t>预制构件采用钢筋套筒灌浆连接时，应在构件生产前进行钢筋套筒灌浆连接接头的抗拉强度试验；每种规格的连接接头试件数量不应少于3个。</w:t>
      </w:r>
    </w:p>
    <w:p>
      <w:pPr>
        <w:pStyle w:val="58"/>
        <w:ind w:firstLine="0" w:firstLineChars="0"/>
        <w:rPr>
          <w:bCs/>
          <w:szCs w:val="21"/>
        </w:rPr>
      </w:pPr>
      <w:r>
        <w:rPr>
          <w:rFonts w:hint="eastAsia" w:ascii="黑体" w:hAnsi="黑体" w:eastAsia="黑体"/>
        </w:rPr>
        <w:t>6</w:t>
      </w:r>
      <w:r>
        <w:rPr>
          <w:rFonts w:ascii="黑体" w:hAnsi="黑体" w:eastAsia="黑体"/>
        </w:rPr>
        <w:t>.1.9</w:t>
      </w:r>
      <w:r>
        <w:rPr>
          <w:bCs/>
          <w:szCs w:val="21"/>
        </w:rPr>
        <w:t xml:space="preserve"> </w:t>
      </w:r>
      <w:r>
        <w:rPr>
          <w:rFonts w:hint="eastAsia"/>
          <w:bCs/>
          <w:szCs w:val="21"/>
        </w:rPr>
        <w:t>在预制构件生产前应对各工序进行技术交底，上道工序未经检查验收合格，不得进行下道工序。</w:t>
      </w:r>
    </w:p>
    <w:p>
      <w:pPr>
        <w:pStyle w:val="58"/>
        <w:ind w:firstLine="0" w:firstLineChars="0"/>
        <w:rPr>
          <w:bCs/>
          <w:szCs w:val="21"/>
        </w:rPr>
      </w:pPr>
      <w:r>
        <w:rPr>
          <w:rFonts w:hint="eastAsia" w:ascii="黑体" w:hAnsi="黑体" w:eastAsia="黑体"/>
        </w:rPr>
        <w:t>6</w:t>
      </w:r>
      <w:r>
        <w:rPr>
          <w:rFonts w:ascii="黑体" w:hAnsi="黑体" w:eastAsia="黑体"/>
        </w:rPr>
        <w:t>.1.10</w:t>
      </w:r>
      <w:r>
        <w:rPr>
          <w:bCs/>
          <w:szCs w:val="21"/>
        </w:rPr>
        <w:t xml:space="preserve"> </w:t>
      </w:r>
      <w:r>
        <w:rPr>
          <w:rFonts w:hint="eastAsia"/>
          <w:bCs/>
          <w:szCs w:val="21"/>
        </w:rPr>
        <w:t>预制构件验收合格后应在显著位置统一进行标识，标识宜满足唯一性和可追溯性要求。预制构件和部品出厂时，应出具质量证明文件。</w:t>
      </w:r>
    </w:p>
    <w:p>
      <w:pPr>
        <w:pStyle w:val="58"/>
        <w:spacing w:before="312" w:beforeLines="100" w:after="312" w:afterLines="100"/>
        <w:ind w:firstLine="0" w:firstLineChars="0"/>
        <w:outlineLvl w:val="1"/>
        <w:rPr>
          <w:rFonts w:ascii="黑体" w:hAnsi="黑体" w:eastAsia="黑体"/>
        </w:rPr>
      </w:pPr>
      <w:bookmarkStart w:id="111" w:name="_Toc142923606"/>
      <w:r>
        <w:rPr>
          <w:rFonts w:hint="eastAsia" w:ascii="黑体" w:hAnsi="黑体" w:eastAsia="黑体"/>
        </w:rPr>
        <w:t>6.2 模具</w:t>
      </w:r>
      <w:bookmarkEnd w:id="111"/>
    </w:p>
    <w:p>
      <w:pPr>
        <w:pStyle w:val="58"/>
        <w:ind w:firstLine="0" w:firstLineChars="0"/>
      </w:pPr>
      <w:r>
        <w:rPr>
          <w:rFonts w:hint="eastAsia" w:ascii="黑体" w:hAnsi="黑体" w:eastAsia="黑体"/>
        </w:rPr>
        <w:t xml:space="preserve">6.2.1 </w:t>
      </w:r>
      <w:r>
        <w:rPr>
          <w:rFonts w:hint="eastAsia"/>
          <w:bCs/>
          <w:szCs w:val="21"/>
        </w:rPr>
        <w:t>预制构件模具、台座应满足强度、刚度和稳定性要求。</w:t>
      </w:r>
    </w:p>
    <w:p>
      <w:pPr>
        <w:pStyle w:val="58"/>
        <w:ind w:firstLine="0" w:firstLineChars="0"/>
      </w:pPr>
      <w:r>
        <w:rPr>
          <w:rFonts w:hint="eastAsia" w:ascii="黑体" w:hAnsi="黑体" w:eastAsia="黑体"/>
        </w:rPr>
        <w:t xml:space="preserve">6.2.2 </w:t>
      </w:r>
      <w:r>
        <w:rPr>
          <w:rFonts w:hint="eastAsia"/>
          <w:bCs/>
          <w:szCs w:val="21"/>
        </w:rPr>
        <w:t>预制构件模具、台座应保持清洁，隔离剂应涂刷均匀。</w:t>
      </w:r>
    </w:p>
    <w:p>
      <w:pPr>
        <w:pStyle w:val="58"/>
        <w:ind w:firstLine="0" w:firstLineChars="0"/>
        <w:rPr>
          <w:bCs/>
          <w:szCs w:val="21"/>
        </w:rPr>
      </w:pPr>
      <w:r>
        <w:rPr>
          <w:rFonts w:hint="eastAsia" w:ascii="黑体" w:hAnsi="黑体" w:eastAsia="黑体"/>
        </w:rPr>
        <w:t xml:space="preserve">6.2.3 </w:t>
      </w:r>
      <w:r>
        <w:rPr>
          <w:rFonts w:hint="eastAsia"/>
          <w:bCs/>
          <w:szCs w:val="21"/>
        </w:rPr>
        <w:t>预制构件模具组装应按照组装顺序进行，对于特殊构件，钢筋应先入模后组装。</w:t>
      </w:r>
    </w:p>
    <w:p>
      <w:pPr>
        <w:pStyle w:val="58"/>
        <w:ind w:firstLine="0" w:firstLineChars="0"/>
        <w:rPr>
          <w:bCs/>
          <w:szCs w:val="21"/>
        </w:rPr>
      </w:pPr>
      <w:r>
        <w:rPr>
          <w:rFonts w:hint="eastAsia" w:ascii="黑体" w:hAnsi="黑体" w:eastAsia="黑体"/>
        </w:rPr>
        <w:t xml:space="preserve">6.2.4 </w:t>
      </w:r>
      <w:r>
        <w:rPr>
          <w:rFonts w:hint="eastAsia"/>
          <w:bCs/>
          <w:szCs w:val="21"/>
        </w:rPr>
        <w:t>预制构件模具应满足预制构件预留孔洞、插筋、预埋件的安装定位要求；安装应牢固，拼缝应严密。</w:t>
      </w:r>
    </w:p>
    <w:p>
      <w:pPr>
        <w:pStyle w:val="58"/>
        <w:ind w:firstLine="0" w:firstLineChars="0"/>
        <w:rPr>
          <w:bCs/>
          <w:szCs w:val="21"/>
        </w:rPr>
      </w:pPr>
      <w:r>
        <w:rPr>
          <w:rFonts w:hint="eastAsia" w:ascii="黑体" w:hAnsi="黑体" w:eastAsia="黑体"/>
        </w:rPr>
        <w:t>6</w:t>
      </w:r>
      <w:r>
        <w:rPr>
          <w:rFonts w:ascii="黑体" w:hAnsi="黑体" w:eastAsia="黑体"/>
        </w:rPr>
        <w:t>.2.5</w:t>
      </w:r>
      <w:r>
        <w:rPr>
          <w:bCs/>
          <w:szCs w:val="21"/>
        </w:rPr>
        <w:t xml:space="preserve"> </w:t>
      </w:r>
      <w:r>
        <w:rPr>
          <w:rFonts w:hint="eastAsia"/>
          <w:bCs/>
          <w:szCs w:val="21"/>
        </w:rPr>
        <w:t>预制构件模具尺寸的允许偏差及检验方法应符合表</w:t>
      </w:r>
      <w:r>
        <w:rPr>
          <w:bCs/>
          <w:szCs w:val="21"/>
        </w:rPr>
        <w:t>6</w:t>
      </w:r>
      <w:r>
        <w:rPr>
          <w:rFonts w:hint="eastAsia"/>
          <w:bCs/>
          <w:szCs w:val="21"/>
        </w:rPr>
        <w:t>的规定。当设计有要求时，模具尺寸的允许偏差应按设计要求确定。</w:t>
      </w:r>
    </w:p>
    <w:p>
      <w:pPr>
        <w:pStyle w:val="58"/>
        <w:spacing w:before="156" w:beforeLines="50" w:after="156" w:afterLines="50"/>
        <w:ind w:firstLine="0" w:firstLineChars="0"/>
        <w:jc w:val="center"/>
        <w:rPr>
          <w:rFonts w:ascii="黑体" w:hAnsi="黑体" w:eastAsia="黑体"/>
        </w:rPr>
      </w:pPr>
      <w:r>
        <w:rPr>
          <w:rFonts w:ascii="黑体" w:hAnsi="黑体" w:eastAsia="黑体"/>
        </w:rPr>
        <w:t xml:space="preserve">表6 </w:t>
      </w:r>
      <w:r>
        <w:rPr>
          <w:rFonts w:hint="eastAsia" w:ascii="黑体" w:hAnsi="黑体" w:eastAsia="黑体"/>
        </w:rPr>
        <w:t>预制构件模具尺寸允许偏差及检验方法</w:t>
      </w:r>
    </w:p>
    <w:tbl>
      <w:tblPr>
        <w:tblStyle w:val="27"/>
        <w:tblW w:w="9329" w:type="dxa"/>
        <w:tblInd w:w="135"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667"/>
        <w:gridCol w:w="1559"/>
        <w:gridCol w:w="1417"/>
        <w:gridCol w:w="3686"/>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667" w:type="dxa"/>
            <w:tcBorders>
              <w:top w:val="single" w:color="auto" w:sz="12" w:space="0"/>
              <w:left w:val="single" w:color="auto" w:sz="12" w:space="0"/>
              <w:bottom w:val="single" w:color="auto" w:sz="12" w:space="0"/>
              <w:right w:val="single" w:color="auto" w:sz="4" w:space="0"/>
            </w:tcBorders>
            <w:vAlign w:val="center"/>
          </w:tcPr>
          <w:p>
            <w:pPr>
              <w:widowControl/>
              <w:kinsoku w:val="0"/>
              <w:autoSpaceDE w:val="0"/>
              <w:autoSpaceDN w:val="0"/>
              <w:snapToGrid w:val="0"/>
              <w:spacing w:line="240" w:lineRule="auto"/>
              <w:jc w:val="center"/>
              <w:textAlignment w:val="baseline"/>
              <w:rPr>
                <w:rFonts w:ascii="宋体" w:hAnsi="宋体"/>
                <w:sz w:val="18"/>
                <w:szCs w:val="18"/>
              </w:rPr>
            </w:pPr>
            <w:r>
              <w:rPr>
                <w:rFonts w:hint="eastAsia" w:ascii="宋体" w:hAnsi="宋体"/>
                <w:sz w:val="18"/>
                <w:szCs w:val="18"/>
              </w:rPr>
              <w:t>项目</w:t>
            </w:r>
          </w:p>
        </w:tc>
        <w:tc>
          <w:tcPr>
            <w:tcW w:w="2976" w:type="dxa"/>
            <w:gridSpan w:val="2"/>
            <w:tcBorders>
              <w:top w:val="single" w:color="auto" w:sz="12" w:space="0"/>
              <w:left w:val="single" w:color="auto" w:sz="4" w:space="0"/>
              <w:bottom w:val="single" w:color="auto" w:sz="12" w:space="0"/>
              <w:right w:val="single" w:color="auto" w:sz="4" w:space="0"/>
            </w:tcBorders>
            <w:vAlign w:val="center"/>
          </w:tcPr>
          <w:p>
            <w:pPr>
              <w:widowControl/>
              <w:kinsoku w:val="0"/>
              <w:autoSpaceDE w:val="0"/>
              <w:autoSpaceDN w:val="0"/>
              <w:snapToGrid w:val="0"/>
              <w:spacing w:line="240" w:lineRule="auto"/>
              <w:jc w:val="center"/>
              <w:textAlignment w:val="baseline"/>
              <w:rPr>
                <w:rFonts w:ascii="宋体" w:hAnsi="宋体"/>
                <w:sz w:val="18"/>
                <w:szCs w:val="18"/>
              </w:rPr>
            </w:pPr>
            <w:r>
              <w:rPr>
                <w:rFonts w:hint="eastAsia" w:ascii="宋体" w:hAnsi="宋体"/>
                <w:sz w:val="18"/>
                <w:szCs w:val="18"/>
              </w:rPr>
              <w:t>允许偏差(mm)</w:t>
            </w:r>
          </w:p>
        </w:tc>
        <w:tc>
          <w:tcPr>
            <w:tcW w:w="3686" w:type="dxa"/>
            <w:tcBorders>
              <w:top w:val="single" w:color="auto" w:sz="12" w:space="0"/>
              <w:left w:val="single" w:color="auto" w:sz="4" w:space="0"/>
              <w:bottom w:val="single" w:color="auto" w:sz="12" w:space="0"/>
              <w:right w:val="single" w:color="auto" w:sz="12" w:space="0"/>
            </w:tcBorders>
            <w:vAlign w:val="center"/>
          </w:tcPr>
          <w:p>
            <w:pPr>
              <w:widowControl/>
              <w:kinsoku w:val="0"/>
              <w:autoSpaceDE w:val="0"/>
              <w:autoSpaceDN w:val="0"/>
              <w:snapToGrid w:val="0"/>
              <w:spacing w:line="240" w:lineRule="auto"/>
              <w:jc w:val="center"/>
              <w:textAlignment w:val="baseline"/>
              <w:rPr>
                <w:rFonts w:ascii="宋体" w:hAnsi="宋体"/>
                <w:sz w:val="18"/>
                <w:szCs w:val="18"/>
              </w:rPr>
            </w:pPr>
            <w:r>
              <w:rPr>
                <w:rFonts w:hint="eastAsia" w:ascii="宋体" w:hAnsi="宋体"/>
                <w:sz w:val="18"/>
                <w:szCs w:val="18"/>
              </w:rPr>
              <w:t>检验方法</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667" w:type="dxa"/>
            <w:vMerge w:val="restart"/>
            <w:tcBorders>
              <w:top w:val="single" w:color="auto" w:sz="12" w:space="0"/>
              <w:left w:val="single" w:color="auto" w:sz="12" w:space="0"/>
              <w:bottom w:val="single" w:color="auto" w:sz="4" w:space="0"/>
              <w:right w:val="single" w:color="auto" w:sz="4" w:space="0"/>
            </w:tcBorders>
            <w:vAlign w:val="center"/>
          </w:tcPr>
          <w:p>
            <w:pPr>
              <w:widowControl/>
              <w:kinsoku w:val="0"/>
              <w:autoSpaceDE w:val="0"/>
              <w:autoSpaceDN w:val="0"/>
              <w:snapToGrid w:val="0"/>
              <w:spacing w:line="240" w:lineRule="auto"/>
              <w:jc w:val="center"/>
              <w:textAlignment w:val="baseline"/>
              <w:rPr>
                <w:rFonts w:ascii="宋体" w:hAnsi="宋体"/>
                <w:sz w:val="18"/>
                <w:szCs w:val="18"/>
              </w:rPr>
            </w:pPr>
            <w:r>
              <w:rPr>
                <w:rFonts w:hint="eastAsia" w:ascii="宋体" w:hAnsi="宋体"/>
                <w:sz w:val="18"/>
                <w:szCs w:val="18"/>
              </w:rPr>
              <w:t>长度</w:t>
            </w:r>
          </w:p>
        </w:tc>
        <w:tc>
          <w:tcPr>
            <w:tcW w:w="1559" w:type="dxa"/>
            <w:tcBorders>
              <w:top w:val="single" w:color="auto" w:sz="12" w:space="0"/>
              <w:left w:val="single" w:color="auto" w:sz="4" w:space="0"/>
              <w:bottom w:val="single" w:color="auto" w:sz="4" w:space="0"/>
              <w:right w:val="single" w:color="auto" w:sz="4" w:space="0"/>
            </w:tcBorders>
            <w:vAlign w:val="center"/>
          </w:tcPr>
          <w:p>
            <w:pPr>
              <w:widowControl/>
              <w:kinsoku w:val="0"/>
              <w:autoSpaceDE w:val="0"/>
              <w:autoSpaceDN w:val="0"/>
              <w:snapToGrid w:val="0"/>
              <w:spacing w:line="240" w:lineRule="auto"/>
              <w:jc w:val="center"/>
              <w:textAlignment w:val="baseline"/>
              <w:rPr>
                <w:rFonts w:ascii="宋体" w:hAnsi="宋体"/>
                <w:sz w:val="18"/>
                <w:szCs w:val="18"/>
              </w:rPr>
            </w:pPr>
            <w:r>
              <w:rPr>
                <w:rFonts w:hint="eastAsia" w:ascii="宋体" w:hAnsi="宋体"/>
                <w:sz w:val="18"/>
                <w:szCs w:val="18"/>
              </w:rPr>
              <w:t>≤6m</w:t>
            </w:r>
          </w:p>
        </w:tc>
        <w:tc>
          <w:tcPr>
            <w:tcW w:w="1417" w:type="dxa"/>
            <w:tcBorders>
              <w:top w:val="single" w:color="auto" w:sz="12" w:space="0"/>
              <w:left w:val="single" w:color="auto" w:sz="4" w:space="0"/>
              <w:bottom w:val="single" w:color="auto" w:sz="4" w:space="0"/>
              <w:right w:val="single" w:color="auto" w:sz="4" w:space="0"/>
            </w:tcBorders>
            <w:vAlign w:val="center"/>
          </w:tcPr>
          <w:p>
            <w:pPr>
              <w:widowControl/>
              <w:kinsoku w:val="0"/>
              <w:autoSpaceDE w:val="0"/>
              <w:autoSpaceDN w:val="0"/>
              <w:snapToGrid w:val="0"/>
              <w:spacing w:line="240" w:lineRule="auto"/>
              <w:jc w:val="center"/>
              <w:textAlignment w:val="baseline"/>
              <w:rPr>
                <w:rFonts w:ascii="宋体" w:hAnsi="宋体"/>
                <w:sz w:val="18"/>
                <w:szCs w:val="18"/>
              </w:rPr>
            </w:pPr>
            <w:r>
              <w:rPr>
                <w:rFonts w:hint="eastAsia" w:ascii="宋体" w:hAnsi="宋体"/>
                <w:sz w:val="18"/>
                <w:szCs w:val="18"/>
              </w:rPr>
              <w:t>1，-2</w:t>
            </w:r>
          </w:p>
        </w:tc>
        <w:tc>
          <w:tcPr>
            <w:tcW w:w="3686" w:type="dxa"/>
            <w:vMerge w:val="restart"/>
            <w:tcBorders>
              <w:top w:val="single" w:color="auto" w:sz="12" w:space="0"/>
              <w:left w:val="single" w:color="auto" w:sz="4" w:space="0"/>
              <w:bottom w:val="single" w:color="auto" w:sz="4" w:space="0"/>
              <w:right w:val="single" w:color="auto" w:sz="12" w:space="0"/>
            </w:tcBorders>
            <w:vAlign w:val="center"/>
          </w:tcPr>
          <w:p>
            <w:pPr>
              <w:widowControl/>
              <w:kinsoku w:val="0"/>
              <w:autoSpaceDE w:val="0"/>
              <w:autoSpaceDN w:val="0"/>
              <w:snapToGrid w:val="0"/>
              <w:spacing w:line="240" w:lineRule="auto"/>
              <w:jc w:val="center"/>
              <w:textAlignment w:val="baseline"/>
              <w:rPr>
                <w:rFonts w:ascii="宋体" w:hAnsi="宋体"/>
                <w:sz w:val="18"/>
                <w:szCs w:val="18"/>
              </w:rPr>
            </w:pPr>
            <w:r>
              <w:rPr>
                <w:rFonts w:hint="eastAsia" w:ascii="宋体" w:hAnsi="宋体"/>
                <w:sz w:val="18"/>
                <w:szCs w:val="18"/>
              </w:rPr>
              <w:t>用钢尺量平行构件高度方向，取最大值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667" w:type="dxa"/>
            <w:vMerge w:val="continue"/>
            <w:tcBorders>
              <w:top w:val="single" w:color="auto" w:sz="4" w:space="0"/>
              <w:left w:val="single" w:color="auto" w:sz="12"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1559" w:type="dxa"/>
            <w:tcBorders>
              <w:top w:val="single" w:color="auto" w:sz="4" w:space="0"/>
              <w:left w:val="single" w:color="auto" w:sz="4" w:space="0"/>
              <w:bottom w:val="single" w:color="auto" w:sz="4" w:space="0"/>
              <w:right w:val="single" w:color="auto" w:sz="4" w:space="0"/>
            </w:tcBorders>
            <w:vAlign w:val="center"/>
          </w:tcPr>
          <w:p>
            <w:pPr>
              <w:widowControl/>
              <w:kinsoku w:val="0"/>
              <w:autoSpaceDE w:val="0"/>
              <w:autoSpaceDN w:val="0"/>
              <w:snapToGrid w:val="0"/>
              <w:spacing w:line="240" w:lineRule="auto"/>
              <w:jc w:val="center"/>
              <w:textAlignment w:val="baseline"/>
              <w:rPr>
                <w:rFonts w:ascii="宋体" w:hAnsi="宋体"/>
                <w:sz w:val="18"/>
                <w:szCs w:val="18"/>
              </w:rPr>
            </w:pPr>
            <w:r>
              <w:rPr>
                <w:rFonts w:hint="eastAsia" w:ascii="宋体" w:hAnsi="宋体"/>
                <w:sz w:val="18"/>
                <w:szCs w:val="18"/>
              </w:rPr>
              <w:t>＞6m且≤12m</w:t>
            </w:r>
          </w:p>
        </w:tc>
        <w:tc>
          <w:tcPr>
            <w:tcW w:w="1417" w:type="dxa"/>
            <w:tcBorders>
              <w:top w:val="single" w:color="auto" w:sz="4" w:space="0"/>
              <w:left w:val="single" w:color="auto" w:sz="4" w:space="0"/>
              <w:bottom w:val="single" w:color="auto" w:sz="4" w:space="0"/>
              <w:right w:val="single" w:color="auto" w:sz="4" w:space="0"/>
            </w:tcBorders>
            <w:vAlign w:val="center"/>
          </w:tcPr>
          <w:p>
            <w:pPr>
              <w:widowControl/>
              <w:kinsoku w:val="0"/>
              <w:autoSpaceDE w:val="0"/>
              <w:autoSpaceDN w:val="0"/>
              <w:snapToGrid w:val="0"/>
              <w:spacing w:line="240" w:lineRule="auto"/>
              <w:jc w:val="center"/>
              <w:textAlignment w:val="baseline"/>
              <w:rPr>
                <w:rFonts w:ascii="宋体" w:hAnsi="宋体"/>
                <w:sz w:val="18"/>
                <w:szCs w:val="18"/>
              </w:rPr>
            </w:pPr>
            <w:r>
              <w:rPr>
                <w:rFonts w:hint="eastAsia" w:ascii="宋体" w:hAnsi="宋体"/>
                <w:sz w:val="18"/>
                <w:szCs w:val="18"/>
              </w:rPr>
              <w:t>2，-4</w:t>
            </w:r>
          </w:p>
        </w:tc>
        <w:tc>
          <w:tcPr>
            <w:tcW w:w="3686" w:type="dxa"/>
            <w:vMerge w:val="continue"/>
            <w:tcBorders>
              <w:top w:val="single" w:color="auto" w:sz="4" w:space="0"/>
              <w:left w:val="single" w:color="auto" w:sz="4" w:space="0"/>
              <w:bottom w:val="single" w:color="auto" w:sz="4" w:space="0"/>
              <w:right w:val="single" w:color="auto" w:sz="12" w:space="0"/>
            </w:tcBorders>
            <w:vAlign w:val="center"/>
          </w:tcPr>
          <w:p>
            <w:pPr>
              <w:widowControl/>
              <w:spacing w:line="240" w:lineRule="auto"/>
              <w:jc w:val="left"/>
              <w:rPr>
                <w:rFonts w:ascii="宋体" w:hAnsi="宋体"/>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667" w:type="dxa"/>
            <w:vMerge w:val="continue"/>
            <w:tcBorders>
              <w:top w:val="single" w:color="auto" w:sz="4" w:space="0"/>
              <w:left w:val="single" w:color="auto" w:sz="12" w:space="0"/>
              <w:bottom w:val="single" w:color="auto" w:sz="12" w:space="0"/>
              <w:right w:val="single" w:color="auto" w:sz="4" w:space="0"/>
            </w:tcBorders>
            <w:vAlign w:val="center"/>
          </w:tcPr>
          <w:p>
            <w:pPr>
              <w:widowControl/>
              <w:spacing w:line="240" w:lineRule="auto"/>
              <w:jc w:val="left"/>
              <w:rPr>
                <w:rFonts w:ascii="宋体" w:hAnsi="宋体"/>
                <w:sz w:val="18"/>
                <w:szCs w:val="18"/>
              </w:rPr>
            </w:pPr>
          </w:p>
        </w:tc>
        <w:tc>
          <w:tcPr>
            <w:tcW w:w="1559" w:type="dxa"/>
            <w:tcBorders>
              <w:top w:val="single" w:color="auto" w:sz="4" w:space="0"/>
              <w:left w:val="single" w:color="auto" w:sz="4" w:space="0"/>
              <w:bottom w:val="single" w:color="auto" w:sz="12" w:space="0"/>
              <w:right w:val="single" w:color="auto" w:sz="4" w:space="0"/>
            </w:tcBorders>
            <w:vAlign w:val="center"/>
          </w:tcPr>
          <w:p>
            <w:pPr>
              <w:widowControl/>
              <w:kinsoku w:val="0"/>
              <w:autoSpaceDE w:val="0"/>
              <w:autoSpaceDN w:val="0"/>
              <w:snapToGrid w:val="0"/>
              <w:spacing w:line="240" w:lineRule="auto"/>
              <w:jc w:val="center"/>
              <w:textAlignment w:val="baseline"/>
              <w:rPr>
                <w:rFonts w:ascii="宋体" w:hAnsi="宋体"/>
                <w:sz w:val="18"/>
                <w:szCs w:val="18"/>
              </w:rPr>
            </w:pPr>
            <w:r>
              <w:rPr>
                <w:rFonts w:hint="eastAsia" w:ascii="宋体" w:hAnsi="宋体"/>
                <w:sz w:val="18"/>
                <w:szCs w:val="18"/>
              </w:rPr>
              <w:t>＞12m</w:t>
            </w:r>
          </w:p>
        </w:tc>
        <w:tc>
          <w:tcPr>
            <w:tcW w:w="1417" w:type="dxa"/>
            <w:tcBorders>
              <w:top w:val="single" w:color="auto" w:sz="4" w:space="0"/>
              <w:left w:val="single" w:color="auto" w:sz="4" w:space="0"/>
              <w:bottom w:val="single" w:color="auto" w:sz="12" w:space="0"/>
              <w:right w:val="single" w:color="auto" w:sz="4" w:space="0"/>
            </w:tcBorders>
            <w:vAlign w:val="center"/>
          </w:tcPr>
          <w:p>
            <w:pPr>
              <w:widowControl/>
              <w:kinsoku w:val="0"/>
              <w:autoSpaceDE w:val="0"/>
              <w:autoSpaceDN w:val="0"/>
              <w:snapToGrid w:val="0"/>
              <w:spacing w:line="240" w:lineRule="auto"/>
              <w:jc w:val="center"/>
              <w:textAlignment w:val="baseline"/>
              <w:rPr>
                <w:rFonts w:ascii="宋体" w:hAnsi="宋体"/>
                <w:sz w:val="18"/>
                <w:szCs w:val="18"/>
              </w:rPr>
            </w:pPr>
            <w:r>
              <w:rPr>
                <w:rFonts w:hint="eastAsia" w:ascii="宋体" w:hAnsi="宋体"/>
                <w:sz w:val="18"/>
                <w:szCs w:val="18"/>
              </w:rPr>
              <w:t>3，-5</w:t>
            </w:r>
          </w:p>
        </w:tc>
        <w:tc>
          <w:tcPr>
            <w:tcW w:w="3686" w:type="dxa"/>
            <w:vMerge w:val="continue"/>
            <w:tcBorders>
              <w:top w:val="single" w:color="auto" w:sz="4" w:space="0"/>
              <w:left w:val="single" w:color="auto" w:sz="4" w:space="0"/>
              <w:bottom w:val="single" w:color="auto" w:sz="12" w:space="0"/>
              <w:right w:val="single" w:color="auto" w:sz="12" w:space="0"/>
            </w:tcBorders>
            <w:vAlign w:val="center"/>
          </w:tcPr>
          <w:p>
            <w:pPr>
              <w:widowControl/>
              <w:spacing w:line="240" w:lineRule="auto"/>
              <w:jc w:val="left"/>
              <w:rPr>
                <w:rFonts w:ascii="宋体" w:hAnsi="宋体"/>
                <w:sz w:val="18"/>
                <w:szCs w:val="18"/>
              </w:rPr>
            </w:pPr>
          </w:p>
        </w:tc>
      </w:tr>
    </w:tbl>
    <w:p>
      <w:pPr>
        <w:pStyle w:val="58"/>
        <w:spacing w:before="156" w:beforeLines="50" w:after="156" w:afterLines="50"/>
        <w:ind w:firstLine="0" w:firstLineChars="0"/>
        <w:jc w:val="center"/>
        <w:rPr>
          <w:rFonts w:ascii="黑体" w:hAnsi="黑体" w:eastAsia="黑体"/>
        </w:rPr>
      </w:pPr>
    </w:p>
    <w:p>
      <w:pPr>
        <w:pStyle w:val="58"/>
        <w:spacing w:before="156" w:beforeLines="50" w:after="156" w:afterLines="50"/>
        <w:ind w:firstLine="0" w:firstLineChars="0"/>
        <w:jc w:val="center"/>
        <w:rPr>
          <w:rFonts w:ascii="黑体" w:hAnsi="黑体" w:eastAsia="黑体"/>
        </w:rPr>
      </w:pPr>
      <w:r>
        <w:rPr>
          <w:rFonts w:ascii="黑体" w:hAnsi="黑体" w:eastAsia="黑体"/>
        </w:rPr>
        <w:t xml:space="preserve">表6 </w:t>
      </w:r>
      <w:r>
        <w:rPr>
          <w:rFonts w:hint="eastAsia" w:ascii="黑体" w:hAnsi="黑体" w:eastAsia="黑体"/>
        </w:rPr>
        <w:t>续</w:t>
      </w:r>
    </w:p>
    <w:tbl>
      <w:tblPr>
        <w:tblStyle w:val="27"/>
        <w:tblW w:w="9329" w:type="dxa"/>
        <w:tblInd w:w="135"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667"/>
        <w:gridCol w:w="1488"/>
        <w:gridCol w:w="1488"/>
        <w:gridCol w:w="3686"/>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667" w:type="dxa"/>
            <w:tcBorders>
              <w:top w:val="single" w:color="auto" w:sz="12" w:space="0"/>
              <w:left w:val="single" w:color="auto" w:sz="12" w:space="0"/>
              <w:bottom w:val="single" w:color="auto" w:sz="12" w:space="0"/>
              <w:right w:val="single" w:color="auto" w:sz="4" w:space="0"/>
            </w:tcBorders>
            <w:vAlign w:val="center"/>
          </w:tcPr>
          <w:p>
            <w:pPr>
              <w:widowControl/>
              <w:kinsoku w:val="0"/>
              <w:autoSpaceDE w:val="0"/>
              <w:autoSpaceDN w:val="0"/>
              <w:snapToGrid w:val="0"/>
              <w:spacing w:line="240" w:lineRule="auto"/>
              <w:jc w:val="center"/>
              <w:textAlignment w:val="baseline"/>
              <w:rPr>
                <w:rFonts w:ascii="宋体" w:hAnsi="宋体"/>
                <w:sz w:val="18"/>
                <w:szCs w:val="18"/>
              </w:rPr>
            </w:pPr>
            <w:r>
              <w:rPr>
                <w:rFonts w:hint="eastAsia" w:ascii="宋体" w:hAnsi="宋体"/>
                <w:sz w:val="18"/>
                <w:szCs w:val="18"/>
              </w:rPr>
              <w:t>项目</w:t>
            </w:r>
          </w:p>
        </w:tc>
        <w:tc>
          <w:tcPr>
            <w:tcW w:w="2976" w:type="dxa"/>
            <w:gridSpan w:val="2"/>
            <w:tcBorders>
              <w:top w:val="single" w:color="auto" w:sz="12" w:space="0"/>
              <w:left w:val="single" w:color="auto" w:sz="4" w:space="0"/>
              <w:bottom w:val="single" w:color="auto" w:sz="12" w:space="0"/>
              <w:right w:val="single" w:color="auto" w:sz="4" w:space="0"/>
            </w:tcBorders>
            <w:vAlign w:val="center"/>
          </w:tcPr>
          <w:p>
            <w:pPr>
              <w:widowControl/>
              <w:kinsoku w:val="0"/>
              <w:autoSpaceDE w:val="0"/>
              <w:autoSpaceDN w:val="0"/>
              <w:snapToGrid w:val="0"/>
              <w:spacing w:line="240" w:lineRule="auto"/>
              <w:jc w:val="center"/>
              <w:textAlignment w:val="baseline"/>
              <w:rPr>
                <w:rFonts w:ascii="宋体" w:hAnsi="宋体"/>
                <w:sz w:val="18"/>
                <w:szCs w:val="18"/>
              </w:rPr>
            </w:pPr>
            <w:r>
              <w:rPr>
                <w:rFonts w:hint="eastAsia" w:ascii="宋体" w:hAnsi="宋体"/>
                <w:sz w:val="18"/>
                <w:szCs w:val="18"/>
              </w:rPr>
              <w:t>允许偏差(mm)</w:t>
            </w:r>
          </w:p>
        </w:tc>
        <w:tc>
          <w:tcPr>
            <w:tcW w:w="3686" w:type="dxa"/>
            <w:tcBorders>
              <w:top w:val="single" w:color="auto" w:sz="12" w:space="0"/>
              <w:left w:val="single" w:color="auto" w:sz="4" w:space="0"/>
              <w:bottom w:val="single" w:color="auto" w:sz="12" w:space="0"/>
              <w:right w:val="single" w:color="auto" w:sz="12" w:space="0"/>
            </w:tcBorders>
            <w:vAlign w:val="center"/>
          </w:tcPr>
          <w:p>
            <w:pPr>
              <w:widowControl/>
              <w:kinsoku w:val="0"/>
              <w:autoSpaceDE w:val="0"/>
              <w:autoSpaceDN w:val="0"/>
              <w:snapToGrid w:val="0"/>
              <w:spacing w:line="240" w:lineRule="auto"/>
              <w:jc w:val="center"/>
              <w:textAlignment w:val="baseline"/>
              <w:rPr>
                <w:rFonts w:ascii="宋体" w:hAnsi="宋体"/>
                <w:sz w:val="18"/>
                <w:szCs w:val="18"/>
              </w:rPr>
            </w:pPr>
            <w:r>
              <w:rPr>
                <w:rFonts w:hint="eastAsia" w:ascii="宋体" w:hAnsi="宋体"/>
                <w:sz w:val="18"/>
                <w:szCs w:val="18"/>
              </w:rPr>
              <w:t>检验方法</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667" w:type="dxa"/>
            <w:vMerge w:val="restart"/>
            <w:tcBorders>
              <w:top w:val="single" w:color="auto" w:sz="4" w:space="0"/>
              <w:left w:val="single" w:color="auto" w:sz="12" w:space="0"/>
              <w:right w:val="single" w:color="auto" w:sz="4" w:space="0"/>
            </w:tcBorders>
            <w:vAlign w:val="center"/>
          </w:tcPr>
          <w:p>
            <w:pPr>
              <w:widowControl/>
              <w:kinsoku w:val="0"/>
              <w:autoSpaceDE w:val="0"/>
              <w:autoSpaceDN w:val="0"/>
              <w:snapToGrid w:val="0"/>
              <w:spacing w:line="240" w:lineRule="auto"/>
              <w:jc w:val="center"/>
              <w:textAlignment w:val="baseline"/>
              <w:rPr>
                <w:rFonts w:ascii="宋体" w:hAnsi="宋体"/>
                <w:sz w:val="18"/>
                <w:szCs w:val="18"/>
              </w:rPr>
            </w:pPr>
            <w:r>
              <w:rPr>
                <w:rFonts w:hint="eastAsia" w:ascii="宋体" w:hAnsi="宋体"/>
                <w:sz w:val="18"/>
                <w:szCs w:val="18"/>
              </w:rPr>
              <w:t>截面尺寸</w:t>
            </w:r>
          </w:p>
        </w:tc>
        <w:tc>
          <w:tcPr>
            <w:tcW w:w="1488" w:type="dxa"/>
            <w:tcBorders>
              <w:top w:val="single" w:color="auto" w:sz="4" w:space="0"/>
              <w:left w:val="single" w:color="auto" w:sz="4" w:space="0"/>
              <w:bottom w:val="single" w:color="auto" w:sz="4" w:space="0"/>
              <w:right w:val="single" w:color="auto" w:sz="4" w:space="0"/>
            </w:tcBorders>
            <w:vAlign w:val="center"/>
          </w:tcPr>
          <w:p>
            <w:pPr>
              <w:widowControl/>
              <w:kinsoku w:val="0"/>
              <w:autoSpaceDE w:val="0"/>
              <w:autoSpaceDN w:val="0"/>
              <w:snapToGrid w:val="0"/>
              <w:spacing w:line="240" w:lineRule="auto"/>
              <w:jc w:val="center"/>
              <w:textAlignment w:val="baseline"/>
              <w:rPr>
                <w:rFonts w:ascii="宋体" w:hAnsi="宋体"/>
                <w:sz w:val="18"/>
                <w:szCs w:val="18"/>
              </w:rPr>
            </w:pPr>
            <w:r>
              <w:rPr>
                <w:rFonts w:hint="eastAsia" w:ascii="宋体" w:hAnsi="宋体"/>
                <w:sz w:val="18"/>
                <w:szCs w:val="18"/>
              </w:rPr>
              <w:t>墙板</w:t>
            </w:r>
          </w:p>
        </w:tc>
        <w:tc>
          <w:tcPr>
            <w:tcW w:w="1488" w:type="dxa"/>
            <w:tcBorders>
              <w:top w:val="single" w:color="auto" w:sz="4" w:space="0"/>
              <w:left w:val="single" w:color="auto" w:sz="4" w:space="0"/>
              <w:bottom w:val="single" w:color="auto" w:sz="4" w:space="0"/>
              <w:right w:val="single" w:color="auto" w:sz="4" w:space="0"/>
            </w:tcBorders>
            <w:vAlign w:val="center"/>
          </w:tcPr>
          <w:p>
            <w:pPr>
              <w:widowControl/>
              <w:kinsoku w:val="0"/>
              <w:autoSpaceDE w:val="0"/>
              <w:autoSpaceDN w:val="0"/>
              <w:snapToGrid w:val="0"/>
              <w:spacing w:line="240" w:lineRule="auto"/>
              <w:jc w:val="center"/>
              <w:textAlignment w:val="baseline"/>
              <w:rPr>
                <w:rFonts w:ascii="宋体" w:hAnsi="宋体"/>
                <w:sz w:val="18"/>
                <w:szCs w:val="18"/>
              </w:rPr>
            </w:pPr>
            <w:r>
              <w:rPr>
                <w:rFonts w:hint="eastAsia" w:ascii="宋体" w:hAnsi="宋体"/>
                <w:sz w:val="18"/>
                <w:szCs w:val="18"/>
              </w:rPr>
              <w:t>1，-2</w:t>
            </w:r>
          </w:p>
        </w:tc>
        <w:tc>
          <w:tcPr>
            <w:tcW w:w="3686" w:type="dxa"/>
            <w:vMerge w:val="restart"/>
            <w:tcBorders>
              <w:top w:val="single" w:color="auto" w:sz="4" w:space="0"/>
              <w:left w:val="single" w:color="auto" w:sz="4" w:space="0"/>
              <w:right w:val="single" w:color="auto" w:sz="12" w:space="0"/>
            </w:tcBorders>
            <w:vAlign w:val="center"/>
          </w:tcPr>
          <w:p>
            <w:pPr>
              <w:widowControl/>
              <w:kinsoku w:val="0"/>
              <w:autoSpaceDE w:val="0"/>
              <w:autoSpaceDN w:val="0"/>
              <w:snapToGrid w:val="0"/>
              <w:spacing w:line="240" w:lineRule="auto"/>
              <w:jc w:val="center"/>
              <w:textAlignment w:val="baseline"/>
              <w:rPr>
                <w:rFonts w:ascii="宋体" w:hAnsi="宋体"/>
                <w:sz w:val="18"/>
                <w:szCs w:val="18"/>
              </w:rPr>
            </w:pPr>
            <w:r>
              <w:rPr>
                <w:rFonts w:hint="eastAsia" w:ascii="宋体" w:hAnsi="宋体"/>
                <w:sz w:val="18"/>
                <w:szCs w:val="18"/>
              </w:rPr>
              <w:t>用钢尺测量两端或中部，取最大值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667" w:type="dxa"/>
            <w:vMerge w:val="continue"/>
            <w:tcBorders>
              <w:left w:val="single" w:color="auto" w:sz="12" w:space="0"/>
              <w:bottom w:val="single" w:color="auto" w:sz="4" w:space="0"/>
              <w:right w:val="single" w:color="auto" w:sz="4" w:space="0"/>
            </w:tcBorders>
            <w:vAlign w:val="center"/>
          </w:tcPr>
          <w:p>
            <w:pPr>
              <w:widowControl/>
              <w:kinsoku w:val="0"/>
              <w:autoSpaceDE w:val="0"/>
              <w:autoSpaceDN w:val="0"/>
              <w:snapToGrid w:val="0"/>
              <w:spacing w:line="240" w:lineRule="auto"/>
              <w:jc w:val="center"/>
              <w:textAlignment w:val="baseline"/>
              <w:rPr>
                <w:rFonts w:ascii="宋体" w:hAnsi="宋体"/>
                <w:sz w:val="18"/>
                <w:szCs w:val="18"/>
              </w:rPr>
            </w:pPr>
          </w:p>
        </w:tc>
        <w:tc>
          <w:tcPr>
            <w:tcW w:w="1488" w:type="dxa"/>
            <w:tcBorders>
              <w:top w:val="single" w:color="auto" w:sz="4" w:space="0"/>
              <w:left w:val="single" w:color="auto" w:sz="4" w:space="0"/>
              <w:bottom w:val="single" w:color="auto" w:sz="4" w:space="0"/>
              <w:right w:val="single" w:color="auto" w:sz="4" w:space="0"/>
            </w:tcBorders>
            <w:vAlign w:val="center"/>
          </w:tcPr>
          <w:p>
            <w:pPr>
              <w:widowControl/>
              <w:kinsoku w:val="0"/>
              <w:autoSpaceDE w:val="0"/>
              <w:autoSpaceDN w:val="0"/>
              <w:snapToGrid w:val="0"/>
              <w:spacing w:line="240" w:lineRule="auto"/>
              <w:jc w:val="center"/>
              <w:textAlignment w:val="baseline"/>
              <w:rPr>
                <w:rFonts w:ascii="宋体" w:hAnsi="宋体"/>
                <w:sz w:val="18"/>
                <w:szCs w:val="18"/>
              </w:rPr>
            </w:pPr>
            <w:r>
              <w:rPr>
                <w:rFonts w:hint="eastAsia" w:ascii="宋体" w:hAnsi="宋体"/>
                <w:sz w:val="18"/>
                <w:szCs w:val="18"/>
              </w:rPr>
              <w:t>其他构件</w:t>
            </w:r>
          </w:p>
        </w:tc>
        <w:tc>
          <w:tcPr>
            <w:tcW w:w="1488" w:type="dxa"/>
            <w:tcBorders>
              <w:top w:val="single" w:color="auto" w:sz="4" w:space="0"/>
              <w:left w:val="single" w:color="auto" w:sz="4" w:space="0"/>
              <w:bottom w:val="single" w:color="auto" w:sz="4" w:space="0"/>
              <w:right w:val="single" w:color="auto" w:sz="4" w:space="0"/>
            </w:tcBorders>
            <w:vAlign w:val="center"/>
          </w:tcPr>
          <w:p>
            <w:pPr>
              <w:widowControl/>
              <w:kinsoku w:val="0"/>
              <w:autoSpaceDE w:val="0"/>
              <w:autoSpaceDN w:val="0"/>
              <w:snapToGrid w:val="0"/>
              <w:spacing w:line="240" w:lineRule="auto"/>
              <w:jc w:val="center"/>
              <w:textAlignment w:val="baseline"/>
              <w:rPr>
                <w:rFonts w:ascii="宋体" w:hAnsi="宋体"/>
                <w:sz w:val="18"/>
                <w:szCs w:val="18"/>
              </w:rPr>
            </w:pPr>
            <w:r>
              <w:rPr>
                <w:rFonts w:hint="eastAsia" w:ascii="宋体" w:hAnsi="宋体"/>
                <w:sz w:val="18"/>
                <w:szCs w:val="18"/>
              </w:rPr>
              <w:t>2，-4</w:t>
            </w:r>
          </w:p>
        </w:tc>
        <w:tc>
          <w:tcPr>
            <w:tcW w:w="3686" w:type="dxa"/>
            <w:vMerge w:val="continue"/>
            <w:tcBorders>
              <w:left w:val="single" w:color="auto" w:sz="4" w:space="0"/>
              <w:bottom w:val="single" w:color="auto" w:sz="4" w:space="0"/>
              <w:right w:val="single" w:color="auto" w:sz="12" w:space="0"/>
            </w:tcBorders>
            <w:vAlign w:val="center"/>
          </w:tcPr>
          <w:p>
            <w:pPr>
              <w:widowControl/>
              <w:kinsoku w:val="0"/>
              <w:autoSpaceDE w:val="0"/>
              <w:autoSpaceDN w:val="0"/>
              <w:snapToGrid w:val="0"/>
              <w:spacing w:line="240" w:lineRule="auto"/>
              <w:jc w:val="center"/>
              <w:textAlignment w:val="baseline"/>
              <w:rPr>
                <w:rFonts w:ascii="宋体" w:hAnsi="宋体"/>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667" w:type="dxa"/>
            <w:tcBorders>
              <w:top w:val="single" w:color="auto" w:sz="4" w:space="0"/>
              <w:left w:val="single" w:color="auto" w:sz="12" w:space="0"/>
              <w:bottom w:val="single" w:color="auto" w:sz="4" w:space="0"/>
              <w:right w:val="single" w:color="auto" w:sz="4" w:space="0"/>
            </w:tcBorders>
            <w:vAlign w:val="center"/>
          </w:tcPr>
          <w:p>
            <w:pPr>
              <w:widowControl/>
              <w:kinsoku w:val="0"/>
              <w:autoSpaceDE w:val="0"/>
              <w:autoSpaceDN w:val="0"/>
              <w:snapToGrid w:val="0"/>
              <w:spacing w:line="240" w:lineRule="auto"/>
              <w:jc w:val="center"/>
              <w:textAlignment w:val="baseline"/>
              <w:rPr>
                <w:rFonts w:ascii="宋体" w:hAnsi="宋体"/>
                <w:sz w:val="18"/>
                <w:szCs w:val="18"/>
              </w:rPr>
            </w:pPr>
            <w:r>
              <w:rPr>
                <w:rFonts w:hint="eastAsia" w:ascii="宋体" w:hAnsi="宋体"/>
                <w:sz w:val="18"/>
                <w:szCs w:val="18"/>
              </w:rPr>
              <w:t>对角线差</w:t>
            </w:r>
          </w:p>
        </w:tc>
        <w:tc>
          <w:tcPr>
            <w:tcW w:w="2976" w:type="dxa"/>
            <w:gridSpan w:val="2"/>
            <w:tcBorders>
              <w:top w:val="single" w:color="auto" w:sz="4" w:space="0"/>
              <w:left w:val="single" w:color="auto" w:sz="4" w:space="0"/>
              <w:bottom w:val="single" w:color="auto" w:sz="4" w:space="0"/>
              <w:right w:val="single" w:color="auto" w:sz="4" w:space="0"/>
            </w:tcBorders>
            <w:vAlign w:val="center"/>
          </w:tcPr>
          <w:p>
            <w:pPr>
              <w:widowControl/>
              <w:kinsoku w:val="0"/>
              <w:autoSpaceDE w:val="0"/>
              <w:autoSpaceDN w:val="0"/>
              <w:snapToGrid w:val="0"/>
              <w:spacing w:line="240" w:lineRule="auto"/>
              <w:jc w:val="center"/>
              <w:textAlignment w:val="baseline"/>
              <w:rPr>
                <w:rFonts w:ascii="宋体" w:hAnsi="宋体"/>
                <w:sz w:val="18"/>
                <w:szCs w:val="18"/>
              </w:rPr>
            </w:pPr>
            <w:r>
              <w:rPr>
                <w:rFonts w:hint="eastAsia" w:ascii="宋体" w:hAnsi="宋体"/>
                <w:sz w:val="18"/>
                <w:szCs w:val="18"/>
              </w:rPr>
              <w:t>3</w:t>
            </w:r>
          </w:p>
        </w:tc>
        <w:tc>
          <w:tcPr>
            <w:tcW w:w="3686" w:type="dxa"/>
            <w:tcBorders>
              <w:top w:val="single" w:color="auto" w:sz="4" w:space="0"/>
              <w:left w:val="single" w:color="auto" w:sz="4" w:space="0"/>
              <w:bottom w:val="single" w:color="auto" w:sz="4" w:space="0"/>
              <w:right w:val="single" w:color="auto" w:sz="12" w:space="0"/>
            </w:tcBorders>
            <w:vAlign w:val="center"/>
          </w:tcPr>
          <w:p>
            <w:pPr>
              <w:widowControl/>
              <w:kinsoku w:val="0"/>
              <w:autoSpaceDE w:val="0"/>
              <w:autoSpaceDN w:val="0"/>
              <w:snapToGrid w:val="0"/>
              <w:spacing w:line="240" w:lineRule="auto"/>
              <w:jc w:val="center"/>
              <w:textAlignment w:val="baseline"/>
              <w:rPr>
                <w:rFonts w:ascii="宋体" w:hAnsi="宋体"/>
                <w:sz w:val="18"/>
                <w:szCs w:val="18"/>
              </w:rPr>
            </w:pPr>
            <w:r>
              <w:rPr>
                <w:rFonts w:hint="eastAsia" w:ascii="宋体" w:hAnsi="宋体"/>
                <w:sz w:val="18"/>
                <w:szCs w:val="18"/>
              </w:rPr>
              <w:t>用钢尺量纵、横两方向对角线</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667" w:type="dxa"/>
            <w:tcBorders>
              <w:top w:val="single" w:color="auto" w:sz="4" w:space="0"/>
              <w:left w:val="single" w:color="auto" w:sz="12" w:space="0"/>
              <w:bottom w:val="single" w:color="auto" w:sz="4" w:space="0"/>
              <w:right w:val="single" w:color="auto" w:sz="4" w:space="0"/>
            </w:tcBorders>
            <w:vAlign w:val="center"/>
          </w:tcPr>
          <w:p>
            <w:pPr>
              <w:widowControl/>
              <w:kinsoku w:val="0"/>
              <w:autoSpaceDE w:val="0"/>
              <w:autoSpaceDN w:val="0"/>
              <w:snapToGrid w:val="0"/>
              <w:spacing w:line="240" w:lineRule="auto"/>
              <w:jc w:val="center"/>
              <w:textAlignment w:val="baseline"/>
              <w:rPr>
                <w:rFonts w:ascii="宋体" w:hAnsi="宋体"/>
                <w:sz w:val="18"/>
                <w:szCs w:val="18"/>
              </w:rPr>
            </w:pPr>
            <w:r>
              <w:rPr>
                <w:rFonts w:hint="eastAsia" w:ascii="宋体" w:hAnsi="宋体"/>
                <w:sz w:val="18"/>
                <w:szCs w:val="18"/>
              </w:rPr>
              <w:t>侧向弯曲</w:t>
            </w:r>
          </w:p>
        </w:tc>
        <w:tc>
          <w:tcPr>
            <w:tcW w:w="2976" w:type="dxa"/>
            <w:gridSpan w:val="2"/>
            <w:tcBorders>
              <w:top w:val="single" w:color="auto" w:sz="4" w:space="0"/>
              <w:left w:val="single" w:color="auto" w:sz="4" w:space="0"/>
              <w:bottom w:val="single" w:color="auto" w:sz="4" w:space="0"/>
              <w:right w:val="single" w:color="auto" w:sz="4" w:space="0"/>
            </w:tcBorders>
            <w:vAlign w:val="center"/>
          </w:tcPr>
          <w:p>
            <w:pPr>
              <w:widowControl/>
              <w:kinsoku w:val="0"/>
              <w:autoSpaceDE w:val="0"/>
              <w:autoSpaceDN w:val="0"/>
              <w:snapToGrid w:val="0"/>
              <w:spacing w:line="240" w:lineRule="auto"/>
              <w:jc w:val="center"/>
              <w:textAlignment w:val="baseline"/>
              <w:rPr>
                <w:rFonts w:ascii="宋体" w:hAnsi="宋体"/>
                <w:sz w:val="18"/>
                <w:szCs w:val="18"/>
              </w:rPr>
            </w:pPr>
            <w:r>
              <w:rPr>
                <w:rFonts w:hint="eastAsia" w:ascii="宋体" w:hAnsi="宋体"/>
                <w:sz w:val="18"/>
                <w:szCs w:val="18"/>
              </w:rPr>
              <w:t>L/1500且≤5</w:t>
            </w:r>
          </w:p>
        </w:tc>
        <w:tc>
          <w:tcPr>
            <w:tcW w:w="3686" w:type="dxa"/>
            <w:tcBorders>
              <w:top w:val="single" w:color="auto" w:sz="4" w:space="0"/>
              <w:left w:val="single" w:color="auto" w:sz="4" w:space="0"/>
              <w:bottom w:val="single" w:color="auto" w:sz="4" w:space="0"/>
              <w:right w:val="single" w:color="auto" w:sz="12" w:space="0"/>
            </w:tcBorders>
            <w:vAlign w:val="center"/>
          </w:tcPr>
          <w:p>
            <w:pPr>
              <w:widowControl/>
              <w:kinsoku w:val="0"/>
              <w:autoSpaceDE w:val="0"/>
              <w:autoSpaceDN w:val="0"/>
              <w:snapToGrid w:val="0"/>
              <w:spacing w:line="240" w:lineRule="auto"/>
              <w:jc w:val="center"/>
              <w:textAlignment w:val="baseline"/>
              <w:rPr>
                <w:rFonts w:ascii="宋体" w:hAnsi="宋体"/>
                <w:sz w:val="18"/>
                <w:szCs w:val="18"/>
              </w:rPr>
            </w:pPr>
            <w:r>
              <w:rPr>
                <w:rFonts w:hint="eastAsia" w:ascii="宋体" w:hAnsi="宋体"/>
                <w:sz w:val="18"/>
                <w:szCs w:val="18"/>
              </w:rPr>
              <w:t>拉线、钢尺量最大弯曲处</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667" w:type="dxa"/>
            <w:tcBorders>
              <w:top w:val="single" w:color="auto" w:sz="4" w:space="0"/>
              <w:left w:val="single" w:color="auto" w:sz="12" w:space="0"/>
              <w:bottom w:val="single" w:color="auto" w:sz="4" w:space="0"/>
              <w:right w:val="single" w:color="auto" w:sz="4" w:space="0"/>
            </w:tcBorders>
            <w:vAlign w:val="center"/>
          </w:tcPr>
          <w:p>
            <w:pPr>
              <w:widowControl/>
              <w:kinsoku w:val="0"/>
              <w:autoSpaceDE w:val="0"/>
              <w:autoSpaceDN w:val="0"/>
              <w:snapToGrid w:val="0"/>
              <w:spacing w:line="240" w:lineRule="auto"/>
              <w:jc w:val="center"/>
              <w:textAlignment w:val="baseline"/>
              <w:rPr>
                <w:rFonts w:ascii="宋体" w:hAnsi="宋体"/>
                <w:sz w:val="18"/>
                <w:szCs w:val="18"/>
              </w:rPr>
            </w:pPr>
            <w:r>
              <w:rPr>
                <w:rFonts w:hint="eastAsia" w:ascii="宋体" w:hAnsi="宋体"/>
                <w:sz w:val="18"/>
                <w:szCs w:val="18"/>
              </w:rPr>
              <w:t>翘曲</w:t>
            </w:r>
          </w:p>
        </w:tc>
        <w:tc>
          <w:tcPr>
            <w:tcW w:w="2976" w:type="dxa"/>
            <w:gridSpan w:val="2"/>
            <w:tcBorders>
              <w:top w:val="single" w:color="auto" w:sz="4" w:space="0"/>
              <w:left w:val="single" w:color="auto" w:sz="4" w:space="0"/>
              <w:bottom w:val="single" w:color="auto" w:sz="4" w:space="0"/>
              <w:right w:val="single" w:color="auto" w:sz="4" w:space="0"/>
            </w:tcBorders>
            <w:vAlign w:val="center"/>
          </w:tcPr>
          <w:p>
            <w:pPr>
              <w:widowControl/>
              <w:kinsoku w:val="0"/>
              <w:autoSpaceDE w:val="0"/>
              <w:autoSpaceDN w:val="0"/>
              <w:snapToGrid w:val="0"/>
              <w:spacing w:line="240" w:lineRule="auto"/>
              <w:jc w:val="center"/>
              <w:textAlignment w:val="baseline"/>
              <w:rPr>
                <w:rFonts w:ascii="宋体" w:hAnsi="宋体"/>
                <w:sz w:val="18"/>
                <w:szCs w:val="18"/>
              </w:rPr>
            </w:pPr>
            <w:r>
              <w:rPr>
                <w:rFonts w:hint="eastAsia" w:ascii="宋体" w:hAnsi="宋体"/>
                <w:sz w:val="18"/>
                <w:szCs w:val="18"/>
              </w:rPr>
              <w:t>L/1500</w:t>
            </w:r>
          </w:p>
        </w:tc>
        <w:tc>
          <w:tcPr>
            <w:tcW w:w="3686" w:type="dxa"/>
            <w:tcBorders>
              <w:top w:val="single" w:color="auto" w:sz="4" w:space="0"/>
              <w:left w:val="single" w:color="auto" w:sz="4" w:space="0"/>
              <w:bottom w:val="single" w:color="auto" w:sz="4" w:space="0"/>
              <w:right w:val="single" w:color="auto" w:sz="12" w:space="0"/>
            </w:tcBorders>
            <w:vAlign w:val="center"/>
          </w:tcPr>
          <w:p>
            <w:pPr>
              <w:widowControl/>
              <w:kinsoku w:val="0"/>
              <w:autoSpaceDE w:val="0"/>
              <w:autoSpaceDN w:val="0"/>
              <w:snapToGrid w:val="0"/>
              <w:spacing w:line="240" w:lineRule="auto"/>
              <w:jc w:val="center"/>
              <w:textAlignment w:val="baseline"/>
              <w:rPr>
                <w:rFonts w:ascii="宋体" w:hAnsi="宋体"/>
                <w:sz w:val="18"/>
                <w:szCs w:val="18"/>
              </w:rPr>
            </w:pPr>
            <w:r>
              <w:rPr>
                <w:rFonts w:hint="eastAsia" w:ascii="宋体" w:hAnsi="宋体"/>
                <w:sz w:val="18"/>
                <w:szCs w:val="18"/>
              </w:rPr>
              <w:t>对角拉线测量焦点间距离值得两倍</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667" w:type="dxa"/>
            <w:tcBorders>
              <w:top w:val="single" w:color="auto" w:sz="4" w:space="0"/>
              <w:left w:val="single" w:color="auto" w:sz="12" w:space="0"/>
              <w:bottom w:val="single" w:color="auto" w:sz="4" w:space="0"/>
              <w:right w:val="single" w:color="auto" w:sz="4" w:space="0"/>
            </w:tcBorders>
            <w:vAlign w:val="center"/>
          </w:tcPr>
          <w:p>
            <w:pPr>
              <w:widowControl/>
              <w:kinsoku w:val="0"/>
              <w:autoSpaceDE w:val="0"/>
              <w:autoSpaceDN w:val="0"/>
              <w:snapToGrid w:val="0"/>
              <w:spacing w:line="240" w:lineRule="auto"/>
              <w:jc w:val="center"/>
              <w:textAlignment w:val="baseline"/>
              <w:rPr>
                <w:rFonts w:ascii="宋体" w:hAnsi="宋体"/>
                <w:sz w:val="18"/>
                <w:szCs w:val="18"/>
              </w:rPr>
            </w:pPr>
            <w:r>
              <w:rPr>
                <w:rFonts w:hint="eastAsia" w:ascii="宋体" w:hAnsi="宋体"/>
                <w:sz w:val="18"/>
                <w:szCs w:val="18"/>
              </w:rPr>
              <w:t>台座底模表面平整度</w:t>
            </w:r>
          </w:p>
        </w:tc>
        <w:tc>
          <w:tcPr>
            <w:tcW w:w="2976" w:type="dxa"/>
            <w:gridSpan w:val="2"/>
            <w:tcBorders>
              <w:top w:val="single" w:color="auto" w:sz="4" w:space="0"/>
              <w:left w:val="single" w:color="auto" w:sz="4" w:space="0"/>
              <w:bottom w:val="single" w:color="auto" w:sz="4" w:space="0"/>
              <w:right w:val="single" w:color="auto" w:sz="4" w:space="0"/>
            </w:tcBorders>
            <w:vAlign w:val="center"/>
          </w:tcPr>
          <w:p>
            <w:pPr>
              <w:widowControl/>
              <w:kinsoku w:val="0"/>
              <w:autoSpaceDE w:val="0"/>
              <w:autoSpaceDN w:val="0"/>
              <w:snapToGrid w:val="0"/>
              <w:spacing w:line="240" w:lineRule="auto"/>
              <w:jc w:val="center"/>
              <w:textAlignment w:val="baseline"/>
              <w:rPr>
                <w:rFonts w:ascii="宋体" w:hAnsi="宋体"/>
                <w:sz w:val="18"/>
                <w:szCs w:val="18"/>
              </w:rPr>
            </w:pPr>
            <w:r>
              <w:rPr>
                <w:rFonts w:hint="eastAsia" w:ascii="宋体" w:hAnsi="宋体"/>
                <w:sz w:val="18"/>
                <w:szCs w:val="18"/>
              </w:rPr>
              <w:t>2</w:t>
            </w:r>
          </w:p>
        </w:tc>
        <w:tc>
          <w:tcPr>
            <w:tcW w:w="3686" w:type="dxa"/>
            <w:tcBorders>
              <w:top w:val="single" w:color="auto" w:sz="4" w:space="0"/>
              <w:left w:val="single" w:color="auto" w:sz="4" w:space="0"/>
              <w:bottom w:val="single" w:color="auto" w:sz="4" w:space="0"/>
              <w:right w:val="single" w:color="auto" w:sz="12" w:space="0"/>
            </w:tcBorders>
            <w:vAlign w:val="center"/>
          </w:tcPr>
          <w:p>
            <w:pPr>
              <w:widowControl/>
              <w:kinsoku w:val="0"/>
              <w:autoSpaceDE w:val="0"/>
              <w:autoSpaceDN w:val="0"/>
              <w:snapToGrid w:val="0"/>
              <w:spacing w:line="240" w:lineRule="auto"/>
              <w:jc w:val="center"/>
              <w:textAlignment w:val="baseline"/>
              <w:rPr>
                <w:rFonts w:ascii="宋体" w:hAnsi="宋体"/>
                <w:sz w:val="18"/>
                <w:szCs w:val="18"/>
              </w:rPr>
            </w:pPr>
            <w:r>
              <w:rPr>
                <w:rFonts w:hint="eastAsia" w:ascii="宋体" w:hAnsi="宋体"/>
                <w:sz w:val="18"/>
                <w:szCs w:val="18"/>
              </w:rPr>
              <w:t>2m靠尺和塞尺检查</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667" w:type="dxa"/>
            <w:tcBorders>
              <w:top w:val="single" w:color="auto" w:sz="4" w:space="0"/>
              <w:left w:val="single" w:color="auto" w:sz="12" w:space="0"/>
              <w:bottom w:val="single" w:color="auto" w:sz="4" w:space="0"/>
              <w:right w:val="single" w:color="auto" w:sz="4" w:space="0"/>
            </w:tcBorders>
            <w:vAlign w:val="center"/>
          </w:tcPr>
          <w:p>
            <w:pPr>
              <w:widowControl/>
              <w:kinsoku w:val="0"/>
              <w:autoSpaceDE w:val="0"/>
              <w:autoSpaceDN w:val="0"/>
              <w:snapToGrid w:val="0"/>
              <w:spacing w:line="240" w:lineRule="auto"/>
              <w:jc w:val="center"/>
              <w:textAlignment w:val="baseline"/>
              <w:rPr>
                <w:rFonts w:ascii="宋体" w:hAnsi="宋体"/>
                <w:sz w:val="18"/>
                <w:szCs w:val="18"/>
              </w:rPr>
            </w:pPr>
            <w:r>
              <w:rPr>
                <w:rFonts w:hint="eastAsia" w:ascii="宋体" w:hAnsi="宋体"/>
                <w:sz w:val="18"/>
                <w:szCs w:val="18"/>
              </w:rPr>
              <w:t>预埋件、插筋、安装孔、预留孔中心线位置</w:t>
            </w:r>
          </w:p>
        </w:tc>
        <w:tc>
          <w:tcPr>
            <w:tcW w:w="2976" w:type="dxa"/>
            <w:gridSpan w:val="2"/>
            <w:tcBorders>
              <w:top w:val="single" w:color="auto" w:sz="4" w:space="0"/>
              <w:left w:val="single" w:color="auto" w:sz="4" w:space="0"/>
              <w:bottom w:val="single" w:color="auto" w:sz="4" w:space="0"/>
              <w:right w:val="single" w:color="auto" w:sz="4" w:space="0"/>
            </w:tcBorders>
            <w:vAlign w:val="center"/>
          </w:tcPr>
          <w:p>
            <w:pPr>
              <w:widowControl/>
              <w:kinsoku w:val="0"/>
              <w:autoSpaceDE w:val="0"/>
              <w:autoSpaceDN w:val="0"/>
              <w:snapToGrid w:val="0"/>
              <w:spacing w:line="240" w:lineRule="auto"/>
              <w:jc w:val="center"/>
              <w:textAlignment w:val="baseline"/>
              <w:rPr>
                <w:rFonts w:ascii="宋体" w:hAnsi="宋体"/>
                <w:sz w:val="18"/>
                <w:szCs w:val="18"/>
              </w:rPr>
            </w:pPr>
            <w:r>
              <w:rPr>
                <w:rFonts w:hint="eastAsia" w:ascii="宋体" w:hAnsi="宋体"/>
                <w:sz w:val="18"/>
                <w:szCs w:val="18"/>
              </w:rPr>
              <w:t>3</w:t>
            </w:r>
          </w:p>
        </w:tc>
        <w:tc>
          <w:tcPr>
            <w:tcW w:w="3686" w:type="dxa"/>
            <w:tcBorders>
              <w:top w:val="single" w:color="auto" w:sz="4" w:space="0"/>
              <w:left w:val="single" w:color="auto" w:sz="4" w:space="0"/>
              <w:bottom w:val="single" w:color="auto" w:sz="4" w:space="0"/>
              <w:right w:val="single" w:color="auto" w:sz="12" w:space="0"/>
            </w:tcBorders>
            <w:vAlign w:val="center"/>
          </w:tcPr>
          <w:p>
            <w:pPr>
              <w:widowControl/>
              <w:kinsoku w:val="0"/>
              <w:autoSpaceDE w:val="0"/>
              <w:autoSpaceDN w:val="0"/>
              <w:snapToGrid w:val="0"/>
              <w:spacing w:line="240" w:lineRule="auto"/>
              <w:jc w:val="center"/>
              <w:textAlignment w:val="baseline"/>
              <w:rPr>
                <w:rFonts w:ascii="宋体" w:hAnsi="宋体"/>
                <w:sz w:val="18"/>
                <w:szCs w:val="18"/>
              </w:rPr>
            </w:pPr>
            <w:r>
              <w:rPr>
                <w:rFonts w:hint="eastAsia" w:ascii="宋体" w:hAnsi="宋体"/>
                <w:sz w:val="18"/>
                <w:szCs w:val="18"/>
              </w:rPr>
              <w:t>用钢尺量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667" w:type="dxa"/>
            <w:tcBorders>
              <w:top w:val="single" w:color="auto" w:sz="4" w:space="0"/>
              <w:left w:val="single" w:color="auto" w:sz="12" w:space="0"/>
              <w:bottom w:val="single" w:color="auto" w:sz="4" w:space="0"/>
              <w:right w:val="single" w:color="auto" w:sz="4" w:space="0"/>
            </w:tcBorders>
            <w:vAlign w:val="center"/>
          </w:tcPr>
          <w:p>
            <w:pPr>
              <w:widowControl/>
              <w:kinsoku w:val="0"/>
              <w:autoSpaceDE w:val="0"/>
              <w:autoSpaceDN w:val="0"/>
              <w:snapToGrid w:val="0"/>
              <w:spacing w:line="240" w:lineRule="auto"/>
              <w:jc w:val="center"/>
              <w:textAlignment w:val="baseline"/>
              <w:rPr>
                <w:rFonts w:ascii="宋体" w:hAnsi="宋体"/>
                <w:sz w:val="18"/>
                <w:szCs w:val="18"/>
              </w:rPr>
            </w:pPr>
            <w:r>
              <w:rPr>
                <w:rFonts w:hint="eastAsia" w:ascii="宋体" w:hAnsi="宋体"/>
                <w:sz w:val="18"/>
                <w:szCs w:val="18"/>
              </w:rPr>
              <w:t>端模与侧模高低差</w:t>
            </w:r>
          </w:p>
        </w:tc>
        <w:tc>
          <w:tcPr>
            <w:tcW w:w="2976" w:type="dxa"/>
            <w:gridSpan w:val="2"/>
            <w:tcBorders>
              <w:top w:val="single" w:color="auto" w:sz="4" w:space="0"/>
              <w:left w:val="single" w:color="auto" w:sz="4" w:space="0"/>
              <w:bottom w:val="single" w:color="auto" w:sz="4" w:space="0"/>
              <w:right w:val="single" w:color="auto" w:sz="4" w:space="0"/>
            </w:tcBorders>
            <w:vAlign w:val="center"/>
          </w:tcPr>
          <w:p>
            <w:pPr>
              <w:widowControl/>
              <w:kinsoku w:val="0"/>
              <w:autoSpaceDE w:val="0"/>
              <w:autoSpaceDN w:val="0"/>
              <w:snapToGrid w:val="0"/>
              <w:spacing w:line="240" w:lineRule="auto"/>
              <w:jc w:val="center"/>
              <w:textAlignment w:val="baseline"/>
              <w:rPr>
                <w:rFonts w:ascii="宋体" w:hAnsi="宋体"/>
                <w:sz w:val="18"/>
                <w:szCs w:val="18"/>
              </w:rPr>
            </w:pPr>
            <w:r>
              <w:rPr>
                <w:rFonts w:hint="eastAsia" w:ascii="宋体" w:hAnsi="宋体"/>
                <w:sz w:val="18"/>
                <w:szCs w:val="18"/>
              </w:rPr>
              <w:t>1</w:t>
            </w:r>
          </w:p>
        </w:tc>
        <w:tc>
          <w:tcPr>
            <w:tcW w:w="3686" w:type="dxa"/>
            <w:tcBorders>
              <w:top w:val="single" w:color="auto" w:sz="4" w:space="0"/>
              <w:left w:val="single" w:color="auto" w:sz="4" w:space="0"/>
              <w:bottom w:val="single" w:color="auto" w:sz="4" w:space="0"/>
              <w:right w:val="single" w:color="auto" w:sz="12" w:space="0"/>
            </w:tcBorders>
            <w:vAlign w:val="center"/>
          </w:tcPr>
          <w:p>
            <w:pPr>
              <w:widowControl/>
              <w:kinsoku w:val="0"/>
              <w:autoSpaceDE w:val="0"/>
              <w:autoSpaceDN w:val="0"/>
              <w:snapToGrid w:val="0"/>
              <w:spacing w:line="240" w:lineRule="auto"/>
              <w:jc w:val="center"/>
              <w:textAlignment w:val="baseline"/>
              <w:rPr>
                <w:rFonts w:ascii="宋体" w:hAnsi="宋体"/>
                <w:sz w:val="18"/>
                <w:szCs w:val="18"/>
              </w:rPr>
            </w:pPr>
            <w:r>
              <w:rPr>
                <w:rFonts w:hint="eastAsia" w:ascii="宋体" w:hAnsi="宋体"/>
                <w:sz w:val="18"/>
                <w:szCs w:val="18"/>
              </w:rPr>
              <w:t>调平尺在两端量测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667" w:type="dxa"/>
            <w:tcBorders>
              <w:top w:val="single" w:color="auto" w:sz="4" w:space="0"/>
              <w:left w:val="single" w:color="auto" w:sz="12" w:space="0"/>
              <w:bottom w:val="single" w:color="auto" w:sz="12" w:space="0"/>
              <w:right w:val="single" w:color="auto" w:sz="4" w:space="0"/>
            </w:tcBorders>
            <w:vAlign w:val="center"/>
          </w:tcPr>
          <w:p>
            <w:pPr>
              <w:widowControl/>
              <w:kinsoku w:val="0"/>
              <w:autoSpaceDE w:val="0"/>
              <w:autoSpaceDN w:val="0"/>
              <w:snapToGrid w:val="0"/>
              <w:spacing w:line="240" w:lineRule="auto"/>
              <w:jc w:val="center"/>
              <w:textAlignment w:val="baseline"/>
              <w:rPr>
                <w:rFonts w:ascii="宋体" w:hAnsi="宋体"/>
                <w:sz w:val="18"/>
                <w:szCs w:val="18"/>
              </w:rPr>
            </w:pPr>
            <w:r>
              <w:rPr>
                <w:rFonts w:hint="eastAsia" w:ascii="宋体" w:hAnsi="宋体"/>
                <w:sz w:val="18"/>
                <w:szCs w:val="18"/>
              </w:rPr>
              <w:t>组模缝隙</w:t>
            </w:r>
          </w:p>
        </w:tc>
        <w:tc>
          <w:tcPr>
            <w:tcW w:w="2976" w:type="dxa"/>
            <w:gridSpan w:val="2"/>
            <w:tcBorders>
              <w:top w:val="single" w:color="auto" w:sz="4" w:space="0"/>
              <w:left w:val="single" w:color="auto" w:sz="4" w:space="0"/>
              <w:bottom w:val="single" w:color="auto" w:sz="12" w:space="0"/>
              <w:right w:val="single" w:color="auto" w:sz="4" w:space="0"/>
            </w:tcBorders>
            <w:vAlign w:val="center"/>
          </w:tcPr>
          <w:p>
            <w:pPr>
              <w:widowControl/>
              <w:kinsoku w:val="0"/>
              <w:autoSpaceDE w:val="0"/>
              <w:autoSpaceDN w:val="0"/>
              <w:snapToGrid w:val="0"/>
              <w:spacing w:line="240" w:lineRule="auto"/>
              <w:jc w:val="center"/>
              <w:textAlignment w:val="baseline"/>
              <w:rPr>
                <w:rFonts w:ascii="宋体" w:hAnsi="宋体"/>
                <w:sz w:val="18"/>
                <w:szCs w:val="18"/>
              </w:rPr>
            </w:pPr>
            <w:r>
              <w:rPr>
                <w:rFonts w:hint="eastAsia" w:ascii="宋体" w:hAnsi="宋体"/>
                <w:sz w:val="18"/>
                <w:szCs w:val="18"/>
              </w:rPr>
              <w:t>1</w:t>
            </w:r>
          </w:p>
        </w:tc>
        <w:tc>
          <w:tcPr>
            <w:tcW w:w="3686" w:type="dxa"/>
            <w:tcBorders>
              <w:top w:val="single" w:color="auto" w:sz="4" w:space="0"/>
              <w:left w:val="single" w:color="auto" w:sz="4" w:space="0"/>
              <w:bottom w:val="single" w:color="auto" w:sz="12" w:space="0"/>
              <w:right w:val="single" w:color="auto" w:sz="12" w:space="0"/>
            </w:tcBorders>
            <w:vAlign w:val="center"/>
          </w:tcPr>
          <w:p>
            <w:pPr>
              <w:widowControl/>
              <w:kinsoku w:val="0"/>
              <w:autoSpaceDE w:val="0"/>
              <w:autoSpaceDN w:val="0"/>
              <w:snapToGrid w:val="0"/>
              <w:spacing w:line="240" w:lineRule="auto"/>
              <w:jc w:val="center"/>
              <w:textAlignment w:val="baseline"/>
              <w:rPr>
                <w:rFonts w:ascii="宋体" w:hAnsi="宋体"/>
                <w:sz w:val="18"/>
                <w:szCs w:val="18"/>
              </w:rPr>
            </w:pPr>
            <w:r>
              <w:rPr>
                <w:rFonts w:hint="eastAsia" w:ascii="宋体" w:hAnsi="宋体"/>
                <w:sz w:val="18"/>
                <w:szCs w:val="18"/>
              </w:rPr>
              <w:t>用金属塞片或塞尺量</w:t>
            </w:r>
          </w:p>
        </w:tc>
      </w:tr>
    </w:tbl>
    <w:p>
      <w:pPr>
        <w:pStyle w:val="58"/>
        <w:ind w:firstLine="0" w:firstLineChars="0"/>
      </w:pPr>
    </w:p>
    <w:p>
      <w:pPr>
        <w:pStyle w:val="58"/>
        <w:spacing w:before="312" w:beforeLines="100" w:after="312" w:afterLines="100"/>
        <w:ind w:firstLine="0" w:firstLineChars="0"/>
        <w:outlineLvl w:val="1"/>
        <w:rPr>
          <w:rFonts w:ascii="黑体" w:hAnsi="黑体" w:eastAsia="黑体"/>
        </w:rPr>
      </w:pPr>
      <w:bookmarkStart w:id="112" w:name="_Toc142923607"/>
      <w:r>
        <w:rPr>
          <w:rFonts w:hint="eastAsia" w:ascii="黑体" w:hAnsi="黑体" w:eastAsia="黑体"/>
        </w:rPr>
        <w:t>6.3 钢筋加工、安装</w:t>
      </w:r>
      <w:bookmarkEnd w:id="112"/>
    </w:p>
    <w:p>
      <w:pPr>
        <w:pStyle w:val="58"/>
        <w:ind w:firstLine="0" w:firstLineChars="0"/>
        <w:rPr>
          <w:bCs/>
          <w:szCs w:val="21"/>
        </w:rPr>
      </w:pPr>
      <w:r>
        <w:rPr>
          <w:rFonts w:hint="eastAsia" w:ascii="黑体" w:hAnsi="黑体" w:eastAsia="黑体"/>
        </w:rPr>
        <w:t xml:space="preserve">6.3.1 </w:t>
      </w:r>
      <w:r>
        <w:rPr>
          <w:rFonts w:hint="eastAsia"/>
          <w:bCs/>
          <w:szCs w:val="21"/>
        </w:rPr>
        <w:t>钢筋的接头方式、位置应符合设计要求。</w:t>
      </w:r>
    </w:p>
    <w:p>
      <w:pPr>
        <w:pStyle w:val="58"/>
        <w:ind w:firstLine="0" w:firstLineChars="0"/>
        <w:rPr>
          <w:bCs/>
          <w:szCs w:val="21"/>
        </w:rPr>
      </w:pPr>
      <w:r>
        <w:rPr>
          <w:rFonts w:hint="eastAsia" w:ascii="黑体" w:hAnsi="黑体" w:eastAsia="黑体"/>
        </w:rPr>
        <w:t xml:space="preserve">6.3.2 </w:t>
      </w:r>
      <w:r>
        <w:rPr>
          <w:rFonts w:hint="eastAsia"/>
          <w:bCs/>
          <w:szCs w:val="21"/>
        </w:rPr>
        <w:t>钢筋加工的形状、尺寸应符合设计要求，其允许偏差应符合表</w:t>
      </w:r>
      <w:r>
        <w:rPr>
          <w:bCs/>
          <w:szCs w:val="21"/>
        </w:rPr>
        <w:t>7</w:t>
      </w:r>
      <w:r>
        <w:rPr>
          <w:rFonts w:hint="eastAsia"/>
          <w:bCs/>
          <w:szCs w:val="21"/>
        </w:rPr>
        <w:t>的规定。</w:t>
      </w:r>
    </w:p>
    <w:p>
      <w:pPr>
        <w:pStyle w:val="58"/>
        <w:spacing w:before="156" w:beforeLines="50" w:after="156" w:afterLines="50"/>
        <w:ind w:firstLine="0" w:firstLineChars="0"/>
        <w:jc w:val="center"/>
        <w:rPr>
          <w:rFonts w:ascii="黑体" w:hAnsi="黑体" w:eastAsia="黑体"/>
        </w:rPr>
      </w:pPr>
      <w:r>
        <w:rPr>
          <w:rFonts w:ascii="黑体" w:hAnsi="黑体" w:eastAsia="黑体"/>
        </w:rPr>
        <w:t xml:space="preserve">表7 </w:t>
      </w:r>
      <w:r>
        <w:rPr>
          <w:rFonts w:hint="eastAsia" w:ascii="黑体" w:hAnsi="黑体" w:eastAsia="黑体"/>
        </w:rPr>
        <w:t>钢筋加工的允许偏差</w:t>
      </w:r>
    </w:p>
    <w:tbl>
      <w:tblPr>
        <w:tblStyle w:val="27"/>
        <w:tblW w:w="8521"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5447"/>
        <w:gridCol w:w="307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447" w:type="dxa"/>
            <w:tcBorders>
              <w:top w:val="single" w:color="auto" w:sz="12" w:space="0"/>
              <w:left w:val="single" w:color="auto" w:sz="12" w:space="0"/>
              <w:bottom w:val="single" w:color="auto" w:sz="12" w:space="0"/>
              <w:right w:val="single" w:color="auto" w:sz="4" w:space="0"/>
            </w:tcBorders>
            <w:vAlign w:val="center"/>
          </w:tcPr>
          <w:p>
            <w:pPr>
              <w:widowControl/>
              <w:kinsoku w:val="0"/>
              <w:autoSpaceDE w:val="0"/>
              <w:autoSpaceDN w:val="0"/>
              <w:snapToGrid w:val="0"/>
              <w:spacing w:line="240" w:lineRule="auto"/>
              <w:jc w:val="center"/>
              <w:textAlignment w:val="baseline"/>
              <w:rPr>
                <w:rFonts w:ascii="宋体" w:hAnsi="宋体"/>
                <w:sz w:val="18"/>
                <w:szCs w:val="18"/>
              </w:rPr>
            </w:pPr>
            <w:r>
              <w:rPr>
                <w:rFonts w:hint="eastAsia" w:ascii="宋体" w:hAnsi="宋体"/>
                <w:sz w:val="18"/>
                <w:szCs w:val="18"/>
              </w:rPr>
              <w:t>项目</w:t>
            </w:r>
          </w:p>
        </w:tc>
        <w:tc>
          <w:tcPr>
            <w:tcW w:w="3074" w:type="dxa"/>
            <w:tcBorders>
              <w:top w:val="single" w:color="auto" w:sz="12" w:space="0"/>
              <w:left w:val="single" w:color="auto" w:sz="4" w:space="0"/>
              <w:bottom w:val="single" w:color="auto" w:sz="12" w:space="0"/>
              <w:right w:val="single" w:color="auto" w:sz="12" w:space="0"/>
            </w:tcBorders>
            <w:vAlign w:val="center"/>
          </w:tcPr>
          <w:p>
            <w:pPr>
              <w:widowControl/>
              <w:kinsoku w:val="0"/>
              <w:autoSpaceDE w:val="0"/>
              <w:autoSpaceDN w:val="0"/>
              <w:snapToGrid w:val="0"/>
              <w:spacing w:line="240" w:lineRule="auto"/>
              <w:jc w:val="center"/>
              <w:textAlignment w:val="baseline"/>
              <w:rPr>
                <w:rFonts w:ascii="宋体" w:hAnsi="宋体"/>
                <w:sz w:val="18"/>
                <w:szCs w:val="18"/>
              </w:rPr>
            </w:pPr>
            <w:r>
              <w:rPr>
                <w:rFonts w:hint="eastAsia" w:ascii="宋体" w:hAnsi="宋体"/>
                <w:sz w:val="18"/>
                <w:szCs w:val="18"/>
              </w:rPr>
              <w:t>允许偏差（mm）</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447" w:type="dxa"/>
            <w:tcBorders>
              <w:top w:val="single" w:color="auto" w:sz="12" w:space="0"/>
              <w:left w:val="single" w:color="auto" w:sz="12" w:space="0"/>
              <w:bottom w:val="single" w:color="auto" w:sz="4" w:space="0"/>
              <w:right w:val="single" w:color="auto" w:sz="4" w:space="0"/>
            </w:tcBorders>
            <w:vAlign w:val="center"/>
          </w:tcPr>
          <w:p>
            <w:pPr>
              <w:widowControl/>
              <w:kinsoku w:val="0"/>
              <w:autoSpaceDE w:val="0"/>
              <w:autoSpaceDN w:val="0"/>
              <w:snapToGrid w:val="0"/>
              <w:spacing w:line="240" w:lineRule="auto"/>
              <w:jc w:val="center"/>
              <w:textAlignment w:val="baseline"/>
              <w:rPr>
                <w:rFonts w:ascii="宋体" w:hAnsi="宋体"/>
                <w:sz w:val="18"/>
                <w:szCs w:val="18"/>
              </w:rPr>
            </w:pPr>
            <w:r>
              <w:rPr>
                <w:rFonts w:hint="eastAsia" w:ascii="宋体" w:hAnsi="宋体"/>
                <w:sz w:val="18"/>
                <w:szCs w:val="18"/>
              </w:rPr>
              <w:t>受力钢筋沿长度方向全长的净尺寸</w:t>
            </w:r>
          </w:p>
        </w:tc>
        <w:tc>
          <w:tcPr>
            <w:tcW w:w="3074" w:type="dxa"/>
            <w:tcBorders>
              <w:top w:val="single" w:color="auto" w:sz="12" w:space="0"/>
              <w:left w:val="single" w:color="auto" w:sz="4" w:space="0"/>
              <w:bottom w:val="single" w:color="auto" w:sz="4" w:space="0"/>
              <w:right w:val="single" w:color="auto" w:sz="12" w:space="0"/>
            </w:tcBorders>
            <w:vAlign w:val="center"/>
          </w:tcPr>
          <w:p>
            <w:pPr>
              <w:widowControl/>
              <w:kinsoku w:val="0"/>
              <w:autoSpaceDE w:val="0"/>
              <w:autoSpaceDN w:val="0"/>
              <w:snapToGrid w:val="0"/>
              <w:spacing w:line="240" w:lineRule="auto"/>
              <w:jc w:val="center"/>
              <w:textAlignment w:val="baseline"/>
              <w:rPr>
                <w:rFonts w:ascii="宋体" w:hAnsi="宋体"/>
                <w:sz w:val="18"/>
                <w:szCs w:val="18"/>
              </w:rPr>
            </w:pPr>
            <w:r>
              <w:rPr>
                <w:rFonts w:hint="eastAsia" w:ascii="宋体" w:hAnsi="宋体"/>
                <w:sz w:val="18"/>
                <w:szCs w:val="18"/>
              </w:rPr>
              <w:t>±10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447" w:type="dxa"/>
            <w:tcBorders>
              <w:top w:val="single" w:color="auto" w:sz="4" w:space="0"/>
              <w:left w:val="single" w:color="auto" w:sz="12" w:space="0"/>
              <w:bottom w:val="single" w:color="auto" w:sz="4" w:space="0"/>
              <w:right w:val="single" w:color="auto" w:sz="4" w:space="0"/>
            </w:tcBorders>
            <w:vAlign w:val="center"/>
          </w:tcPr>
          <w:p>
            <w:pPr>
              <w:widowControl/>
              <w:kinsoku w:val="0"/>
              <w:autoSpaceDE w:val="0"/>
              <w:autoSpaceDN w:val="0"/>
              <w:snapToGrid w:val="0"/>
              <w:spacing w:line="240" w:lineRule="auto"/>
              <w:jc w:val="center"/>
              <w:textAlignment w:val="baseline"/>
              <w:rPr>
                <w:rFonts w:ascii="宋体" w:hAnsi="宋体"/>
                <w:sz w:val="18"/>
                <w:szCs w:val="18"/>
              </w:rPr>
            </w:pPr>
            <w:r>
              <w:rPr>
                <w:rFonts w:hint="eastAsia" w:ascii="宋体" w:hAnsi="宋体"/>
                <w:sz w:val="18"/>
                <w:szCs w:val="18"/>
              </w:rPr>
              <w:t>弯起钢筋的弯折位置</w:t>
            </w:r>
          </w:p>
        </w:tc>
        <w:tc>
          <w:tcPr>
            <w:tcW w:w="3074" w:type="dxa"/>
            <w:tcBorders>
              <w:top w:val="single" w:color="auto" w:sz="4" w:space="0"/>
              <w:left w:val="single" w:color="auto" w:sz="4" w:space="0"/>
              <w:bottom w:val="single" w:color="auto" w:sz="4" w:space="0"/>
              <w:right w:val="single" w:color="auto" w:sz="12" w:space="0"/>
            </w:tcBorders>
            <w:vAlign w:val="center"/>
          </w:tcPr>
          <w:p>
            <w:pPr>
              <w:widowControl/>
              <w:kinsoku w:val="0"/>
              <w:autoSpaceDE w:val="0"/>
              <w:autoSpaceDN w:val="0"/>
              <w:snapToGrid w:val="0"/>
              <w:spacing w:line="240" w:lineRule="auto"/>
              <w:jc w:val="center"/>
              <w:textAlignment w:val="baseline"/>
              <w:rPr>
                <w:rFonts w:ascii="宋体" w:hAnsi="宋体"/>
                <w:sz w:val="18"/>
                <w:szCs w:val="18"/>
              </w:rPr>
            </w:pPr>
            <w:r>
              <w:rPr>
                <w:rFonts w:hint="eastAsia" w:ascii="宋体" w:hAnsi="宋体"/>
                <w:sz w:val="18"/>
                <w:szCs w:val="18"/>
              </w:rPr>
              <w:t>±20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447" w:type="dxa"/>
            <w:tcBorders>
              <w:top w:val="single" w:color="auto" w:sz="4" w:space="0"/>
              <w:left w:val="single" w:color="auto" w:sz="12" w:space="0"/>
              <w:bottom w:val="single" w:color="auto" w:sz="12" w:space="0"/>
              <w:right w:val="single" w:color="auto" w:sz="4" w:space="0"/>
            </w:tcBorders>
            <w:vAlign w:val="center"/>
          </w:tcPr>
          <w:p>
            <w:pPr>
              <w:widowControl/>
              <w:kinsoku w:val="0"/>
              <w:autoSpaceDE w:val="0"/>
              <w:autoSpaceDN w:val="0"/>
              <w:snapToGrid w:val="0"/>
              <w:spacing w:line="240" w:lineRule="auto"/>
              <w:jc w:val="center"/>
              <w:textAlignment w:val="baseline"/>
              <w:rPr>
                <w:rFonts w:ascii="宋体" w:hAnsi="宋体"/>
                <w:sz w:val="18"/>
                <w:szCs w:val="18"/>
              </w:rPr>
            </w:pPr>
            <w:r>
              <w:rPr>
                <w:rFonts w:hint="eastAsia" w:ascii="宋体" w:hAnsi="宋体"/>
                <w:sz w:val="18"/>
                <w:szCs w:val="18"/>
              </w:rPr>
              <w:t>箍筋内净尺寸</w:t>
            </w:r>
          </w:p>
        </w:tc>
        <w:tc>
          <w:tcPr>
            <w:tcW w:w="3074" w:type="dxa"/>
            <w:tcBorders>
              <w:top w:val="single" w:color="auto" w:sz="4" w:space="0"/>
              <w:left w:val="single" w:color="auto" w:sz="4" w:space="0"/>
              <w:bottom w:val="single" w:color="auto" w:sz="12" w:space="0"/>
              <w:right w:val="single" w:color="auto" w:sz="12" w:space="0"/>
            </w:tcBorders>
            <w:vAlign w:val="center"/>
          </w:tcPr>
          <w:p>
            <w:pPr>
              <w:widowControl/>
              <w:kinsoku w:val="0"/>
              <w:autoSpaceDE w:val="0"/>
              <w:autoSpaceDN w:val="0"/>
              <w:snapToGrid w:val="0"/>
              <w:spacing w:line="240" w:lineRule="auto"/>
              <w:jc w:val="center"/>
              <w:textAlignment w:val="baseline"/>
              <w:rPr>
                <w:rFonts w:ascii="宋体" w:hAnsi="宋体"/>
                <w:sz w:val="18"/>
                <w:szCs w:val="18"/>
              </w:rPr>
            </w:pPr>
            <w:r>
              <w:rPr>
                <w:rFonts w:hint="eastAsia" w:ascii="宋体" w:hAnsi="宋体"/>
                <w:sz w:val="18"/>
                <w:szCs w:val="18"/>
              </w:rPr>
              <w:t>±5</w:t>
            </w:r>
          </w:p>
        </w:tc>
      </w:tr>
    </w:tbl>
    <w:p>
      <w:pPr>
        <w:pStyle w:val="58"/>
        <w:ind w:firstLine="0" w:firstLineChars="0"/>
      </w:pPr>
    </w:p>
    <w:p>
      <w:pPr>
        <w:pStyle w:val="58"/>
        <w:ind w:firstLine="0" w:firstLineChars="0"/>
        <w:rPr>
          <w:rFonts w:hAnsi="宋体" w:cs="宋体"/>
          <w:bCs/>
          <w:szCs w:val="21"/>
        </w:rPr>
      </w:pPr>
      <w:r>
        <w:rPr>
          <w:rFonts w:hint="eastAsia" w:ascii="黑体" w:hAnsi="黑体" w:eastAsia="黑体"/>
        </w:rPr>
        <w:t xml:space="preserve">6.3.3 </w:t>
      </w:r>
      <w:r>
        <w:rPr>
          <w:rFonts w:hint="eastAsia" w:hAnsi="宋体" w:cs="宋体"/>
          <w:bCs/>
          <w:szCs w:val="21"/>
        </w:rPr>
        <w:t>预埋件加工的允许偏差应符合表</w:t>
      </w:r>
      <w:r>
        <w:rPr>
          <w:rFonts w:hAnsi="宋体" w:cs="宋体"/>
          <w:bCs/>
          <w:szCs w:val="21"/>
        </w:rPr>
        <w:t>8</w:t>
      </w:r>
      <w:r>
        <w:rPr>
          <w:rFonts w:hint="eastAsia" w:hAnsi="宋体" w:cs="宋体"/>
          <w:bCs/>
          <w:szCs w:val="21"/>
        </w:rPr>
        <w:t>的规定。</w:t>
      </w:r>
    </w:p>
    <w:p>
      <w:pPr>
        <w:pStyle w:val="58"/>
        <w:spacing w:before="156" w:beforeLines="50" w:after="156" w:afterLines="50"/>
        <w:ind w:firstLine="0" w:firstLineChars="0"/>
        <w:jc w:val="center"/>
        <w:rPr>
          <w:rFonts w:ascii="黑体" w:hAnsi="黑体" w:eastAsia="黑体"/>
        </w:rPr>
      </w:pPr>
      <w:r>
        <w:rPr>
          <w:rFonts w:ascii="黑体" w:hAnsi="黑体" w:eastAsia="黑体"/>
        </w:rPr>
        <w:t xml:space="preserve">表8 </w:t>
      </w:r>
      <w:r>
        <w:rPr>
          <w:rFonts w:hint="eastAsia" w:ascii="黑体" w:hAnsi="黑体" w:eastAsia="黑体"/>
        </w:rPr>
        <w:t>预埋件加工的允许偏差</w:t>
      </w:r>
    </w:p>
    <w:tbl>
      <w:tblPr>
        <w:tblStyle w:val="27"/>
        <w:tblW w:w="8521"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654"/>
        <w:gridCol w:w="3838"/>
        <w:gridCol w:w="3029"/>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492" w:type="dxa"/>
            <w:gridSpan w:val="2"/>
            <w:tcBorders>
              <w:top w:val="single" w:color="auto" w:sz="12" w:space="0"/>
              <w:left w:val="single" w:color="auto" w:sz="12" w:space="0"/>
              <w:bottom w:val="single" w:color="auto" w:sz="12" w:space="0"/>
              <w:right w:val="single" w:color="auto" w:sz="4" w:space="0"/>
            </w:tcBorders>
            <w:vAlign w:val="center"/>
          </w:tcPr>
          <w:p>
            <w:pPr>
              <w:pStyle w:val="237"/>
              <w:autoSpaceDE w:val="0"/>
              <w:spacing w:line="240" w:lineRule="auto"/>
              <w:rPr>
                <w:rFonts w:ascii="宋体" w:hAnsi="宋体"/>
              </w:rPr>
            </w:pPr>
            <w:r>
              <w:rPr>
                <w:rFonts w:hint="eastAsia" w:ascii="宋体" w:hAnsi="宋体"/>
              </w:rPr>
              <w:t>项目</w:t>
            </w:r>
          </w:p>
        </w:tc>
        <w:tc>
          <w:tcPr>
            <w:tcW w:w="3029" w:type="dxa"/>
            <w:tcBorders>
              <w:top w:val="single" w:color="auto" w:sz="12" w:space="0"/>
              <w:left w:val="single" w:color="auto" w:sz="4" w:space="0"/>
              <w:bottom w:val="single" w:color="auto" w:sz="12" w:space="0"/>
              <w:right w:val="single" w:color="auto" w:sz="12" w:space="0"/>
            </w:tcBorders>
            <w:vAlign w:val="center"/>
          </w:tcPr>
          <w:p>
            <w:pPr>
              <w:pStyle w:val="237"/>
              <w:autoSpaceDE w:val="0"/>
              <w:spacing w:line="240" w:lineRule="auto"/>
              <w:rPr>
                <w:rFonts w:ascii="宋体" w:hAnsi="宋体"/>
              </w:rPr>
            </w:pPr>
            <w:r>
              <w:rPr>
                <w:rFonts w:hint="eastAsia" w:ascii="宋体" w:hAnsi="宋体"/>
              </w:rPr>
              <w:t>允许偏差（mm）</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492" w:type="dxa"/>
            <w:gridSpan w:val="2"/>
            <w:tcBorders>
              <w:top w:val="single" w:color="auto" w:sz="12" w:space="0"/>
              <w:left w:val="single" w:color="auto" w:sz="12" w:space="0"/>
              <w:bottom w:val="single" w:color="auto" w:sz="4" w:space="0"/>
              <w:right w:val="single" w:color="auto" w:sz="4" w:space="0"/>
            </w:tcBorders>
            <w:vAlign w:val="center"/>
          </w:tcPr>
          <w:p>
            <w:pPr>
              <w:pStyle w:val="237"/>
              <w:autoSpaceDE w:val="0"/>
              <w:spacing w:line="240" w:lineRule="auto"/>
              <w:rPr>
                <w:rFonts w:ascii="宋体" w:hAnsi="宋体"/>
              </w:rPr>
            </w:pPr>
            <w:r>
              <w:rPr>
                <w:rFonts w:hint="eastAsia" w:ascii="宋体" w:hAnsi="宋体"/>
              </w:rPr>
              <w:t>预埋件锚板的边长</w:t>
            </w:r>
          </w:p>
        </w:tc>
        <w:tc>
          <w:tcPr>
            <w:tcW w:w="3029" w:type="dxa"/>
            <w:tcBorders>
              <w:top w:val="single" w:color="auto" w:sz="12" w:space="0"/>
              <w:left w:val="single" w:color="auto" w:sz="4" w:space="0"/>
              <w:bottom w:val="single" w:color="auto" w:sz="4" w:space="0"/>
              <w:right w:val="single" w:color="auto" w:sz="12" w:space="0"/>
            </w:tcBorders>
            <w:vAlign w:val="center"/>
          </w:tcPr>
          <w:p>
            <w:pPr>
              <w:pStyle w:val="237"/>
              <w:autoSpaceDE w:val="0"/>
              <w:spacing w:line="240" w:lineRule="auto"/>
              <w:rPr>
                <w:rFonts w:ascii="宋体" w:hAnsi="宋体"/>
              </w:rPr>
            </w:pPr>
            <w:r>
              <w:rPr>
                <w:rFonts w:hint="eastAsia" w:ascii="宋体" w:hAnsi="宋体"/>
              </w:rPr>
              <w:t>0，-5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492" w:type="dxa"/>
            <w:gridSpan w:val="2"/>
            <w:tcBorders>
              <w:top w:val="single" w:color="auto" w:sz="4" w:space="0"/>
              <w:left w:val="single" w:color="auto" w:sz="12" w:space="0"/>
              <w:bottom w:val="single" w:color="auto" w:sz="4" w:space="0"/>
              <w:right w:val="single" w:color="auto" w:sz="4" w:space="0"/>
            </w:tcBorders>
            <w:vAlign w:val="center"/>
          </w:tcPr>
          <w:p>
            <w:pPr>
              <w:pStyle w:val="237"/>
              <w:autoSpaceDE w:val="0"/>
              <w:spacing w:line="240" w:lineRule="auto"/>
              <w:rPr>
                <w:rFonts w:ascii="宋体" w:hAnsi="宋体"/>
              </w:rPr>
            </w:pPr>
            <w:r>
              <w:rPr>
                <w:rFonts w:hint="eastAsia" w:ascii="宋体" w:hAnsi="宋体"/>
              </w:rPr>
              <w:t>预埋件锚板的平整度</w:t>
            </w:r>
          </w:p>
        </w:tc>
        <w:tc>
          <w:tcPr>
            <w:tcW w:w="3029" w:type="dxa"/>
            <w:tcBorders>
              <w:top w:val="single" w:color="auto" w:sz="4" w:space="0"/>
              <w:left w:val="single" w:color="auto" w:sz="4" w:space="0"/>
              <w:bottom w:val="single" w:color="auto" w:sz="4" w:space="0"/>
              <w:right w:val="single" w:color="auto" w:sz="12" w:space="0"/>
            </w:tcBorders>
            <w:vAlign w:val="center"/>
          </w:tcPr>
          <w:p>
            <w:pPr>
              <w:pStyle w:val="237"/>
              <w:autoSpaceDE w:val="0"/>
              <w:spacing w:line="240" w:lineRule="auto"/>
              <w:rPr>
                <w:rFonts w:ascii="宋体" w:hAnsi="宋体"/>
              </w:rPr>
            </w:pPr>
            <w:r>
              <w:rPr>
                <w:rFonts w:hint="eastAsia" w:ascii="宋体" w:hAnsi="宋体"/>
              </w:rPr>
              <w:t>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654" w:type="dxa"/>
            <w:vMerge w:val="restart"/>
            <w:tcBorders>
              <w:top w:val="single" w:color="auto" w:sz="4" w:space="0"/>
              <w:left w:val="single" w:color="auto" w:sz="12" w:space="0"/>
              <w:bottom w:val="single" w:color="auto" w:sz="4" w:space="0"/>
              <w:right w:val="single" w:color="auto" w:sz="4" w:space="0"/>
            </w:tcBorders>
            <w:vAlign w:val="center"/>
          </w:tcPr>
          <w:p>
            <w:pPr>
              <w:pStyle w:val="237"/>
              <w:autoSpaceDE w:val="0"/>
              <w:spacing w:line="240" w:lineRule="auto"/>
              <w:rPr>
                <w:rFonts w:ascii="宋体" w:hAnsi="宋体"/>
              </w:rPr>
            </w:pPr>
            <w:r>
              <w:rPr>
                <w:rFonts w:hint="eastAsia" w:ascii="宋体" w:hAnsi="宋体"/>
              </w:rPr>
              <w:t>锚筋</w:t>
            </w:r>
          </w:p>
        </w:tc>
        <w:tc>
          <w:tcPr>
            <w:tcW w:w="3838" w:type="dxa"/>
            <w:tcBorders>
              <w:top w:val="single" w:color="auto" w:sz="4" w:space="0"/>
              <w:left w:val="single" w:color="auto" w:sz="4" w:space="0"/>
              <w:bottom w:val="single" w:color="auto" w:sz="4" w:space="0"/>
              <w:right w:val="single" w:color="auto" w:sz="4" w:space="0"/>
            </w:tcBorders>
            <w:vAlign w:val="center"/>
          </w:tcPr>
          <w:p>
            <w:pPr>
              <w:pStyle w:val="237"/>
              <w:autoSpaceDE w:val="0"/>
              <w:spacing w:line="240" w:lineRule="auto"/>
              <w:rPr>
                <w:rFonts w:ascii="宋体" w:hAnsi="宋体"/>
              </w:rPr>
            </w:pPr>
            <w:r>
              <w:rPr>
                <w:rFonts w:hint="eastAsia" w:ascii="宋体" w:hAnsi="宋体"/>
              </w:rPr>
              <w:t>长度</w:t>
            </w:r>
          </w:p>
        </w:tc>
        <w:tc>
          <w:tcPr>
            <w:tcW w:w="3029" w:type="dxa"/>
            <w:tcBorders>
              <w:top w:val="single" w:color="auto" w:sz="4" w:space="0"/>
              <w:left w:val="single" w:color="auto" w:sz="4" w:space="0"/>
              <w:bottom w:val="single" w:color="auto" w:sz="4" w:space="0"/>
              <w:right w:val="single" w:color="auto" w:sz="12" w:space="0"/>
            </w:tcBorders>
            <w:vAlign w:val="center"/>
          </w:tcPr>
          <w:p>
            <w:pPr>
              <w:pStyle w:val="237"/>
              <w:autoSpaceDE w:val="0"/>
              <w:spacing w:line="240" w:lineRule="auto"/>
              <w:rPr>
                <w:rFonts w:ascii="宋体" w:hAnsi="宋体"/>
              </w:rPr>
            </w:pPr>
            <w:r>
              <w:rPr>
                <w:rFonts w:hint="eastAsia" w:ascii="宋体" w:hAnsi="宋体"/>
              </w:rPr>
              <w:t>10，-5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492" w:type="dxa"/>
            <w:vMerge w:val="continue"/>
            <w:tcBorders>
              <w:top w:val="single" w:color="auto" w:sz="4" w:space="0"/>
              <w:left w:val="single" w:color="auto" w:sz="12" w:space="0"/>
              <w:bottom w:val="single" w:color="auto" w:sz="12" w:space="0"/>
              <w:right w:val="single" w:color="auto" w:sz="4" w:space="0"/>
            </w:tcBorders>
            <w:vAlign w:val="center"/>
          </w:tcPr>
          <w:p>
            <w:pPr>
              <w:widowControl/>
              <w:spacing w:line="240" w:lineRule="auto"/>
              <w:jc w:val="left"/>
              <w:rPr>
                <w:rFonts w:ascii="宋体" w:hAnsi="宋体"/>
              </w:rPr>
            </w:pPr>
          </w:p>
        </w:tc>
        <w:tc>
          <w:tcPr>
            <w:tcW w:w="3838" w:type="dxa"/>
            <w:tcBorders>
              <w:top w:val="single" w:color="auto" w:sz="4" w:space="0"/>
              <w:left w:val="single" w:color="auto" w:sz="4" w:space="0"/>
              <w:bottom w:val="single" w:color="auto" w:sz="12" w:space="0"/>
              <w:right w:val="single" w:color="auto" w:sz="4" w:space="0"/>
            </w:tcBorders>
            <w:vAlign w:val="center"/>
          </w:tcPr>
          <w:p>
            <w:pPr>
              <w:pStyle w:val="237"/>
              <w:autoSpaceDE w:val="0"/>
              <w:spacing w:line="240" w:lineRule="auto"/>
              <w:rPr>
                <w:rFonts w:ascii="宋体" w:hAnsi="宋体"/>
              </w:rPr>
            </w:pPr>
            <w:r>
              <w:rPr>
                <w:rFonts w:hint="eastAsia" w:ascii="宋体" w:hAnsi="宋体"/>
              </w:rPr>
              <w:t>间距偏差</w:t>
            </w:r>
          </w:p>
        </w:tc>
        <w:tc>
          <w:tcPr>
            <w:tcW w:w="3029" w:type="dxa"/>
            <w:tcBorders>
              <w:top w:val="single" w:color="auto" w:sz="4" w:space="0"/>
              <w:left w:val="single" w:color="auto" w:sz="4" w:space="0"/>
              <w:bottom w:val="single" w:color="auto" w:sz="12" w:space="0"/>
              <w:right w:val="single" w:color="auto" w:sz="12" w:space="0"/>
            </w:tcBorders>
            <w:vAlign w:val="center"/>
          </w:tcPr>
          <w:p>
            <w:pPr>
              <w:pStyle w:val="237"/>
              <w:autoSpaceDE w:val="0"/>
              <w:spacing w:line="240" w:lineRule="auto"/>
              <w:rPr>
                <w:rFonts w:ascii="宋体" w:hAnsi="宋体"/>
              </w:rPr>
            </w:pPr>
            <w:r>
              <w:rPr>
                <w:rFonts w:hint="eastAsia" w:ascii="宋体" w:hAnsi="宋体"/>
              </w:rPr>
              <w:t>±10</w:t>
            </w:r>
          </w:p>
        </w:tc>
      </w:tr>
    </w:tbl>
    <w:p>
      <w:pPr>
        <w:pStyle w:val="58"/>
        <w:ind w:firstLine="0" w:firstLineChars="0"/>
      </w:pPr>
    </w:p>
    <w:p>
      <w:pPr>
        <w:pStyle w:val="58"/>
        <w:ind w:firstLine="0" w:firstLineChars="0"/>
        <w:rPr>
          <w:rFonts w:hAnsi="宋体" w:cs="宋体"/>
          <w:bCs/>
          <w:szCs w:val="21"/>
        </w:rPr>
      </w:pPr>
      <w:r>
        <w:rPr>
          <w:rFonts w:hint="eastAsia" w:ascii="黑体" w:hAnsi="黑体" w:eastAsia="黑体"/>
        </w:rPr>
        <w:t xml:space="preserve">6.3.4 </w:t>
      </w:r>
      <w:r>
        <w:rPr>
          <w:rFonts w:hint="eastAsia" w:hAnsi="宋体" w:cs="宋体"/>
          <w:bCs/>
          <w:szCs w:val="21"/>
        </w:rPr>
        <w:t>钢筋安装的允许偏差应符合表</w:t>
      </w:r>
      <w:r>
        <w:rPr>
          <w:rFonts w:hAnsi="宋体" w:cs="宋体"/>
          <w:bCs/>
          <w:szCs w:val="21"/>
        </w:rPr>
        <w:t>9</w:t>
      </w:r>
      <w:r>
        <w:rPr>
          <w:rFonts w:hint="eastAsia" w:hAnsi="宋体" w:cs="宋体"/>
          <w:bCs/>
          <w:szCs w:val="21"/>
        </w:rPr>
        <w:t>的规定。</w:t>
      </w:r>
    </w:p>
    <w:p>
      <w:pPr>
        <w:pStyle w:val="58"/>
        <w:spacing w:before="156" w:beforeLines="50" w:after="156" w:afterLines="50"/>
        <w:ind w:firstLine="0" w:firstLineChars="0"/>
        <w:jc w:val="center"/>
        <w:rPr>
          <w:rFonts w:ascii="黑体" w:hAnsi="黑体" w:eastAsia="黑体"/>
        </w:rPr>
      </w:pPr>
      <w:r>
        <w:rPr>
          <w:rFonts w:ascii="黑体" w:hAnsi="黑体" w:eastAsia="黑体"/>
        </w:rPr>
        <w:t xml:space="preserve">表9 </w:t>
      </w:r>
      <w:r>
        <w:rPr>
          <w:rFonts w:hint="eastAsia" w:ascii="黑体" w:hAnsi="黑体" w:eastAsia="黑体"/>
        </w:rPr>
        <w:t>钢筋安装的允许偏差</w:t>
      </w:r>
    </w:p>
    <w:tbl>
      <w:tblPr>
        <w:tblStyle w:val="27"/>
        <w:tblW w:w="8521"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435"/>
        <w:gridCol w:w="3347"/>
        <w:gridCol w:w="2739"/>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782" w:type="dxa"/>
            <w:gridSpan w:val="2"/>
            <w:tcBorders>
              <w:top w:val="single" w:color="auto" w:sz="12" w:space="0"/>
              <w:left w:val="single" w:color="auto" w:sz="12" w:space="0"/>
              <w:bottom w:val="single" w:color="auto" w:sz="12" w:space="0"/>
              <w:right w:val="single" w:color="auto" w:sz="4" w:space="0"/>
            </w:tcBorders>
            <w:vAlign w:val="center"/>
          </w:tcPr>
          <w:p>
            <w:pPr>
              <w:pStyle w:val="237"/>
              <w:autoSpaceDE w:val="0"/>
              <w:spacing w:line="240" w:lineRule="auto"/>
              <w:rPr>
                <w:rFonts w:ascii="宋体" w:hAnsi="宋体"/>
                <w:sz w:val="18"/>
                <w:szCs w:val="18"/>
              </w:rPr>
            </w:pPr>
            <w:r>
              <w:rPr>
                <w:rFonts w:hint="eastAsia" w:ascii="宋体" w:hAnsi="宋体"/>
                <w:sz w:val="18"/>
                <w:szCs w:val="18"/>
              </w:rPr>
              <w:t>项目</w:t>
            </w:r>
          </w:p>
        </w:tc>
        <w:tc>
          <w:tcPr>
            <w:tcW w:w="2739" w:type="dxa"/>
            <w:tcBorders>
              <w:top w:val="single" w:color="auto" w:sz="12" w:space="0"/>
              <w:left w:val="single" w:color="auto" w:sz="4" w:space="0"/>
              <w:bottom w:val="single" w:color="auto" w:sz="12" w:space="0"/>
              <w:right w:val="single" w:color="auto" w:sz="12" w:space="0"/>
            </w:tcBorders>
            <w:vAlign w:val="center"/>
          </w:tcPr>
          <w:p>
            <w:pPr>
              <w:pStyle w:val="237"/>
              <w:autoSpaceDE w:val="0"/>
              <w:spacing w:line="240" w:lineRule="auto"/>
              <w:rPr>
                <w:rFonts w:ascii="宋体" w:hAnsi="宋体"/>
                <w:sz w:val="18"/>
                <w:szCs w:val="18"/>
              </w:rPr>
            </w:pPr>
            <w:r>
              <w:rPr>
                <w:rFonts w:hint="eastAsia" w:ascii="宋体" w:hAnsi="宋体"/>
                <w:sz w:val="18"/>
                <w:szCs w:val="18"/>
              </w:rPr>
              <w:t>允许偏差（mm）</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435" w:type="dxa"/>
            <w:vMerge w:val="restart"/>
            <w:tcBorders>
              <w:top w:val="single" w:color="auto" w:sz="12" w:space="0"/>
              <w:left w:val="single" w:color="auto" w:sz="12" w:space="0"/>
              <w:bottom w:val="single" w:color="auto" w:sz="4" w:space="0"/>
              <w:right w:val="single" w:color="auto" w:sz="4" w:space="0"/>
            </w:tcBorders>
            <w:vAlign w:val="center"/>
          </w:tcPr>
          <w:p>
            <w:pPr>
              <w:pStyle w:val="237"/>
              <w:autoSpaceDE w:val="0"/>
              <w:spacing w:line="240" w:lineRule="auto"/>
              <w:rPr>
                <w:rFonts w:ascii="宋体" w:hAnsi="宋体"/>
                <w:sz w:val="18"/>
                <w:szCs w:val="18"/>
              </w:rPr>
            </w:pPr>
            <w:r>
              <w:rPr>
                <w:rFonts w:hint="eastAsia" w:ascii="宋体" w:hAnsi="宋体"/>
                <w:sz w:val="18"/>
                <w:szCs w:val="18"/>
              </w:rPr>
              <w:t>绑扎钢筋网</w:t>
            </w:r>
          </w:p>
        </w:tc>
        <w:tc>
          <w:tcPr>
            <w:tcW w:w="3347" w:type="dxa"/>
            <w:tcBorders>
              <w:top w:val="single" w:color="auto" w:sz="12" w:space="0"/>
              <w:left w:val="single" w:color="auto" w:sz="4" w:space="0"/>
              <w:bottom w:val="single" w:color="auto" w:sz="4" w:space="0"/>
              <w:right w:val="single" w:color="auto" w:sz="4" w:space="0"/>
            </w:tcBorders>
            <w:vAlign w:val="center"/>
          </w:tcPr>
          <w:p>
            <w:pPr>
              <w:pStyle w:val="237"/>
              <w:autoSpaceDE w:val="0"/>
              <w:spacing w:line="240" w:lineRule="auto"/>
              <w:rPr>
                <w:rFonts w:ascii="宋体" w:hAnsi="宋体"/>
                <w:sz w:val="18"/>
                <w:szCs w:val="18"/>
              </w:rPr>
            </w:pPr>
            <w:r>
              <w:rPr>
                <w:rFonts w:hint="eastAsia" w:ascii="宋体" w:hAnsi="宋体"/>
                <w:sz w:val="18"/>
                <w:szCs w:val="18"/>
              </w:rPr>
              <w:t>长、宽</w:t>
            </w:r>
          </w:p>
        </w:tc>
        <w:tc>
          <w:tcPr>
            <w:tcW w:w="2739" w:type="dxa"/>
            <w:tcBorders>
              <w:top w:val="single" w:color="auto" w:sz="12" w:space="0"/>
              <w:left w:val="single" w:color="auto" w:sz="4" w:space="0"/>
              <w:bottom w:val="single" w:color="auto" w:sz="4" w:space="0"/>
              <w:right w:val="single" w:color="auto" w:sz="12" w:space="0"/>
            </w:tcBorders>
            <w:vAlign w:val="center"/>
          </w:tcPr>
          <w:p>
            <w:pPr>
              <w:pStyle w:val="237"/>
              <w:autoSpaceDE w:val="0"/>
              <w:spacing w:line="240" w:lineRule="auto"/>
              <w:rPr>
                <w:rFonts w:ascii="宋体" w:hAnsi="宋体"/>
                <w:sz w:val="18"/>
                <w:szCs w:val="18"/>
              </w:rPr>
            </w:pPr>
            <w:r>
              <w:rPr>
                <w:rFonts w:hint="eastAsia" w:ascii="宋体" w:hAnsi="宋体"/>
                <w:sz w:val="18"/>
                <w:szCs w:val="18"/>
              </w:rPr>
              <w:t>±10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435" w:type="dxa"/>
            <w:vMerge w:val="continue"/>
            <w:tcBorders>
              <w:top w:val="single" w:color="auto" w:sz="4" w:space="0"/>
              <w:left w:val="single" w:color="auto" w:sz="12" w:space="0"/>
              <w:bottom w:val="single" w:color="auto" w:sz="12" w:space="0"/>
              <w:right w:val="single" w:color="auto" w:sz="4" w:space="0"/>
            </w:tcBorders>
            <w:vAlign w:val="center"/>
          </w:tcPr>
          <w:p>
            <w:pPr>
              <w:widowControl/>
              <w:spacing w:line="240" w:lineRule="auto"/>
              <w:jc w:val="left"/>
              <w:rPr>
                <w:rFonts w:ascii="宋体" w:hAnsi="宋体"/>
                <w:sz w:val="18"/>
                <w:szCs w:val="18"/>
              </w:rPr>
            </w:pPr>
          </w:p>
        </w:tc>
        <w:tc>
          <w:tcPr>
            <w:tcW w:w="3347" w:type="dxa"/>
            <w:tcBorders>
              <w:top w:val="single" w:color="auto" w:sz="4" w:space="0"/>
              <w:left w:val="single" w:color="auto" w:sz="4" w:space="0"/>
              <w:bottom w:val="single" w:color="auto" w:sz="12" w:space="0"/>
              <w:right w:val="single" w:color="auto" w:sz="4" w:space="0"/>
            </w:tcBorders>
            <w:vAlign w:val="center"/>
          </w:tcPr>
          <w:p>
            <w:pPr>
              <w:pStyle w:val="237"/>
              <w:autoSpaceDE w:val="0"/>
              <w:spacing w:line="240" w:lineRule="auto"/>
              <w:rPr>
                <w:rFonts w:ascii="宋体" w:hAnsi="宋体"/>
                <w:sz w:val="18"/>
                <w:szCs w:val="18"/>
              </w:rPr>
            </w:pPr>
            <w:r>
              <w:rPr>
                <w:rFonts w:hint="eastAsia" w:ascii="宋体" w:hAnsi="宋体"/>
                <w:sz w:val="18"/>
                <w:szCs w:val="18"/>
              </w:rPr>
              <w:t>网眼尺寸</w:t>
            </w:r>
          </w:p>
        </w:tc>
        <w:tc>
          <w:tcPr>
            <w:tcW w:w="2739" w:type="dxa"/>
            <w:tcBorders>
              <w:top w:val="single" w:color="auto" w:sz="4" w:space="0"/>
              <w:left w:val="single" w:color="auto" w:sz="4" w:space="0"/>
              <w:bottom w:val="single" w:color="auto" w:sz="12" w:space="0"/>
              <w:right w:val="single" w:color="auto" w:sz="12" w:space="0"/>
            </w:tcBorders>
            <w:vAlign w:val="center"/>
          </w:tcPr>
          <w:p>
            <w:pPr>
              <w:pStyle w:val="237"/>
              <w:autoSpaceDE w:val="0"/>
              <w:spacing w:line="240" w:lineRule="auto"/>
              <w:rPr>
                <w:rFonts w:ascii="宋体" w:hAnsi="宋体"/>
                <w:sz w:val="18"/>
                <w:szCs w:val="18"/>
              </w:rPr>
            </w:pPr>
            <w:r>
              <w:rPr>
                <w:rFonts w:hint="eastAsia" w:ascii="宋体" w:hAnsi="宋体"/>
                <w:sz w:val="18"/>
                <w:szCs w:val="18"/>
              </w:rPr>
              <w:t>±20</w:t>
            </w:r>
          </w:p>
        </w:tc>
      </w:tr>
    </w:tbl>
    <w:p>
      <w:pPr>
        <w:pStyle w:val="58"/>
        <w:spacing w:before="156" w:beforeLines="50" w:after="156" w:afterLines="50"/>
        <w:ind w:firstLine="0" w:firstLineChars="0"/>
        <w:jc w:val="center"/>
        <w:rPr>
          <w:rFonts w:ascii="黑体" w:hAnsi="黑体" w:eastAsia="黑体"/>
        </w:rPr>
      </w:pPr>
      <w:r>
        <w:rPr>
          <w:rFonts w:ascii="黑体" w:hAnsi="黑体" w:eastAsia="黑体"/>
        </w:rPr>
        <w:t xml:space="preserve">表9 </w:t>
      </w:r>
      <w:r>
        <w:rPr>
          <w:rFonts w:hint="eastAsia" w:ascii="黑体" w:hAnsi="黑体" w:eastAsia="黑体"/>
        </w:rPr>
        <w:t>续</w:t>
      </w:r>
    </w:p>
    <w:tbl>
      <w:tblPr>
        <w:tblStyle w:val="27"/>
        <w:tblW w:w="8521"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435"/>
        <w:gridCol w:w="1978"/>
        <w:gridCol w:w="1369"/>
        <w:gridCol w:w="2739"/>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782" w:type="dxa"/>
            <w:gridSpan w:val="3"/>
            <w:tcBorders>
              <w:top w:val="single" w:color="auto" w:sz="12" w:space="0"/>
              <w:left w:val="single" w:color="auto" w:sz="12" w:space="0"/>
              <w:bottom w:val="single" w:color="auto" w:sz="12" w:space="0"/>
              <w:right w:val="single" w:color="auto" w:sz="4" w:space="0"/>
            </w:tcBorders>
            <w:vAlign w:val="center"/>
          </w:tcPr>
          <w:p>
            <w:pPr>
              <w:pStyle w:val="237"/>
              <w:autoSpaceDE w:val="0"/>
              <w:spacing w:line="240" w:lineRule="auto"/>
              <w:rPr>
                <w:rFonts w:ascii="宋体" w:hAnsi="宋体"/>
                <w:sz w:val="18"/>
                <w:szCs w:val="18"/>
              </w:rPr>
            </w:pPr>
            <w:r>
              <w:rPr>
                <w:rFonts w:hint="eastAsia" w:ascii="宋体" w:hAnsi="宋体"/>
                <w:sz w:val="18"/>
                <w:szCs w:val="18"/>
              </w:rPr>
              <w:t>项目</w:t>
            </w:r>
          </w:p>
        </w:tc>
        <w:tc>
          <w:tcPr>
            <w:tcW w:w="2739" w:type="dxa"/>
            <w:tcBorders>
              <w:top w:val="single" w:color="auto" w:sz="12" w:space="0"/>
              <w:left w:val="single" w:color="auto" w:sz="4" w:space="0"/>
              <w:bottom w:val="single" w:color="auto" w:sz="12" w:space="0"/>
              <w:right w:val="single" w:color="auto" w:sz="12" w:space="0"/>
            </w:tcBorders>
            <w:vAlign w:val="center"/>
          </w:tcPr>
          <w:p>
            <w:pPr>
              <w:pStyle w:val="237"/>
              <w:autoSpaceDE w:val="0"/>
              <w:spacing w:line="240" w:lineRule="auto"/>
              <w:rPr>
                <w:rFonts w:ascii="宋体" w:hAnsi="宋体"/>
                <w:sz w:val="18"/>
                <w:szCs w:val="18"/>
              </w:rPr>
            </w:pPr>
            <w:r>
              <w:rPr>
                <w:rFonts w:hint="eastAsia" w:ascii="宋体" w:hAnsi="宋体"/>
                <w:sz w:val="18"/>
                <w:szCs w:val="18"/>
              </w:rPr>
              <w:t>允许偏差（mm）</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435" w:type="dxa"/>
            <w:vMerge w:val="restart"/>
            <w:tcBorders>
              <w:top w:val="single" w:color="auto" w:sz="4" w:space="0"/>
              <w:left w:val="single" w:color="auto" w:sz="12" w:space="0"/>
              <w:bottom w:val="single" w:color="auto" w:sz="4" w:space="0"/>
              <w:right w:val="single" w:color="auto" w:sz="4" w:space="0"/>
            </w:tcBorders>
            <w:vAlign w:val="center"/>
          </w:tcPr>
          <w:p>
            <w:pPr>
              <w:pStyle w:val="237"/>
              <w:autoSpaceDE w:val="0"/>
              <w:spacing w:line="240" w:lineRule="auto"/>
              <w:rPr>
                <w:rFonts w:ascii="宋体" w:hAnsi="宋体"/>
                <w:sz w:val="18"/>
                <w:szCs w:val="18"/>
              </w:rPr>
            </w:pPr>
            <w:r>
              <w:rPr>
                <w:rFonts w:hint="eastAsia" w:ascii="宋体" w:hAnsi="宋体"/>
                <w:sz w:val="18"/>
                <w:szCs w:val="18"/>
              </w:rPr>
              <w:t>绑扎钢筋骨架</w:t>
            </w:r>
          </w:p>
        </w:tc>
        <w:tc>
          <w:tcPr>
            <w:tcW w:w="3347" w:type="dxa"/>
            <w:gridSpan w:val="2"/>
            <w:tcBorders>
              <w:top w:val="single" w:color="auto" w:sz="4" w:space="0"/>
              <w:left w:val="single" w:color="auto" w:sz="4" w:space="0"/>
              <w:bottom w:val="single" w:color="auto" w:sz="4" w:space="0"/>
              <w:right w:val="single" w:color="auto" w:sz="4" w:space="0"/>
            </w:tcBorders>
            <w:vAlign w:val="center"/>
          </w:tcPr>
          <w:p>
            <w:pPr>
              <w:pStyle w:val="237"/>
              <w:autoSpaceDE w:val="0"/>
              <w:spacing w:line="240" w:lineRule="auto"/>
              <w:rPr>
                <w:rFonts w:ascii="宋体" w:hAnsi="宋体"/>
                <w:sz w:val="18"/>
                <w:szCs w:val="18"/>
              </w:rPr>
            </w:pPr>
            <w:r>
              <w:rPr>
                <w:rFonts w:hint="eastAsia" w:ascii="宋体" w:hAnsi="宋体"/>
                <w:sz w:val="18"/>
                <w:szCs w:val="18"/>
              </w:rPr>
              <w:t>长</w:t>
            </w:r>
          </w:p>
        </w:tc>
        <w:tc>
          <w:tcPr>
            <w:tcW w:w="2739" w:type="dxa"/>
            <w:tcBorders>
              <w:top w:val="single" w:color="auto" w:sz="4" w:space="0"/>
              <w:left w:val="single" w:color="auto" w:sz="4" w:space="0"/>
              <w:bottom w:val="single" w:color="auto" w:sz="4" w:space="0"/>
              <w:right w:val="single" w:color="auto" w:sz="12" w:space="0"/>
            </w:tcBorders>
            <w:vAlign w:val="center"/>
          </w:tcPr>
          <w:p>
            <w:pPr>
              <w:pStyle w:val="237"/>
              <w:autoSpaceDE w:val="0"/>
              <w:spacing w:line="240" w:lineRule="auto"/>
              <w:rPr>
                <w:rFonts w:ascii="宋体" w:hAnsi="宋体"/>
                <w:sz w:val="18"/>
                <w:szCs w:val="18"/>
              </w:rPr>
            </w:pPr>
            <w:r>
              <w:rPr>
                <w:rFonts w:hint="eastAsia" w:ascii="宋体" w:hAnsi="宋体"/>
                <w:sz w:val="18"/>
                <w:szCs w:val="18"/>
              </w:rPr>
              <w:t>±10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435" w:type="dxa"/>
            <w:vMerge w:val="continue"/>
            <w:tcBorders>
              <w:top w:val="single" w:color="auto" w:sz="4" w:space="0"/>
              <w:left w:val="single" w:color="auto" w:sz="12"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3347" w:type="dxa"/>
            <w:gridSpan w:val="2"/>
            <w:tcBorders>
              <w:top w:val="single" w:color="auto" w:sz="4" w:space="0"/>
              <w:left w:val="single" w:color="auto" w:sz="4" w:space="0"/>
              <w:bottom w:val="single" w:color="auto" w:sz="4" w:space="0"/>
              <w:right w:val="single" w:color="auto" w:sz="4" w:space="0"/>
            </w:tcBorders>
            <w:vAlign w:val="center"/>
          </w:tcPr>
          <w:p>
            <w:pPr>
              <w:pStyle w:val="237"/>
              <w:autoSpaceDE w:val="0"/>
              <w:spacing w:line="240" w:lineRule="auto"/>
              <w:rPr>
                <w:rFonts w:ascii="宋体" w:hAnsi="宋体"/>
                <w:sz w:val="18"/>
                <w:szCs w:val="18"/>
              </w:rPr>
            </w:pPr>
            <w:r>
              <w:rPr>
                <w:rFonts w:hint="eastAsia" w:ascii="宋体" w:hAnsi="宋体"/>
                <w:sz w:val="18"/>
                <w:szCs w:val="18"/>
              </w:rPr>
              <w:t>宽、高</w:t>
            </w:r>
          </w:p>
        </w:tc>
        <w:tc>
          <w:tcPr>
            <w:tcW w:w="2739" w:type="dxa"/>
            <w:tcBorders>
              <w:top w:val="single" w:color="auto" w:sz="4" w:space="0"/>
              <w:left w:val="single" w:color="auto" w:sz="4" w:space="0"/>
              <w:bottom w:val="single" w:color="auto" w:sz="4" w:space="0"/>
              <w:right w:val="single" w:color="auto" w:sz="12" w:space="0"/>
            </w:tcBorders>
            <w:vAlign w:val="center"/>
          </w:tcPr>
          <w:p>
            <w:pPr>
              <w:pStyle w:val="237"/>
              <w:autoSpaceDE w:val="0"/>
              <w:spacing w:line="240" w:lineRule="auto"/>
              <w:rPr>
                <w:rFonts w:ascii="宋体" w:hAnsi="宋体"/>
                <w:sz w:val="18"/>
                <w:szCs w:val="18"/>
              </w:rPr>
            </w:pPr>
            <w:r>
              <w:rPr>
                <w:rFonts w:hint="eastAsia" w:ascii="宋体" w:hAnsi="宋体"/>
                <w:sz w:val="18"/>
                <w:szCs w:val="18"/>
              </w:rPr>
              <w:t>±5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435" w:type="dxa"/>
            <w:vMerge w:val="restart"/>
            <w:tcBorders>
              <w:top w:val="single" w:color="auto" w:sz="4" w:space="0"/>
              <w:left w:val="single" w:color="auto" w:sz="12" w:space="0"/>
              <w:bottom w:val="single" w:color="auto" w:sz="4" w:space="0"/>
              <w:right w:val="single" w:color="auto" w:sz="4" w:space="0"/>
            </w:tcBorders>
            <w:vAlign w:val="center"/>
          </w:tcPr>
          <w:p>
            <w:pPr>
              <w:pStyle w:val="237"/>
              <w:autoSpaceDE w:val="0"/>
              <w:spacing w:line="240" w:lineRule="auto"/>
              <w:rPr>
                <w:rFonts w:ascii="宋体" w:hAnsi="宋体"/>
                <w:sz w:val="18"/>
                <w:szCs w:val="18"/>
              </w:rPr>
            </w:pPr>
            <w:r>
              <w:rPr>
                <w:rFonts w:hint="eastAsia" w:ascii="宋体" w:hAnsi="宋体"/>
                <w:sz w:val="18"/>
                <w:szCs w:val="18"/>
              </w:rPr>
              <w:t>受力钢筋</w:t>
            </w:r>
          </w:p>
        </w:tc>
        <w:tc>
          <w:tcPr>
            <w:tcW w:w="3347" w:type="dxa"/>
            <w:gridSpan w:val="2"/>
            <w:tcBorders>
              <w:top w:val="single" w:color="auto" w:sz="4" w:space="0"/>
              <w:left w:val="single" w:color="auto" w:sz="4" w:space="0"/>
              <w:bottom w:val="single" w:color="auto" w:sz="4" w:space="0"/>
              <w:right w:val="single" w:color="auto" w:sz="4" w:space="0"/>
            </w:tcBorders>
            <w:vAlign w:val="center"/>
          </w:tcPr>
          <w:p>
            <w:pPr>
              <w:pStyle w:val="237"/>
              <w:autoSpaceDE w:val="0"/>
              <w:spacing w:line="240" w:lineRule="auto"/>
              <w:rPr>
                <w:rFonts w:ascii="宋体" w:hAnsi="宋体"/>
                <w:sz w:val="18"/>
                <w:szCs w:val="18"/>
              </w:rPr>
            </w:pPr>
            <w:r>
              <w:rPr>
                <w:rFonts w:hint="eastAsia" w:ascii="宋体" w:hAnsi="宋体"/>
                <w:sz w:val="18"/>
                <w:szCs w:val="18"/>
              </w:rPr>
              <w:t>间距</w:t>
            </w:r>
          </w:p>
        </w:tc>
        <w:tc>
          <w:tcPr>
            <w:tcW w:w="2739" w:type="dxa"/>
            <w:tcBorders>
              <w:top w:val="single" w:color="auto" w:sz="4" w:space="0"/>
              <w:left w:val="single" w:color="auto" w:sz="4" w:space="0"/>
              <w:bottom w:val="single" w:color="auto" w:sz="4" w:space="0"/>
              <w:right w:val="single" w:color="auto" w:sz="12" w:space="0"/>
            </w:tcBorders>
            <w:vAlign w:val="center"/>
          </w:tcPr>
          <w:p>
            <w:pPr>
              <w:pStyle w:val="237"/>
              <w:autoSpaceDE w:val="0"/>
              <w:spacing w:line="240" w:lineRule="auto"/>
              <w:rPr>
                <w:rFonts w:ascii="宋体" w:hAnsi="宋体"/>
                <w:sz w:val="18"/>
                <w:szCs w:val="18"/>
              </w:rPr>
            </w:pPr>
            <w:r>
              <w:rPr>
                <w:rFonts w:hint="eastAsia" w:ascii="宋体" w:hAnsi="宋体"/>
                <w:sz w:val="18"/>
                <w:szCs w:val="18"/>
              </w:rPr>
              <w:t>±10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435" w:type="dxa"/>
            <w:vMerge w:val="continue"/>
            <w:tcBorders>
              <w:top w:val="single" w:color="auto" w:sz="4" w:space="0"/>
              <w:left w:val="single" w:color="auto" w:sz="12"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3347" w:type="dxa"/>
            <w:gridSpan w:val="2"/>
            <w:tcBorders>
              <w:top w:val="single" w:color="auto" w:sz="4" w:space="0"/>
              <w:left w:val="single" w:color="auto" w:sz="4" w:space="0"/>
              <w:bottom w:val="single" w:color="auto" w:sz="4" w:space="0"/>
              <w:right w:val="single" w:color="auto" w:sz="4" w:space="0"/>
            </w:tcBorders>
            <w:vAlign w:val="center"/>
          </w:tcPr>
          <w:p>
            <w:pPr>
              <w:pStyle w:val="237"/>
              <w:autoSpaceDE w:val="0"/>
              <w:spacing w:line="240" w:lineRule="auto"/>
              <w:rPr>
                <w:rFonts w:ascii="宋体" w:hAnsi="宋体"/>
                <w:sz w:val="18"/>
                <w:szCs w:val="18"/>
              </w:rPr>
            </w:pPr>
            <w:r>
              <w:rPr>
                <w:rFonts w:hint="eastAsia" w:ascii="宋体" w:hAnsi="宋体"/>
                <w:sz w:val="18"/>
                <w:szCs w:val="18"/>
              </w:rPr>
              <w:t>排距</w:t>
            </w:r>
          </w:p>
        </w:tc>
        <w:tc>
          <w:tcPr>
            <w:tcW w:w="2739" w:type="dxa"/>
            <w:tcBorders>
              <w:top w:val="single" w:color="auto" w:sz="4" w:space="0"/>
              <w:left w:val="single" w:color="auto" w:sz="4" w:space="0"/>
              <w:bottom w:val="single" w:color="auto" w:sz="4" w:space="0"/>
              <w:right w:val="single" w:color="auto" w:sz="12" w:space="0"/>
            </w:tcBorders>
            <w:vAlign w:val="center"/>
          </w:tcPr>
          <w:p>
            <w:pPr>
              <w:pStyle w:val="237"/>
              <w:autoSpaceDE w:val="0"/>
              <w:spacing w:line="240" w:lineRule="auto"/>
              <w:rPr>
                <w:rFonts w:ascii="宋体" w:hAnsi="宋体"/>
                <w:sz w:val="18"/>
                <w:szCs w:val="18"/>
              </w:rPr>
            </w:pPr>
            <w:r>
              <w:rPr>
                <w:rFonts w:hint="eastAsia" w:ascii="宋体" w:hAnsi="宋体"/>
                <w:sz w:val="18"/>
                <w:szCs w:val="18"/>
              </w:rPr>
              <w:t>±5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435" w:type="dxa"/>
            <w:vMerge w:val="continue"/>
            <w:tcBorders>
              <w:top w:val="single" w:color="auto" w:sz="4" w:space="0"/>
              <w:left w:val="single" w:color="auto" w:sz="12"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1978" w:type="dxa"/>
            <w:vMerge w:val="restart"/>
            <w:tcBorders>
              <w:top w:val="single" w:color="auto" w:sz="4" w:space="0"/>
              <w:left w:val="single" w:color="auto" w:sz="4" w:space="0"/>
              <w:bottom w:val="single" w:color="auto" w:sz="4" w:space="0"/>
              <w:right w:val="single" w:color="auto" w:sz="4" w:space="0"/>
            </w:tcBorders>
            <w:vAlign w:val="center"/>
          </w:tcPr>
          <w:p>
            <w:pPr>
              <w:pStyle w:val="237"/>
              <w:autoSpaceDE w:val="0"/>
              <w:spacing w:line="240" w:lineRule="auto"/>
              <w:rPr>
                <w:rFonts w:ascii="宋体" w:hAnsi="宋体"/>
                <w:sz w:val="18"/>
                <w:szCs w:val="18"/>
              </w:rPr>
            </w:pPr>
            <w:r>
              <w:rPr>
                <w:rFonts w:hint="eastAsia" w:ascii="宋体" w:hAnsi="宋体"/>
                <w:sz w:val="18"/>
                <w:szCs w:val="18"/>
              </w:rPr>
              <w:t>保护层厚度</w:t>
            </w:r>
          </w:p>
        </w:tc>
        <w:tc>
          <w:tcPr>
            <w:tcW w:w="1369" w:type="dxa"/>
            <w:tcBorders>
              <w:top w:val="single" w:color="auto" w:sz="4" w:space="0"/>
              <w:left w:val="single" w:color="auto" w:sz="4" w:space="0"/>
              <w:bottom w:val="single" w:color="auto" w:sz="4" w:space="0"/>
              <w:right w:val="single" w:color="auto" w:sz="4" w:space="0"/>
            </w:tcBorders>
            <w:vAlign w:val="center"/>
          </w:tcPr>
          <w:p>
            <w:pPr>
              <w:pStyle w:val="237"/>
              <w:autoSpaceDE w:val="0"/>
              <w:spacing w:line="240" w:lineRule="auto"/>
              <w:rPr>
                <w:rFonts w:ascii="宋体" w:hAnsi="宋体"/>
                <w:sz w:val="18"/>
                <w:szCs w:val="18"/>
              </w:rPr>
            </w:pPr>
            <w:r>
              <w:rPr>
                <w:rFonts w:hint="eastAsia" w:ascii="宋体" w:hAnsi="宋体"/>
                <w:sz w:val="18"/>
                <w:szCs w:val="18"/>
              </w:rPr>
              <w:t>柱、梁</w:t>
            </w:r>
          </w:p>
        </w:tc>
        <w:tc>
          <w:tcPr>
            <w:tcW w:w="2739" w:type="dxa"/>
            <w:tcBorders>
              <w:top w:val="single" w:color="auto" w:sz="4" w:space="0"/>
              <w:left w:val="single" w:color="auto" w:sz="4" w:space="0"/>
              <w:bottom w:val="single" w:color="auto" w:sz="4" w:space="0"/>
              <w:right w:val="single" w:color="auto" w:sz="12" w:space="0"/>
            </w:tcBorders>
            <w:vAlign w:val="center"/>
          </w:tcPr>
          <w:p>
            <w:pPr>
              <w:pStyle w:val="237"/>
              <w:autoSpaceDE w:val="0"/>
              <w:spacing w:line="240" w:lineRule="auto"/>
              <w:rPr>
                <w:rFonts w:ascii="宋体" w:hAnsi="宋体"/>
                <w:sz w:val="18"/>
                <w:szCs w:val="18"/>
              </w:rPr>
            </w:pPr>
            <w:r>
              <w:rPr>
                <w:rFonts w:hint="eastAsia" w:ascii="宋体" w:hAnsi="宋体"/>
                <w:sz w:val="18"/>
                <w:szCs w:val="18"/>
              </w:rPr>
              <w:t>±5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435" w:type="dxa"/>
            <w:vMerge w:val="continue"/>
            <w:tcBorders>
              <w:top w:val="single" w:color="auto" w:sz="4" w:space="0"/>
              <w:left w:val="single" w:color="auto" w:sz="12"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1978"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1369" w:type="dxa"/>
            <w:tcBorders>
              <w:top w:val="single" w:color="auto" w:sz="4" w:space="0"/>
              <w:left w:val="single" w:color="auto" w:sz="4" w:space="0"/>
              <w:bottom w:val="single" w:color="auto" w:sz="4" w:space="0"/>
              <w:right w:val="single" w:color="auto" w:sz="4" w:space="0"/>
            </w:tcBorders>
            <w:vAlign w:val="center"/>
          </w:tcPr>
          <w:p>
            <w:pPr>
              <w:pStyle w:val="237"/>
              <w:autoSpaceDE w:val="0"/>
              <w:spacing w:line="240" w:lineRule="auto"/>
              <w:rPr>
                <w:rFonts w:ascii="宋体" w:hAnsi="宋体"/>
                <w:sz w:val="18"/>
                <w:szCs w:val="18"/>
              </w:rPr>
            </w:pPr>
            <w:r>
              <w:rPr>
                <w:rFonts w:hint="eastAsia" w:ascii="宋体" w:hAnsi="宋体"/>
                <w:sz w:val="18"/>
                <w:szCs w:val="18"/>
              </w:rPr>
              <w:t>板</w:t>
            </w:r>
          </w:p>
        </w:tc>
        <w:tc>
          <w:tcPr>
            <w:tcW w:w="2739" w:type="dxa"/>
            <w:tcBorders>
              <w:top w:val="single" w:color="auto" w:sz="4" w:space="0"/>
              <w:left w:val="single" w:color="auto" w:sz="4" w:space="0"/>
              <w:bottom w:val="single" w:color="auto" w:sz="4" w:space="0"/>
              <w:right w:val="single" w:color="auto" w:sz="12" w:space="0"/>
            </w:tcBorders>
            <w:vAlign w:val="center"/>
          </w:tcPr>
          <w:p>
            <w:pPr>
              <w:pStyle w:val="237"/>
              <w:autoSpaceDE w:val="0"/>
              <w:spacing w:line="240" w:lineRule="auto"/>
              <w:rPr>
                <w:rFonts w:ascii="宋体" w:hAnsi="宋体"/>
                <w:sz w:val="18"/>
                <w:szCs w:val="18"/>
              </w:rPr>
            </w:pPr>
            <w:r>
              <w:rPr>
                <w:rFonts w:hint="eastAsia" w:ascii="宋体" w:hAnsi="宋体"/>
                <w:sz w:val="18"/>
                <w:szCs w:val="18"/>
              </w:rPr>
              <w:t>±3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782" w:type="dxa"/>
            <w:gridSpan w:val="3"/>
            <w:tcBorders>
              <w:top w:val="single" w:color="auto" w:sz="4" w:space="0"/>
              <w:left w:val="single" w:color="auto" w:sz="12" w:space="0"/>
              <w:bottom w:val="single" w:color="auto" w:sz="4" w:space="0"/>
              <w:right w:val="single" w:color="auto" w:sz="4" w:space="0"/>
            </w:tcBorders>
            <w:vAlign w:val="center"/>
          </w:tcPr>
          <w:p>
            <w:pPr>
              <w:pStyle w:val="237"/>
              <w:spacing w:line="240" w:lineRule="auto"/>
              <w:rPr>
                <w:rFonts w:ascii="宋体" w:hAnsi="宋体"/>
                <w:sz w:val="18"/>
                <w:szCs w:val="18"/>
              </w:rPr>
            </w:pPr>
            <w:r>
              <w:rPr>
                <w:rFonts w:hint="eastAsia" w:ascii="宋体" w:hAnsi="宋体"/>
                <w:sz w:val="18"/>
                <w:szCs w:val="18"/>
              </w:rPr>
              <w:t>绑扎箍筋、横向钢筋间距</w:t>
            </w:r>
          </w:p>
        </w:tc>
        <w:tc>
          <w:tcPr>
            <w:tcW w:w="2739" w:type="dxa"/>
            <w:tcBorders>
              <w:top w:val="single" w:color="auto" w:sz="4" w:space="0"/>
              <w:left w:val="single" w:color="auto" w:sz="4" w:space="0"/>
              <w:bottom w:val="single" w:color="auto" w:sz="4" w:space="0"/>
              <w:right w:val="single" w:color="auto" w:sz="12" w:space="0"/>
            </w:tcBorders>
            <w:vAlign w:val="center"/>
          </w:tcPr>
          <w:p>
            <w:pPr>
              <w:pStyle w:val="237"/>
              <w:spacing w:line="240" w:lineRule="auto"/>
              <w:rPr>
                <w:rFonts w:ascii="宋体" w:hAnsi="宋体"/>
                <w:sz w:val="18"/>
                <w:szCs w:val="18"/>
              </w:rPr>
            </w:pPr>
            <w:r>
              <w:rPr>
                <w:rFonts w:hint="eastAsia" w:ascii="宋体" w:hAnsi="宋体"/>
                <w:sz w:val="18"/>
                <w:szCs w:val="18"/>
              </w:rPr>
              <w:t>±20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782" w:type="dxa"/>
            <w:gridSpan w:val="3"/>
            <w:tcBorders>
              <w:top w:val="single" w:color="auto" w:sz="4" w:space="0"/>
              <w:left w:val="single" w:color="auto" w:sz="12" w:space="0"/>
              <w:bottom w:val="single" w:color="auto" w:sz="4" w:space="0"/>
              <w:right w:val="single" w:color="auto" w:sz="4" w:space="0"/>
            </w:tcBorders>
            <w:vAlign w:val="center"/>
          </w:tcPr>
          <w:p>
            <w:pPr>
              <w:pStyle w:val="237"/>
              <w:spacing w:line="240" w:lineRule="auto"/>
              <w:rPr>
                <w:rFonts w:ascii="宋体" w:hAnsi="宋体"/>
                <w:sz w:val="18"/>
                <w:szCs w:val="18"/>
              </w:rPr>
            </w:pPr>
            <w:r>
              <w:rPr>
                <w:rFonts w:hint="eastAsia" w:ascii="宋体" w:hAnsi="宋体"/>
                <w:sz w:val="18"/>
                <w:szCs w:val="18"/>
              </w:rPr>
              <w:t>钢筋弯起点位置</w:t>
            </w:r>
          </w:p>
        </w:tc>
        <w:tc>
          <w:tcPr>
            <w:tcW w:w="2739" w:type="dxa"/>
            <w:tcBorders>
              <w:top w:val="single" w:color="auto" w:sz="4" w:space="0"/>
              <w:left w:val="single" w:color="auto" w:sz="4" w:space="0"/>
              <w:bottom w:val="single" w:color="auto" w:sz="4" w:space="0"/>
              <w:right w:val="single" w:color="auto" w:sz="12" w:space="0"/>
            </w:tcBorders>
            <w:vAlign w:val="center"/>
          </w:tcPr>
          <w:p>
            <w:pPr>
              <w:pStyle w:val="237"/>
              <w:spacing w:line="240" w:lineRule="auto"/>
              <w:rPr>
                <w:rFonts w:ascii="宋体" w:hAnsi="宋体"/>
                <w:sz w:val="18"/>
                <w:szCs w:val="18"/>
              </w:rPr>
            </w:pPr>
            <w:r>
              <w:rPr>
                <w:rFonts w:hint="eastAsia" w:ascii="宋体" w:hAnsi="宋体"/>
                <w:sz w:val="18"/>
                <w:szCs w:val="18"/>
              </w:rPr>
              <w:t>20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435" w:type="dxa"/>
            <w:vMerge w:val="restart"/>
            <w:tcBorders>
              <w:top w:val="single" w:color="auto" w:sz="4" w:space="0"/>
              <w:left w:val="single" w:color="auto" w:sz="12" w:space="0"/>
              <w:bottom w:val="single" w:color="auto" w:sz="4" w:space="0"/>
              <w:right w:val="single" w:color="auto" w:sz="4" w:space="0"/>
            </w:tcBorders>
            <w:vAlign w:val="center"/>
          </w:tcPr>
          <w:p>
            <w:pPr>
              <w:pStyle w:val="237"/>
              <w:autoSpaceDE w:val="0"/>
              <w:spacing w:line="240" w:lineRule="auto"/>
              <w:rPr>
                <w:rFonts w:ascii="宋体" w:hAnsi="宋体"/>
                <w:kern w:val="44"/>
                <w:sz w:val="18"/>
                <w:szCs w:val="18"/>
              </w:rPr>
            </w:pPr>
            <w:r>
              <w:rPr>
                <w:rFonts w:hint="eastAsia" w:ascii="宋体" w:hAnsi="宋体"/>
                <w:sz w:val="18"/>
                <w:szCs w:val="18"/>
              </w:rPr>
              <w:t>预埋件</w:t>
            </w:r>
          </w:p>
        </w:tc>
        <w:tc>
          <w:tcPr>
            <w:tcW w:w="3347" w:type="dxa"/>
            <w:gridSpan w:val="2"/>
            <w:tcBorders>
              <w:top w:val="single" w:color="auto" w:sz="4" w:space="0"/>
              <w:left w:val="single" w:color="auto" w:sz="4" w:space="0"/>
              <w:bottom w:val="single" w:color="auto" w:sz="4" w:space="0"/>
              <w:right w:val="single" w:color="auto" w:sz="4" w:space="0"/>
            </w:tcBorders>
            <w:vAlign w:val="center"/>
          </w:tcPr>
          <w:p>
            <w:pPr>
              <w:pStyle w:val="237"/>
              <w:spacing w:line="240" w:lineRule="auto"/>
              <w:rPr>
                <w:rFonts w:ascii="宋体" w:hAnsi="宋体"/>
                <w:sz w:val="18"/>
                <w:szCs w:val="18"/>
              </w:rPr>
            </w:pPr>
            <w:r>
              <w:rPr>
                <w:rFonts w:hint="eastAsia" w:ascii="宋体" w:hAnsi="宋体"/>
                <w:sz w:val="18"/>
                <w:szCs w:val="18"/>
              </w:rPr>
              <w:t>中心线位置</w:t>
            </w:r>
          </w:p>
        </w:tc>
        <w:tc>
          <w:tcPr>
            <w:tcW w:w="2739" w:type="dxa"/>
            <w:tcBorders>
              <w:top w:val="single" w:color="auto" w:sz="4" w:space="0"/>
              <w:left w:val="single" w:color="auto" w:sz="4" w:space="0"/>
              <w:bottom w:val="single" w:color="auto" w:sz="4" w:space="0"/>
              <w:right w:val="single" w:color="auto" w:sz="12" w:space="0"/>
            </w:tcBorders>
            <w:vAlign w:val="center"/>
          </w:tcPr>
          <w:p>
            <w:pPr>
              <w:pStyle w:val="237"/>
              <w:spacing w:line="240" w:lineRule="auto"/>
              <w:rPr>
                <w:rFonts w:ascii="宋体" w:hAnsi="宋体"/>
                <w:sz w:val="18"/>
                <w:szCs w:val="18"/>
              </w:rPr>
            </w:pPr>
            <w:r>
              <w:rPr>
                <w:rFonts w:hint="eastAsia" w:ascii="宋体" w:hAnsi="宋体"/>
                <w:sz w:val="18"/>
                <w:szCs w:val="18"/>
              </w:rPr>
              <w:t>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435" w:type="dxa"/>
            <w:vMerge w:val="continue"/>
            <w:tcBorders>
              <w:top w:val="single" w:color="auto" w:sz="4" w:space="0"/>
              <w:left w:val="single" w:color="auto" w:sz="12" w:space="0"/>
              <w:bottom w:val="single" w:color="auto" w:sz="12" w:space="0"/>
              <w:right w:val="single" w:color="auto" w:sz="4" w:space="0"/>
            </w:tcBorders>
            <w:vAlign w:val="center"/>
          </w:tcPr>
          <w:p>
            <w:pPr>
              <w:widowControl/>
              <w:spacing w:line="240" w:lineRule="auto"/>
              <w:jc w:val="left"/>
              <w:rPr>
                <w:rFonts w:ascii="宋体" w:hAnsi="宋体"/>
                <w:kern w:val="44"/>
                <w:sz w:val="18"/>
                <w:szCs w:val="18"/>
              </w:rPr>
            </w:pPr>
          </w:p>
        </w:tc>
        <w:tc>
          <w:tcPr>
            <w:tcW w:w="3347" w:type="dxa"/>
            <w:gridSpan w:val="2"/>
            <w:tcBorders>
              <w:top w:val="single" w:color="auto" w:sz="4" w:space="0"/>
              <w:left w:val="single" w:color="auto" w:sz="4" w:space="0"/>
              <w:bottom w:val="single" w:color="auto" w:sz="12" w:space="0"/>
              <w:right w:val="single" w:color="auto" w:sz="4" w:space="0"/>
            </w:tcBorders>
            <w:vAlign w:val="center"/>
          </w:tcPr>
          <w:p>
            <w:pPr>
              <w:pStyle w:val="237"/>
              <w:spacing w:line="240" w:lineRule="auto"/>
              <w:rPr>
                <w:rFonts w:ascii="宋体" w:hAnsi="宋体"/>
                <w:sz w:val="18"/>
                <w:szCs w:val="18"/>
              </w:rPr>
            </w:pPr>
            <w:r>
              <w:rPr>
                <w:rFonts w:hint="eastAsia" w:ascii="宋体" w:hAnsi="宋体"/>
                <w:sz w:val="18"/>
                <w:szCs w:val="18"/>
              </w:rPr>
              <w:t>水平高差</w:t>
            </w:r>
          </w:p>
        </w:tc>
        <w:tc>
          <w:tcPr>
            <w:tcW w:w="2739" w:type="dxa"/>
            <w:tcBorders>
              <w:top w:val="single" w:color="auto" w:sz="4" w:space="0"/>
              <w:left w:val="single" w:color="auto" w:sz="4" w:space="0"/>
              <w:bottom w:val="single" w:color="auto" w:sz="12" w:space="0"/>
              <w:right w:val="single" w:color="auto" w:sz="12" w:space="0"/>
            </w:tcBorders>
            <w:vAlign w:val="center"/>
          </w:tcPr>
          <w:p>
            <w:pPr>
              <w:pStyle w:val="237"/>
              <w:spacing w:line="240" w:lineRule="auto"/>
              <w:rPr>
                <w:rFonts w:ascii="宋体" w:hAnsi="宋体"/>
                <w:sz w:val="18"/>
                <w:szCs w:val="18"/>
              </w:rPr>
            </w:pPr>
            <w:r>
              <w:rPr>
                <w:rFonts w:hint="eastAsia" w:ascii="宋体" w:hAnsi="宋体"/>
                <w:sz w:val="18"/>
                <w:szCs w:val="18"/>
              </w:rPr>
              <w:t>+3，0</w:t>
            </w:r>
          </w:p>
        </w:tc>
      </w:tr>
    </w:tbl>
    <w:p>
      <w:pPr>
        <w:pStyle w:val="58"/>
        <w:ind w:firstLine="0" w:firstLineChars="0"/>
      </w:pPr>
    </w:p>
    <w:p>
      <w:pPr>
        <w:pStyle w:val="58"/>
        <w:spacing w:before="312" w:beforeLines="100" w:after="312" w:afterLines="100"/>
        <w:ind w:firstLine="0" w:firstLineChars="0"/>
        <w:outlineLvl w:val="1"/>
        <w:rPr>
          <w:rFonts w:ascii="黑体" w:hAnsi="黑体" w:eastAsia="黑体"/>
        </w:rPr>
      </w:pPr>
      <w:bookmarkStart w:id="113" w:name="_Toc142923608"/>
      <w:r>
        <w:rPr>
          <w:rFonts w:hint="eastAsia" w:ascii="黑体" w:hAnsi="黑体" w:eastAsia="黑体"/>
        </w:rPr>
        <w:t>6.4 预应力筋制作与张拉</w:t>
      </w:r>
      <w:bookmarkEnd w:id="113"/>
    </w:p>
    <w:p>
      <w:pPr>
        <w:pStyle w:val="58"/>
        <w:ind w:firstLine="0" w:firstLineChars="0"/>
        <w:rPr>
          <w:bCs/>
          <w:szCs w:val="21"/>
        </w:rPr>
      </w:pPr>
      <w:r>
        <w:rPr>
          <w:rFonts w:hint="eastAsia" w:ascii="黑体" w:hAnsi="黑体" w:eastAsia="黑体"/>
        </w:rPr>
        <w:t xml:space="preserve">6.4.1 </w:t>
      </w:r>
      <w:r>
        <w:rPr>
          <w:rFonts w:hint="eastAsia"/>
          <w:bCs/>
          <w:szCs w:val="21"/>
        </w:rPr>
        <w:t>应选用非油质类模板隔离剂，并应避免沾污预应力筋。</w:t>
      </w:r>
    </w:p>
    <w:p>
      <w:pPr>
        <w:pStyle w:val="58"/>
        <w:ind w:firstLine="0" w:firstLineChars="0"/>
        <w:rPr>
          <w:bCs/>
          <w:szCs w:val="21"/>
        </w:rPr>
      </w:pPr>
      <w:r>
        <w:rPr>
          <w:rFonts w:hint="eastAsia" w:ascii="黑体" w:hAnsi="黑体" w:eastAsia="黑体"/>
        </w:rPr>
        <w:t xml:space="preserve">6.4.2 </w:t>
      </w:r>
      <w:r>
        <w:rPr>
          <w:rFonts w:hint="eastAsia" w:hAnsi="宋体"/>
          <w:bCs/>
          <w:szCs w:val="21"/>
        </w:rPr>
        <w:t>预应力筋下料时，应采用砂轮锯或切断机切断，不得采用电弧切割。</w:t>
      </w:r>
    </w:p>
    <w:p>
      <w:pPr>
        <w:pStyle w:val="58"/>
        <w:ind w:firstLine="0" w:firstLineChars="0"/>
        <w:rPr>
          <w:rFonts w:ascii="黑体" w:hAnsi="黑体" w:eastAsia="黑体"/>
        </w:rPr>
      </w:pPr>
      <w:r>
        <w:rPr>
          <w:rFonts w:hint="eastAsia" w:ascii="黑体" w:hAnsi="黑体" w:eastAsia="黑体"/>
        </w:rPr>
        <w:t xml:space="preserve">6.4.3 </w:t>
      </w:r>
      <w:r>
        <w:rPr>
          <w:rFonts w:hint="eastAsia"/>
          <w:bCs/>
          <w:szCs w:val="21"/>
        </w:rPr>
        <w:t>应避免电火花损伤预应力筋；受损伤的预应力筋应予以更换。</w:t>
      </w:r>
    </w:p>
    <w:p>
      <w:pPr>
        <w:pStyle w:val="58"/>
        <w:ind w:firstLine="0" w:firstLineChars="0"/>
        <w:rPr>
          <w:rFonts w:ascii="黑体" w:hAnsi="黑体" w:eastAsia="黑体"/>
        </w:rPr>
      </w:pPr>
      <w:r>
        <w:rPr>
          <w:rFonts w:hint="eastAsia" w:ascii="黑体" w:hAnsi="黑体" w:eastAsia="黑体"/>
        </w:rPr>
        <w:t xml:space="preserve">6.4.4 </w:t>
      </w:r>
      <w:r>
        <w:rPr>
          <w:rFonts w:hint="eastAsia"/>
          <w:bCs/>
          <w:szCs w:val="21"/>
        </w:rPr>
        <w:t>预应力筋的张拉控制应力应符合设计要求，张拉时应保证同一构件中各根预应力筋的应力均匀一致。</w:t>
      </w:r>
    </w:p>
    <w:p>
      <w:pPr>
        <w:pStyle w:val="58"/>
        <w:ind w:firstLine="0" w:firstLineChars="0"/>
        <w:rPr>
          <w:rFonts w:ascii="黑体" w:hAnsi="黑体" w:eastAsia="黑体"/>
        </w:rPr>
      </w:pPr>
      <w:r>
        <w:rPr>
          <w:rFonts w:hint="eastAsia" w:ascii="黑体" w:hAnsi="黑体" w:eastAsia="黑体"/>
        </w:rPr>
        <w:t xml:space="preserve">6.4.5 </w:t>
      </w:r>
      <w:r>
        <w:rPr>
          <w:rFonts w:hint="eastAsia"/>
          <w:bCs/>
          <w:szCs w:val="21"/>
        </w:rPr>
        <w:t>张拉过程中，应避免预应力筋断裂或滑脱；当发生断裂或滑脱时，预应力筋必须予以更换。</w:t>
      </w:r>
    </w:p>
    <w:p>
      <w:pPr>
        <w:pStyle w:val="58"/>
        <w:ind w:firstLine="0" w:firstLineChars="0"/>
        <w:rPr>
          <w:bCs/>
          <w:szCs w:val="21"/>
        </w:rPr>
      </w:pPr>
      <w:r>
        <w:rPr>
          <w:rFonts w:hint="eastAsia" w:ascii="黑体" w:hAnsi="黑体" w:eastAsia="黑体"/>
        </w:rPr>
        <w:t xml:space="preserve">6.4.6 </w:t>
      </w:r>
      <w:r>
        <w:rPr>
          <w:rFonts w:hint="eastAsia"/>
          <w:bCs/>
          <w:szCs w:val="21"/>
        </w:rPr>
        <w:t>预应力筋张拉锚固后实际建立的预应力值与工程设计规定检验值的相对允许偏差应为±5%。</w:t>
      </w:r>
    </w:p>
    <w:p>
      <w:pPr>
        <w:pStyle w:val="58"/>
        <w:ind w:firstLine="0" w:firstLineChars="0"/>
        <w:rPr>
          <w:bCs/>
          <w:szCs w:val="21"/>
        </w:rPr>
      </w:pPr>
      <w:r>
        <w:rPr>
          <w:rFonts w:ascii="黑体" w:hAnsi="黑体" w:eastAsia="黑体"/>
        </w:rPr>
        <w:t>6</w:t>
      </w:r>
      <w:r>
        <w:rPr>
          <w:rFonts w:hint="eastAsia" w:ascii="黑体" w:hAnsi="黑体" w:eastAsia="黑体"/>
        </w:rPr>
        <w:t xml:space="preserve">.4.7 </w:t>
      </w:r>
      <w:r>
        <w:rPr>
          <w:rFonts w:hint="eastAsia"/>
          <w:bCs/>
          <w:szCs w:val="21"/>
        </w:rPr>
        <w:t>预应力筋放张时，混凝土强度应符合设计要求；当设计无具体要求时，不应低于混凝土设计强度等级值的75%，且不应小于30MPa。</w:t>
      </w:r>
    </w:p>
    <w:p>
      <w:pPr>
        <w:pStyle w:val="58"/>
        <w:ind w:firstLine="0" w:firstLineChars="0"/>
        <w:rPr>
          <w:bCs/>
          <w:szCs w:val="21"/>
        </w:rPr>
      </w:pPr>
      <w:r>
        <w:rPr>
          <w:rFonts w:ascii="黑体" w:hAnsi="黑体" w:eastAsia="黑体"/>
        </w:rPr>
        <w:t>6</w:t>
      </w:r>
      <w:r>
        <w:rPr>
          <w:rFonts w:hint="eastAsia" w:ascii="黑体" w:hAnsi="黑体" w:eastAsia="黑体"/>
        </w:rPr>
        <w:t>.4.8</w:t>
      </w:r>
      <w:r>
        <w:rPr>
          <w:rFonts w:hint="eastAsia"/>
          <w:bCs/>
          <w:szCs w:val="21"/>
        </w:rPr>
        <w:t xml:space="preserve"> 预应力筋放张时，宜缓慢放松锚固装置，使各根预应力筋同时缓慢放松。</w:t>
      </w:r>
    </w:p>
    <w:p>
      <w:pPr>
        <w:pStyle w:val="58"/>
        <w:spacing w:before="312" w:beforeLines="100" w:after="312" w:afterLines="100"/>
        <w:ind w:firstLine="0" w:firstLineChars="0"/>
        <w:outlineLvl w:val="1"/>
        <w:rPr>
          <w:rFonts w:ascii="黑体" w:hAnsi="黑体" w:eastAsia="黑体"/>
        </w:rPr>
      </w:pPr>
      <w:bookmarkStart w:id="114" w:name="_Toc142923609"/>
      <w:r>
        <w:rPr>
          <w:rFonts w:hint="eastAsia" w:ascii="黑体" w:hAnsi="黑体" w:eastAsia="黑体"/>
        </w:rPr>
        <w:t>6.5 混凝土</w:t>
      </w:r>
      <w:bookmarkEnd w:id="114"/>
    </w:p>
    <w:p>
      <w:pPr>
        <w:pStyle w:val="58"/>
        <w:ind w:firstLine="0" w:firstLineChars="0"/>
        <w:rPr>
          <w:bCs/>
          <w:szCs w:val="21"/>
        </w:rPr>
      </w:pPr>
      <w:r>
        <w:rPr>
          <w:rFonts w:hint="eastAsia" w:ascii="黑体" w:hAnsi="黑体" w:eastAsia="黑体"/>
        </w:rPr>
        <w:t xml:space="preserve">6.5.1 </w:t>
      </w:r>
      <w:r>
        <w:rPr>
          <w:rFonts w:hint="eastAsia"/>
          <w:bCs/>
          <w:szCs w:val="21"/>
        </w:rPr>
        <w:t>预制构件用混凝土的工作性能应根据产品类别和生产工艺要求确定，预制构件用混凝土原材料及配合比设计应符合国家现行标准《混凝土结构工程施工规范》GB 50666、《普通混凝土配合比设计规程》JGJ 55和《高强混凝土应用技术规程》JGJ/T 281等的规定。</w:t>
      </w:r>
    </w:p>
    <w:p>
      <w:pPr>
        <w:pStyle w:val="58"/>
        <w:ind w:firstLine="0" w:firstLineChars="0"/>
        <w:rPr>
          <w:bCs/>
          <w:szCs w:val="21"/>
        </w:rPr>
      </w:pPr>
      <w:r>
        <w:rPr>
          <w:rFonts w:hint="eastAsia" w:ascii="黑体" w:hAnsi="黑体" w:eastAsia="黑体"/>
        </w:rPr>
        <w:t xml:space="preserve">6.5.2 </w:t>
      </w:r>
      <w:r>
        <w:rPr>
          <w:rFonts w:hint="eastAsia"/>
          <w:bCs/>
          <w:szCs w:val="21"/>
        </w:rPr>
        <w:t>在混凝土浇筑前应进行预制构件的隐蔽工程检查，检查项目应包括下列内容：</w:t>
      </w:r>
    </w:p>
    <w:p>
      <w:pPr>
        <w:pStyle w:val="58"/>
        <w:ind w:left="840" w:leftChars="200" w:hanging="420" w:hangingChars="200"/>
      </w:pPr>
      <w:r>
        <w:t>a</w:t>
      </w:r>
      <w:r>
        <w:rPr>
          <w:rFonts w:hint="eastAsia"/>
        </w:rPr>
        <w:t xml:space="preserve">)  </w:t>
      </w:r>
      <w:r>
        <w:rPr>
          <w:rFonts w:hint="eastAsia"/>
          <w:bCs/>
          <w:szCs w:val="21"/>
        </w:rPr>
        <w:t>钢筋的牌号、规格、数量、位置、间距等；</w:t>
      </w:r>
    </w:p>
    <w:p>
      <w:pPr>
        <w:pStyle w:val="58"/>
        <w:ind w:left="840" w:leftChars="200" w:hanging="420" w:hangingChars="200"/>
        <w:rPr>
          <w:bCs/>
          <w:szCs w:val="21"/>
        </w:rPr>
      </w:pPr>
      <w:r>
        <w:t>b</w:t>
      </w:r>
      <w:r>
        <w:rPr>
          <w:rFonts w:hint="eastAsia"/>
        </w:rPr>
        <w:t xml:space="preserve">)  </w:t>
      </w:r>
      <w:r>
        <w:rPr>
          <w:rFonts w:hint="eastAsia"/>
          <w:bCs/>
          <w:szCs w:val="21"/>
        </w:rPr>
        <w:t>预应力筋的安装、定位和保护层厚度应符合设计要求；</w:t>
      </w:r>
    </w:p>
    <w:p>
      <w:pPr>
        <w:pStyle w:val="58"/>
        <w:ind w:left="840" w:leftChars="200" w:hanging="420" w:hangingChars="200"/>
        <w:rPr>
          <w:bCs/>
          <w:szCs w:val="21"/>
        </w:rPr>
      </w:pPr>
      <w:r>
        <w:t>c</w:t>
      </w:r>
      <w:r>
        <w:rPr>
          <w:rFonts w:hint="eastAsia"/>
        </w:rPr>
        <w:t xml:space="preserve">)  </w:t>
      </w:r>
      <w:r>
        <w:rPr>
          <w:rFonts w:hint="eastAsia"/>
          <w:bCs/>
          <w:szCs w:val="21"/>
        </w:rPr>
        <w:t>箍筋、横向钢筋的牌号、规格、数量、位置、间距，箍筋弯钩的弯折角度及平直段长度；</w:t>
      </w:r>
    </w:p>
    <w:p>
      <w:pPr>
        <w:pStyle w:val="58"/>
        <w:ind w:left="840" w:leftChars="200" w:hanging="420" w:hangingChars="200"/>
        <w:rPr>
          <w:bCs/>
          <w:szCs w:val="21"/>
        </w:rPr>
      </w:pPr>
      <w:r>
        <w:t>d</w:t>
      </w:r>
      <w:r>
        <w:rPr>
          <w:rFonts w:hint="eastAsia"/>
        </w:rPr>
        <w:t xml:space="preserve">)  </w:t>
      </w:r>
      <w:r>
        <w:rPr>
          <w:rFonts w:hint="eastAsia"/>
          <w:bCs/>
          <w:szCs w:val="21"/>
        </w:rPr>
        <w:t>预埋件、吊环、插筋的规格、数量、位置等；</w:t>
      </w:r>
    </w:p>
    <w:p>
      <w:pPr>
        <w:pStyle w:val="58"/>
        <w:ind w:left="840" w:leftChars="200" w:hanging="420" w:hangingChars="200"/>
        <w:rPr>
          <w:bCs/>
          <w:szCs w:val="21"/>
        </w:rPr>
      </w:pPr>
      <w:r>
        <w:t>e</w:t>
      </w:r>
      <w:r>
        <w:rPr>
          <w:rFonts w:hint="eastAsia"/>
        </w:rPr>
        <w:t xml:space="preserve">)  </w:t>
      </w:r>
      <w:r>
        <w:rPr>
          <w:rFonts w:hint="eastAsia"/>
          <w:bCs/>
          <w:szCs w:val="21"/>
        </w:rPr>
        <w:t>灌浆套筒、预留孔洞的规格、数量、位置等；</w:t>
      </w:r>
    </w:p>
    <w:p>
      <w:pPr>
        <w:pStyle w:val="58"/>
        <w:ind w:left="840" w:leftChars="200" w:hanging="420" w:hangingChars="200"/>
        <w:rPr>
          <w:bCs/>
          <w:szCs w:val="21"/>
        </w:rPr>
      </w:pPr>
      <w:r>
        <w:t>f</w:t>
      </w:r>
      <w:r>
        <w:rPr>
          <w:rFonts w:hint="eastAsia"/>
        </w:rPr>
        <w:t xml:space="preserve">)  </w:t>
      </w:r>
      <w:r>
        <w:rPr>
          <w:rFonts w:hint="eastAsia"/>
          <w:bCs/>
          <w:szCs w:val="21"/>
        </w:rPr>
        <w:t>钢筋混凝土保护层厚度；</w:t>
      </w:r>
    </w:p>
    <w:p>
      <w:pPr>
        <w:pStyle w:val="58"/>
        <w:ind w:left="840" w:leftChars="200" w:hanging="420" w:hangingChars="200"/>
        <w:rPr>
          <w:bCs/>
          <w:szCs w:val="21"/>
        </w:rPr>
      </w:pPr>
      <w:r>
        <w:t>g</w:t>
      </w:r>
      <w:r>
        <w:rPr>
          <w:rFonts w:hint="eastAsia"/>
        </w:rPr>
        <w:t xml:space="preserve">)  </w:t>
      </w:r>
      <w:r>
        <w:rPr>
          <w:rFonts w:hint="eastAsia"/>
          <w:bCs/>
          <w:szCs w:val="21"/>
        </w:rPr>
        <w:t>预埋管线、线盒的规格、数量、位置及固定措施。</w:t>
      </w:r>
    </w:p>
    <w:p>
      <w:pPr>
        <w:pStyle w:val="58"/>
        <w:ind w:firstLine="0" w:firstLineChars="0"/>
        <w:rPr>
          <w:bCs/>
          <w:szCs w:val="21"/>
        </w:rPr>
      </w:pPr>
      <w:r>
        <w:rPr>
          <w:rFonts w:hint="eastAsia" w:ascii="黑体" w:hAnsi="黑体" w:eastAsia="黑体"/>
        </w:rPr>
        <w:t>6.5.</w:t>
      </w:r>
      <w:r>
        <w:rPr>
          <w:rFonts w:ascii="黑体" w:hAnsi="黑体" w:eastAsia="黑体"/>
        </w:rPr>
        <w:t>3</w:t>
      </w:r>
      <w:r>
        <w:rPr>
          <w:rFonts w:hint="eastAsia" w:ascii="黑体" w:hAnsi="黑体" w:eastAsia="黑体"/>
        </w:rPr>
        <w:t xml:space="preserve"> </w:t>
      </w:r>
      <w:r>
        <w:rPr>
          <w:rFonts w:hint="eastAsia"/>
          <w:bCs/>
          <w:szCs w:val="21"/>
        </w:rPr>
        <w:t>混凝土应进行抗压强度检验，并应符合下列规定：</w:t>
      </w:r>
    </w:p>
    <w:p>
      <w:pPr>
        <w:pStyle w:val="58"/>
        <w:ind w:left="840" w:leftChars="200" w:hanging="420" w:hangingChars="200"/>
      </w:pPr>
      <w:r>
        <w:t>a</w:t>
      </w:r>
      <w:r>
        <w:rPr>
          <w:rFonts w:hint="eastAsia"/>
        </w:rPr>
        <w:t xml:space="preserve">)  </w:t>
      </w:r>
      <w:r>
        <w:rPr>
          <w:rFonts w:hint="eastAsia"/>
          <w:bCs/>
          <w:szCs w:val="21"/>
        </w:rPr>
        <w:t>混凝土检验试件应在浇筑地点取样制作；</w:t>
      </w:r>
    </w:p>
    <w:p>
      <w:pPr>
        <w:pStyle w:val="58"/>
        <w:ind w:left="840" w:leftChars="200" w:hanging="420" w:hangingChars="200"/>
        <w:rPr>
          <w:bCs/>
          <w:szCs w:val="21"/>
        </w:rPr>
      </w:pPr>
      <w:r>
        <w:t>b</w:t>
      </w:r>
      <w:r>
        <w:rPr>
          <w:rFonts w:hint="eastAsia"/>
        </w:rPr>
        <w:t xml:space="preserve">)  </w:t>
      </w:r>
      <w:r>
        <w:rPr>
          <w:rFonts w:hint="eastAsia"/>
          <w:bCs/>
          <w:szCs w:val="21"/>
        </w:rPr>
        <w:t>每拌制100盘且不超过100m³的同一配合比混凝土，每工作班拌制的同一配合比的混凝土不足100盘为一批；</w:t>
      </w:r>
    </w:p>
    <w:p>
      <w:pPr>
        <w:pStyle w:val="58"/>
        <w:ind w:left="840" w:leftChars="200" w:hanging="420" w:hangingChars="200"/>
        <w:rPr>
          <w:bCs/>
          <w:szCs w:val="21"/>
        </w:rPr>
      </w:pPr>
      <w:r>
        <w:t>c</w:t>
      </w:r>
      <w:r>
        <w:rPr>
          <w:rFonts w:hint="eastAsia"/>
        </w:rPr>
        <w:t xml:space="preserve">)  </w:t>
      </w:r>
      <w:r>
        <w:rPr>
          <w:rFonts w:hint="eastAsia"/>
          <w:bCs/>
          <w:szCs w:val="21"/>
        </w:rPr>
        <w:t>每批制作强度检验试块不少于3组、随机抽取1组进行同条件转标准养护后进行强度检验，其余可作为同条件试件在预制构件脱模和出厂时控制其混凝土强度；还可根据预制构件吊装、张拉和放张等要求，留置足够数量的同条件混凝土试块进行强度检验。</w:t>
      </w:r>
    </w:p>
    <w:p>
      <w:pPr>
        <w:pStyle w:val="58"/>
        <w:ind w:firstLine="0" w:firstLineChars="0"/>
        <w:rPr>
          <w:bCs/>
          <w:szCs w:val="21"/>
        </w:rPr>
      </w:pPr>
      <w:r>
        <w:rPr>
          <w:rFonts w:hint="eastAsia" w:ascii="黑体" w:hAnsi="黑体" w:eastAsia="黑体"/>
        </w:rPr>
        <w:t>6.5.</w:t>
      </w:r>
      <w:r>
        <w:rPr>
          <w:rFonts w:ascii="黑体" w:hAnsi="黑体" w:eastAsia="黑体"/>
        </w:rPr>
        <w:t>4</w:t>
      </w:r>
      <w:r>
        <w:rPr>
          <w:rFonts w:hint="eastAsia" w:ascii="黑体" w:hAnsi="黑体" w:eastAsia="黑体"/>
        </w:rPr>
        <w:t xml:space="preserve"> </w:t>
      </w:r>
      <w:r>
        <w:rPr>
          <w:rFonts w:hint="eastAsia"/>
          <w:bCs/>
          <w:szCs w:val="21"/>
        </w:rPr>
        <w:t>混凝土浇筑完毕后，应及时进行养护，可采用自然养护或蒸汽养护方式。采用自然养护时应覆盖保湿；采用蒸汽养护时应符合下列规定：</w:t>
      </w:r>
    </w:p>
    <w:p>
      <w:pPr>
        <w:pStyle w:val="58"/>
        <w:ind w:left="840" w:leftChars="200" w:hanging="420" w:hangingChars="200"/>
      </w:pPr>
      <w:r>
        <w:t>a</w:t>
      </w:r>
      <w:r>
        <w:rPr>
          <w:rFonts w:hint="eastAsia"/>
        </w:rPr>
        <w:t xml:space="preserve">)  </w:t>
      </w:r>
      <w:r>
        <w:rPr>
          <w:rFonts w:hint="eastAsia"/>
          <w:bCs/>
          <w:szCs w:val="21"/>
        </w:rPr>
        <w:t>养护制度应通过试验确定，宜采用养护温度自动控制装置；</w:t>
      </w:r>
    </w:p>
    <w:p>
      <w:pPr>
        <w:pStyle w:val="58"/>
        <w:ind w:left="840" w:leftChars="200" w:hanging="420" w:hangingChars="200"/>
        <w:rPr>
          <w:bCs/>
          <w:szCs w:val="21"/>
        </w:rPr>
      </w:pPr>
      <w:r>
        <w:t>b</w:t>
      </w:r>
      <w:r>
        <w:rPr>
          <w:rFonts w:hint="eastAsia"/>
        </w:rPr>
        <w:t xml:space="preserve">)  </w:t>
      </w:r>
      <w:r>
        <w:rPr>
          <w:rFonts w:hint="eastAsia"/>
          <w:bCs/>
          <w:szCs w:val="21"/>
        </w:rPr>
        <w:t>应分为静停、升温、恒温和降温四个养护阶段，需要控制静停时间、升温速度、降温速度、恒温时的最高温度；宜在常温下静停2h～6h，升、降温速度不应超过20℃/h，最高养护温度不宜超过70℃；</w:t>
      </w:r>
    </w:p>
    <w:p>
      <w:pPr>
        <w:pStyle w:val="58"/>
        <w:ind w:left="840" w:leftChars="200" w:hanging="420" w:hangingChars="200"/>
        <w:rPr>
          <w:bCs/>
          <w:szCs w:val="21"/>
        </w:rPr>
      </w:pPr>
      <w:r>
        <w:t>c</w:t>
      </w:r>
      <w:r>
        <w:rPr>
          <w:rFonts w:hint="eastAsia"/>
        </w:rPr>
        <w:t xml:space="preserve">)  </w:t>
      </w:r>
      <w:r>
        <w:rPr>
          <w:rFonts w:hint="eastAsia"/>
          <w:bCs/>
          <w:szCs w:val="21"/>
        </w:rPr>
        <w:t>预制构件出池的表面温度与环境温度的差值不宜超过25℃。</w:t>
      </w:r>
    </w:p>
    <w:p>
      <w:pPr>
        <w:pStyle w:val="58"/>
        <w:ind w:firstLine="0" w:firstLineChars="0"/>
      </w:pPr>
    </w:p>
    <w:p>
      <w:pPr>
        <w:pStyle w:val="58"/>
        <w:spacing w:before="312" w:beforeLines="100" w:after="312" w:afterLines="100"/>
        <w:ind w:firstLine="0" w:firstLineChars="0"/>
        <w:outlineLvl w:val="1"/>
        <w:rPr>
          <w:rFonts w:ascii="黑体" w:hAnsi="黑体" w:eastAsia="黑体"/>
        </w:rPr>
      </w:pPr>
      <w:bookmarkStart w:id="115" w:name="_Toc142923610"/>
      <w:r>
        <w:rPr>
          <w:rFonts w:hint="eastAsia" w:ascii="黑体" w:hAnsi="黑体" w:eastAsia="黑体"/>
        </w:rPr>
        <w:t>6.6 堆放与运输</w:t>
      </w:r>
      <w:bookmarkEnd w:id="115"/>
    </w:p>
    <w:p>
      <w:pPr>
        <w:pStyle w:val="58"/>
        <w:ind w:firstLine="0" w:firstLineChars="0"/>
        <w:rPr>
          <w:rFonts w:ascii="黑体" w:hAnsi="黑体" w:eastAsia="黑体"/>
        </w:rPr>
      </w:pPr>
      <w:r>
        <w:rPr>
          <w:rFonts w:hint="eastAsia" w:ascii="黑体" w:hAnsi="黑体" w:eastAsia="黑体"/>
        </w:rPr>
        <w:t xml:space="preserve">6.6.1 </w:t>
      </w:r>
      <w:r>
        <w:rPr>
          <w:rFonts w:hint="eastAsia"/>
          <w:bCs/>
          <w:szCs w:val="21"/>
        </w:rPr>
        <w:t>预制构件厂内起吊、运输时，混凝土强度必须符合设计要求。</w:t>
      </w:r>
    </w:p>
    <w:p>
      <w:pPr>
        <w:pStyle w:val="58"/>
        <w:ind w:firstLine="0" w:firstLineChars="0"/>
        <w:rPr>
          <w:bCs/>
          <w:szCs w:val="21"/>
        </w:rPr>
      </w:pPr>
      <w:r>
        <w:rPr>
          <w:rFonts w:hint="eastAsia" w:ascii="黑体" w:hAnsi="黑体" w:eastAsia="黑体"/>
        </w:rPr>
        <w:t xml:space="preserve">6.6.2 </w:t>
      </w:r>
      <w:r>
        <w:rPr>
          <w:rFonts w:hint="eastAsia"/>
          <w:bCs/>
          <w:szCs w:val="21"/>
        </w:rPr>
        <w:t>预制构件堆放应符合下列规定：</w:t>
      </w:r>
    </w:p>
    <w:p>
      <w:pPr>
        <w:pStyle w:val="58"/>
        <w:ind w:left="840" w:leftChars="200" w:hanging="420" w:hangingChars="200"/>
        <w:rPr>
          <w:bCs/>
          <w:szCs w:val="21"/>
        </w:rPr>
      </w:pPr>
      <w:r>
        <w:t>a</w:t>
      </w:r>
      <w:r>
        <w:rPr>
          <w:rFonts w:hint="eastAsia"/>
        </w:rPr>
        <w:t>)</w:t>
      </w:r>
      <w:r>
        <w:tab/>
      </w:r>
      <w:r>
        <w:rPr>
          <w:rFonts w:hint="eastAsia"/>
          <w:bCs/>
          <w:szCs w:val="21"/>
        </w:rPr>
        <w:t>堆放预制构件的场地应平整坚实，并应有排水措施；</w:t>
      </w:r>
    </w:p>
    <w:p>
      <w:pPr>
        <w:pStyle w:val="58"/>
        <w:ind w:left="840" w:leftChars="200" w:hanging="420" w:hangingChars="200"/>
        <w:rPr>
          <w:bCs/>
          <w:szCs w:val="21"/>
        </w:rPr>
      </w:pPr>
      <w:r>
        <w:t>b</w:t>
      </w:r>
      <w:r>
        <w:rPr>
          <w:rFonts w:hint="eastAsia"/>
        </w:rPr>
        <w:t xml:space="preserve">)  </w:t>
      </w:r>
      <w:r>
        <w:rPr>
          <w:rFonts w:hint="eastAsia"/>
          <w:bCs/>
          <w:szCs w:val="21"/>
        </w:rPr>
        <w:t>预制构件应根据类型、形状、承载力等情况，选择平放或立放，并确保堆放稳定；</w:t>
      </w:r>
    </w:p>
    <w:p>
      <w:pPr>
        <w:pStyle w:val="58"/>
        <w:ind w:left="840" w:leftChars="200" w:hanging="420" w:hangingChars="200"/>
        <w:rPr>
          <w:bCs/>
          <w:szCs w:val="21"/>
        </w:rPr>
      </w:pPr>
      <w:r>
        <w:rPr>
          <w:rFonts w:hint="eastAsia"/>
        </w:rPr>
        <w:t xml:space="preserve">c)  </w:t>
      </w:r>
      <w:r>
        <w:rPr>
          <w:rFonts w:hint="eastAsia"/>
          <w:bCs/>
          <w:szCs w:val="21"/>
        </w:rPr>
        <w:t>重叠堆放的预制构件，预埋吊件应朝上，标识应向外；堆垛高度应根据构件与垫木的承载能力及堆垛的稳定性确定；各层垫木的位置应在一条垂直线上；重叠堆放层数不宜超过表</w:t>
      </w:r>
      <w:r>
        <w:rPr>
          <w:bCs/>
          <w:szCs w:val="21"/>
        </w:rPr>
        <w:t>10</w:t>
      </w:r>
      <w:r>
        <w:rPr>
          <w:rFonts w:hint="eastAsia"/>
          <w:bCs/>
          <w:szCs w:val="21"/>
        </w:rPr>
        <w:t>的规定；</w:t>
      </w:r>
    </w:p>
    <w:p>
      <w:pPr>
        <w:pStyle w:val="58"/>
        <w:spacing w:before="156" w:beforeLines="50" w:after="156" w:afterLines="50"/>
        <w:ind w:firstLine="0" w:firstLineChars="0"/>
        <w:jc w:val="center"/>
        <w:rPr>
          <w:rFonts w:ascii="黑体" w:hAnsi="黑体" w:eastAsia="黑体"/>
        </w:rPr>
      </w:pPr>
      <w:r>
        <w:rPr>
          <w:rFonts w:ascii="黑体" w:hAnsi="黑体" w:eastAsia="黑体"/>
        </w:rPr>
        <w:t xml:space="preserve">表10 </w:t>
      </w:r>
      <w:r>
        <w:rPr>
          <w:rFonts w:hint="eastAsia" w:ascii="黑体" w:hAnsi="黑体" w:eastAsia="黑体"/>
        </w:rPr>
        <w:t>预制构件叠放层数</w:t>
      </w:r>
    </w:p>
    <w:tbl>
      <w:tblPr>
        <w:tblStyle w:val="28"/>
        <w:tblW w:w="8521"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3329"/>
        <w:gridCol w:w="1624"/>
        <w:gridCol w:w="356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329" w:type="dxa"/>
            <w:tcBorders>
              <w:top w:val="single" w:color="auto" w:sz="12" w:space="0"/>
              <w:left w:val="single" w:color="auto" w:sz="12" w:space="0"/>
              <w:bottom w:val="single" w:color="auto" w:sz="12" w:space="0"/>
              <w:right w:val="single" w:color="auto" w:sz="4" w:space="0"/>
            </w:tcBorders>
            <w:vAlign w:val="center"/>
          </w:tcPr>
          <w:p>
            <w:pPr>
              <w:pStyle w:val="236"/>
              <w:autoSpaceDE w:val="0"/>
              <w:spacing w:line="240" w:lineRule="auto"/>
              <w:jc w:val="center"/>
              <w:rPr>
                <w:rFonts w:ascii="宋体" w:hAnsi="宋体"/>
                <w:sz w:val="18"/>
                <w:szCs w:val="18"/>
              </w:rPr>
            </w:pPr>
            <w:bookmarkStart w:id="116" w:name="_Toc142923611"/>
            <w:r>
              <w:rPr>
                <w:rFonts w:hint="eastAsia" w:ascii="宋体" w:hAnsi="宋体"/>
                <w:sz w:val="18"/>
                <w:szCs w:val="18"/>
              </w:rPr>
              <w:t>构件名称</w:t>
            </w:r>
            <w:bookmarkEnd w:id="116"/>
          </w:p>
        </w:tc>
        <w:tc>
          <w:tcPr>
            <w:tcW w:w="1624" w:type="dxa"/>
            <w:tcBorders>
              <w:top w:val="single" w:color="auto" w:sz="12" w:space="0"/>
              <w:left w:val="single" w:color="auto" w:sz="4" w:space="0"/>
              <w:bottom w:val="single" w:color="auto" w:sz="12" w:space="0"/>
              <w:right w:val="single" w:color="auto" w:sz="4" w:space="0"/>
            </w:tcBorders>
            <w:vAlign w:val="center"/>
          </w:tcPr>
          <w:p>
            <w:pPr>
              <w:pStyle w:val="236"/>
              <w:autoSpaceDE w:val="0"/>
              <w:spacing w:line="240" w:lineRule="auto"/>
              <w:jc w:val="center"/>
              <w:rPr>
                <w:rFonts w:ascii="宋体" w:hAnsi="宋体"/>
                <w:sz w:val="18"/>
                <w:szCs w:val="18"/>
              </w:rPr>
            </w:pPr>
            <w:bookmarkStart w:id="117" w:name="_Toc142923612"/>
            <w:r>
              <w:rPr>
                <w:rFonts w:hint="eastAsia" w:ascii="宋体" w:hAnsi="宋体"/>
                <w:sz w:val="18"/>
                <w:szCs w:val="18"/>
              </w:rPr>
              <w:t>叠放层数</w:t>
            </w:r>
            <w:bookmarkEnd w:id="117"/>
          </w:p>
        </w:tc>
        <w:tc>
          <w:tcPr>
            <w:tcW w:w="3568" w:type="dxa"/>
            <w:tcBorders>
              <w:top w:val="single" w:color="auto" w:sz="12" w:space="0"/>
              <w:left w:val="single" w:color="auto" w:sz="4" w:space="0"/>
              <w:bottom w:val="single" w:color="auto" w:sz="12" w:space="0"/>
              <w:right w:val="single" w:color="auto" w:sz="12" w:space="0"/>
            </w:tcBorders>
            <w:vAlign w:val="center"/>
          </w:tcPr>
          <w:p>
            <w:pPr>
              <w:pStyle w:val="236"/>
              <w:autoSpaceDE w:val="0"/>
              <w:spacing w:line="240" w:lineRule="auto"/>
              <w:jc w:val="center"/>
              <w:rPr>
                <w:rFonts w:ascii="宋体" w:hAnsi="宋体"/>
                <w:sz w:val="18"/>
                <w:szCs w:val="18"/>
              </w:rPr>
            </w:pPr>
            <w:bookmarkStart w:id="118" w:name="_Toc142923613"/>
            <w:r>
              <w:rPr>
                <w:rFonts w:hint="eastAsia" w:ascii="宋体" w:hAnsi="宋体"/>
                <w:sz w:val="18"/>
                <w:szCs w:val="18"/>
              </w:rPr>
              <w:t>备注</w:t>
            </w:r>
            <w:bookmarkEnd w:id="118"/>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329" w:type="dxa"/>
            <w:tcBorders>
              <w:top w:val="single" w:color="auto" w:sz="12" w:space="0"/>
              <w:left w:val="single" w:color="auto" w:sz="12" w:space="0"/>
              <w:bottom w:val="single" w:color="auto" w:sz="4" w:space="0"/>
              <w:right w:val="single" w:color="auto" w:sz="4" w:space="0"/>
            </w:tcBorders>
            <w:vAlign w:val="center"/>
          </w:tcPr>
          <w:p>
            <w:pPr>
              <w:pStyle w:val="236"/>
              <w:autoSpaceDE w:val="0"/>
              <w:spacing w:line="240" w:lineRule="auto"/>
              <w:jc w:val="center"/>
              <w:rPr>
                <w:rFonts w:ascii="宋体" w:hAnsi="宋体"/>
                <w:sz w:val="18"/>
                <w:szCs w:val="18"/>
              </w:rPr>
            </w:pPr>
            <w:bookmarkStart w:id="119" w:name="_Toc142923614"/>
            <w:r>
              <w:rPr>
                <w:rFonts w:hint="eastAsia" w:ascii="宋体" w:hAnsi="宋体"/>
                <w:sz w:val="18"/>
                <w:szCs w:val="18"/>
              </w:rPr>
              <w:t>预制预应力混凝土叠合梁</w:t>
            </w:r>
            <w:bookmarkEnd w:id="119"/>
          </w:p>
        </w:tc>
        <w:tc>
          <w:tcPr>
            <w:tcW w:w="1624" w:type="dxa"/>
            <w:tcBorders>
              <w:top w:val="single" w:color="auto" w:sz="12" w:space="0"/>
              <w:left w:val="single" w:color="auto" w:sz="4" w:space="0"/>
              <w:bottom w:val="single" w:color="auto" w:sz="4" w:space="0"/>
              <w:right w:val="single" w:color="auto" w:sz="4" w:space="0"/>
            </w:tcBorders>
            <w:vAlign w:val="center"/>
          </w:tcPr>
          <w:p>
            <w:pPr>
              <w:pStyle w:val="236"/>
              <w:autoSpaceDE w:val="0"/>
              <w:spacing w:line="240" w:lineRule="auto"/>
              <w:jc w:val="center"/>
              <w:rPr>
                <w:rFonts w:ascii="宋体" w:hAnsi="宋体"/>
                <w:sz w:val="18"/>
                <w:szCs w:val="18"/>
              </w:rPr>
            </w:pPr>
            <w:bookmarkStart w:id="120" w:name="_Toc142923615"/>
            <w:r>
              <w:rPr>
                <w:rFonts w:hint="eastAsia" w:ascii="宋体" w:hAnsi="宋体"/>
                <w:sz w:val="18"/>
                <w:szCs w:val="18"/>
              </w:rPr>
              <w:t>3</w:t>
            </w:r>
            <w:bookmarkEnd w:id="120"/>
          </w:p>
        </w:tc>
        <w:tc>
          <w:tcPr>
            <w:tcW w:w="3568" w:type="dxa"/>
            <w:tcBorders>
              <w:top w:val="single" w:color="auto" w:sz="12" w:space="0"/>
              <w:left w:val="single" w:color="auto" w:sz="4" w:space="0"/>
              <w:bottom w:val="single" w:color="auto" w:sz="4" w:space="0"/>
              <w:right w:val="single" w:color="auto" w:sz="12" w:space="0"/>
            </w:tcBorders>
            <w:vAlign w:val="center"/>
          </w:tcPr>
          <w:p>
            <w:pPr>
              <w:pStyle w:val="236"/>
              <w:autoSpaceDE w:val="0"/>
              <w:spacing w:line="240" w:lineRule="auto"/>
              <w:jc w:val="center"/>
              <w:rPr>
                <w:rFonts w:ascii="宋体" w:hAnsi="宋体"/>
                <w:sz w:val="18"/>
                <w:szCs w:val="18"/>
              </w:rPr>
            </w:pPr>
            <w:bookmarkStart w:id="121" w:name="_Toc142923616"/>
            <w:r>
              <w:rPr>
                <w:rFonts w:ascii="宋体" w:hAnsi="宋体"/>
                <w:sz w:val="18"/>
                <w:szCs w:val="18"/>
              </w:rPr>
              <w:softHyphen/>
            </w:r>
            <w:r>
              <w:rPr>
                <w:rFonts w:ascii="宋体" w:hAnsi="宋体"/>
                <w:sz w:val="18"/>
                <w:szCs w:val="18"/>
              </w:rPr>
              <w:t>——</w:t>
            </w:r>
            <w:bookmarkEnd w:id="121"/>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329" w:type="dxa"/>
            <w:tcBorders>
              <w:top w:val="single" w:color="auto" w:sz="4" w:space="0"/>
              <w:left w:val="single" w:color="auto" w:sz="12" w:space="0"/>
              <w:bottom w:val="single" w:color="auto" w:sz="4" w:space="0"/>
              <w:right w:val="single" w:color="auto" w:sz="4" w:space="0"/>
            </w:tcBorders>
            <w:vAlign w:val="center"/>
          </w:tcPr>
          <w:p>
            <w:pPr>
              <w:pStyle w:val="236"/>
              <w:autoSpaceDE w:val="0"/>
              <w:spacing w:line="240" w:lineRule="auto"/>
              <w:jc w:val="center"/>
              <w:rPr>
                <w:rFonts w:ascii="宋体" w:hAnsi="宋体"/>
                <w:sz w:val="18"/>
                <w:szCs w:val="18"/>
              </w:rPr>
            </w:pPr>
            <w:bookmarkStart w:id="122" w:name="_Toc142923617"/>
            <w:r>
              <w:rPr>
                <w:rFonts w:hint="eastAsia" w:ascii="宋体" w:hAnsi="宋体"/>
                <w:sz w:val="18"/>
                <w:szCs w:val="18"/>
              </w:rPr>
              <w:t>预制预应力混凝土叠合板</w:t>
            </w:r>
            <w:bookmarkEnd w:id="122"/>
          </w:p>
        </w:tc>
        <w:tc>
          <w:tcPr>
            <w:tcW w:w="1624" w:type="dxa"/>
            <w:tcBorders>
              <w:top w:val="single" w:color="auto" w:sz="4" w:space="0"/>
              <w:left w:val="single" w:color="auto" w:sz="4" w:space="0"/>
              <w:bottom w:val="single" w:color="auto" w:sz="4" w:space="0"/>
              <w:right w:val="single" w:color="auto" w:sz="4" w:space="0"/>
            </w:tcBorders>
            <w:vAlign w:val="center"/>
          </w:tcPr>
          <w:p>
            <w:pPr>
              <w:pStyle w:val="236"/>
              <w:autoSpaceDE w:val="0"/>
              <w:spacing w:line="240" w:lineRule="auto"/>
              <w:jc w:val="center"/>
              <w:rPr>
                <w:rFonts w:ascii="宋体" w:hAnsi="宋体"/>
                <w:sz w:val="18"/>
                <w:szCs w:val="18"/>
              </w:rPr>
            </w:pPr>
            <w:bookmarkStart w:id="123" w:name="_Toc142923618"/>
            <w:r>
              <w:rPr>
                <w:rFonts w:hint="eastAsia" w:ascii="宋体" w:hAnsi="宋体"/>
                <w:sz w:val="18"/>
                <w:szCs w:val="18"/>
              </w:rPr>
              <w:t>6</w:t>
            </w:r>
            <w:bookmarkEnd w:id="123"/>
          </w:p>
        </w:tc>
        <w:tc>
          <w:tcPr>
            <w:tcW w:w="3568" w:type="dxa"/>
            <w:tcBorders>
              <w:top w:val="single" w:color="auto" w:sz="4" w:space="0"/>
              <w:left w:val="single" w:color="auto" w:sz="4" w:space="0"/>
              <w:bottom w:val="single" w:color="auto" w:sz="4" w:space="0"/>
              <w:right w:val="single" w:color="auto" w:sz="12" w:space="0"/>
            </w:tcBorders>
            <w:vAlign w:val="center"/>
          </w:tcPr>
          <w:p>
            <w:pPr>
              <w:pStyle w:val="236"/>
              <w:autoSpaceDE w:val="0"/>
              <w:spacing w:line="240" w:lineRule="auto"/>
              <w:jc w:val="center"/>
              <w:rPr>
                <w:rFonts w:ascii="宋体" w:hAnsi="宋体"/>
                <w:sz w:val="18"/>
                <w:szCs w:val="18"/>
              </w:rPr>
            </w:pPr>
            <w:bookmarkStart w:id="124" w:name="_Toc142923619"/>
            <w:r>
              <w:rPr>
                <w:rFonts w:ascii="宋体" w:hAnsi="宋体"/>
                <w:sz w:val="18"/>
                <w:szCs w:val="18"/>
              </w:rPr>
              <w:t>——</w:t>
            </w:r>
            <w:bookmarkEnd w:id="124"/>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329" w:type="dxa"/>
            <w:tcBorders>
              <w:top w:val="single" w:color="auto" w:sz="4" w:space="0"/>
              <w:left w:val="single" w:color="auto" w:sz="12" w:space="0"/>
              <w:bottom w:val="single" w:color="auto" w:sz="4" w:space="0"/>
              <w:right w:val="single" w:color="auto" w:sz="4" w:space="0"/>
            </w:tcBorders>
            <w:vAlign w:val="center"/>
          </w:tcPr>
          <w:p>
            <w:pPr>
              <w:pStyle w:val="236"/>
              <w:autoSpaceDE w:val="0"/>
              <w:spacing w:line="240" w:lineRule="auto"/>
              <w:jc w:val="center"/>
              <w:rPr>
                <w:rFonts w:ascii="宋体" w:hAnsi="宋体"/>
                <w:sz w:val="18"/>
                <w:szCs w:val="18"/>
              </w:rPr>
            </w:pPr>
            <w:bookmarkStart w:id="125" w:name="_Toc142923620"/>
            <w:r>
              <w:rPr>
                <w:rFonts w:hint="eastAsia" w:ascii="宋体" w:hAnsi="宋体"/>
                <w:sz w:val="18"/>
                <w:szCs w:val="18"/>
              </w:rPr>
              <w:t>预制柱</w:t>
            </w:r>
            <w:bookmarkEnd w:id="125"/>
          </w:p>
        </w:tc>
        <w:tc>
          <w:tcPr>
            <w:tcW w:w="1624" w:type="dxa"/>
            <w:tcBorders>
              <w:top w:val="single" w:color="auto" w:sz="4" w:space="0"/>
              <w:left w:val="single" w:color="auto" w:sz="4" w:space="0"/>
              <w:bottom w:val="single" w:color="auto" w:sz="4" w:space="0"/>
              <w:right w:val="single" w:color="auto" w:sz="4" w:space="0"/>
            </w:tcBorders>
            <w:vAlign w:val="center"/>
          </w:tcPr>
          <w:p>
            <w:pPr>
              <w:pStyle w:val="236"/>
              <w:autoSpaceDE w:val="0"/>
              <w:spacing w:line="240" w:lineRule="auto"/>
              <w:jc w:val="center"/>
              <w:rPr>
                <w:rFonts w:ascii="宋体" w:hAnsi="宋体"/>
                <w:sz w:val="18"/>
                <w:szCs w:val="18"/>
              </w:rPr>
            </w:pPr>
            <w:bookmarkStart w:id="126" w:name="_Toc142923621"/>
            <w:r>
              <w:rPr>
                <w:rFonts w:hint="eastAsia" w:ascii="宋体" w:hAnsi="宋体"/>
                <w:sz w:val="18"/>
                <w:szCs w:val="18"/>
              </w:rPr>
              <w:t>3</w:t>
            </w:r>
            <w:bookmarkEnd w:id="126"/>
          </w:p>
        </w:tc>
        <w:tc>
          <w:tcPr>
            <w:tcW w:w="3568" w:type="dxa"/>
            <w:tcBorders>
              <w:top w:val="single" w:color="auto" w:sz="4" w:space="0"/>
              <w:left w:val="single" w:color="auto" w:sz="4" w:space="0"/>
              <w:bottom w:val="single" w:color="auto" w:sz="4" w:space="0"/>
              <w:right w:val="single" w:color="auto" w:sz="12" w:space="0"/>
            </w:tcBorders>
            <w:vAlign w:val="center"/>
          </w:tcPr>
          <w:p>
            <w:pPr>
              <w:pStyle w:val="236"/>
              <w:autoSpaceDE w:val="0"/>
              <w:spacing w:line="240" w:lineRule="auto"/>
              <w:jc w:val="center"/>
              <w:rPr>
                <w:rFonts w:ascii="宋体" w:hAnsi="宋体"/>
                <w:sz w:val="18"/>
                <w:szCs w:val="18"/>
              </w:rPr>
            </w:pPr>
            <w:bookmarkStart w:id="127" w:name="_Toc142923622"/>
            <w:r>
              <w:rPr>
                <w:rFonts w:ascii="宋体" w:hAnsi="宋体"/>
                <w:sz w:val="18"/>
                <w:szCs w:val="18"/>
              </w:rPr>
              <w:t>——</w:t>
            </w:r>
            <w:bookmarkEnd w:id="127"/>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329" w:type="dxa"/>
            <w:tcBorders>
              <w:top w:val="single" w:color="auto" w:sz="4" w:space="0"/>
              <w:left w:val="single" w:color="auto" w:sz="12" w:space="0"/>
              <w:bottom w:val="single" w:color="auto" w:sz="4" w:space="0"/>
              <w:right w:val="single" w:color="auto" w:sz="4" w:space="0"/>
            </w:tcBorders>
            <w:vAlign w:val="center"/>
          </w:tcPr>
          <w:p>
            <w:pPr>
              <w:pStyle w:val="236"/>
              <w:autoSpaceDE w:val="0"/>
              <w:spacing w:line="240" w:lineRule="auto"/>
              <w:jc w:val="center"/>
              <w:rPr>
                <w:rFonts w:ascii="宋体" w:hAnsi="宋体"/>
                <w:sz w:val="18"/>
                <w:szCs w:val="18"/>
              </w:rPr>
            </w:pPr>
            <w:bookmarkStart w:id="128" w:name="_Toc142923623"/>
            <w:r>
              <w:rPr>
                <w:rFonts w:hint="eastAsia" w:ascii="宋体" w:hAnsi="宋体"/>
                <w:sz w:val="18"/>
                <w:szCs w:val="18"/>
              </w:rPr>
              <w:t>预制剪力墙</w:t>
            </w:r>
            <w:bookmarkEnd w:id="128"/>
          </w:p>
        </w:tc>
        <w:tc>
          <w:tcPr>
            <w:tcW w:w="1624" w:type="dxa"/>
            <w:tcBorders>
              <w:top w:val="single" w:color="auto" w:sz="4" w:space="0"/>
              <w:left w:val="single" w:color="auto" w:sz="4" w:space="0"/>
              <w:bottom w:val="single" w:color="auto" w:sz="4" w:space="0"/>
              <w:right w:val="single" w:color="auto" w:sz="4" w:space="0"/>
            </w:tcBorders>
            <w:vAlign w:val="center"/>
          </w:tcPr>
          <w:p>
            <w:pPr>
              <w:pStyle w:val="236"/>
              <w:autoSpaceDE w:val="0"/>
              <w:spacing w:line="240" w:lineRule="auto"/>
              <w:jc w:val="center"/>
              <w:rPr>
                <w:rFonts w:ascii="宋体" w:hAnsi="宋体"/>
                <w:sz w:val="18"/>
                <w:szCs w:val="18"/>
              </w:rPr>
            </w:pPr>
            <w:bookmarkStart w:id="129" w:name="_Toc142923624"/>
            <w:r>
              <w:rPr>
                <w:rFonts w:hint="eastAsia" w:ascii="宋体" w:hAnsi="宋体"/>
                <w:sz w:val="18"/>
                <w:szCs w:val="18"/>
              </w:rPr>
              <w:t>3</w:t>
            </w:r>
            <w:bookmarkEnd w:id="129"/>
          </w:p>
        </w:tc>
        <w:tc>
          <w:tcPr>
            <w:tcW w:w="3568" w:type="dxa"/>
            <w:tcBorders>
              <w:top w:val="single" w:color="auto" w:sz="4" w:space="0"/>
              <w:left w:val="single" w:color="auto" w:sz="4" w:space="0"/>
              <w:bottom w:val="single" w:color="auto" w:sz="4" w:space="0"/>
              <w:right w:val="single" w:color="auto" w:sz="12" w:space="0"/>
            </w:tcBorders>
            <w:vAlign w:val="center"/>
          </w:tcPr>
          <w:p>
            <w:pPr>
              <w:pStyle w:val="236"/>
              <w:autoSpaceDE w:val="0"/>
              <w:spacing w:line="240" w:lineRule="auto"/>
              <w:jc w:val="center"/>
              <w:rPr>
                <w:rFonts w:ascii="宋体" w:hAnsi="宋体"/>
                <w:sz w:val="18"/>
                <w:szCs w:val="18"/>
              </w:rPr>
            </w:pPr>
            <w:bookmarkStart w:id="130" w:name="_Toc142923625"/>
            <w:r>
              <w:rPr>
                <w:rFonts w:hint="eastAsia" w:ascii="宋体" w:hAnsi="宋体"/>
                <w:sz w:val="18"/>
                <w:szCs w:val="18"/>
              </w:rPr>
              <w:t>预制剪力墙无较大门窗等预留洞口时可采用叠放方式</w:t>
            </w:r>
            <w:bookmarkEnd w:id="130"/>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329" w:type="dxa"/>
            <w:tcBorders>
              <w:top w:val="single" w:color="auto" w:sz="4" w:space="0"/>
              <w:left w:val="single" w:color="auto" w:sz="12" w:space="0"/>
              <w:bottom w:val="single" w:color="auto" w:sz="4" w:space="0"/>
              <w:right w:val="single" w:color="auto" w:sz="4" w:space="0"/>
            </w:tcBorders>
            <w:vAlign w:val="center"/>
          </w:tcPr>
          <w:p>
            <w:pPr>
              <w:pStyle w:val="236"/>
              <w:autoSpaceDE w:val="0"/>
              <w:spacing w:line="240" w:lineRule="auto"/>
              <w:jc w:val="center"/>
              <w:rPr>
                <w:rFonts w:ascii="宋体" w:hAnsi="宋体"/>
                <w:sz w:val="18"/>
                <w:szCs w:val="18"/>
              </w:rPr>
            </w:pPr>
            <w:bookmarkStart w:id="131" w:name="_Toc142923626"/>
            <w:r>
              <w:rPr>
                <w:rFonts w:hint="eastAsia" w:ascii="宋体" w:hAnsi="宋体"/>
                <w:sz w:val="18"/>
                <w:szCs w:val="18"/>
              </w:rPr>
              <w:t>预制楼梯</w:t>
            </w:r>
            <w:bookmarkEnd w:id="131"/>
          </w:p>
        </w:tc>
        <w:tc>
          <w:tcPr>
            <w:tcW w:w="1624" w:type="dxa"/>
            <w:tcBorders>
              <w:top w:val="single" w:color="auto" w:sz="4" w:space="0"/>
              <w:left w:val="single" w:color="auto" w:sz="4" w:space="0"/>
              <w:bottom w:val="single" w:color="auto" w:sz="4" w:space="0"/>
              <w:right w:val="single" w:color="auto" w:sz="4" w:space="0"/>
            </w:tcBorders>
            <w:vAlign w:val="center"/>
          </w:tcPr>
          <w:p>
            <w:pPr>
              <w:pStyle w:val="236"/>
              <w:autoSpaceDE w:val="0"/>
              <w:spacing w:line="240" w:lineRule="auto"/>
              <w:jc w:val="center"/>
              <w:rPr>
                <w:rFonts w:ascii="宋体" w:hAnsi="宋体"/>
                <w:sz w:val="18"/>
                <w:szCs w:val="18"/>
              </w:rPr>
            </w:pPr>
            <w:bookmarkStart w:id="132" w:name="_Toc142923627"/>
            <w:r>
              <w:rPr>
                <w:rFonts w:hint="eastAsia" w:ascii="宋体" w:hAnsi="宋体"/>
                <w:sz w:val="18"/>
                <w:szCs w:val="18"/>
              </w:rPr>
              <w:t>4</w:t>
            </w:r>
            <w:bookmarkEnd w:id="132"/>
          </w:p>
        </w:tc>
        <w:tc>
          <w:tcPr>
            <w:tcW w:w="3568" w:type="dxa"/>
            <w:tcBorders>
              <w:top w:val="single" w:color="auto" w:sz="4" w:space="0"/>
              <w:left w:val="single" w:color="auto" w:sz="4" w:space="0"/>
              <w:bottom w:val="single" w:color="auto" w:sz="4" w:space="0"/>
              <w:right w:val="single" w:color="auto" w:sz="12" w:space="0"/>
            </w:tcBorders>
            <w:vAlign w:val="center"/>
          </w:tcPr>
          <w:p>
            <w:pPr>
              <w:pStyle w:val="236"/>
              <w:autoSpaceDE w:val="0"/>
              <w:spacing w:line="240" w:lineRule="auto"/>
              <w:jc w:val="center"/>
              <w:rPr>
                <w:rFonts w:ascii="宋体" w:hAnsi="宋体"/>
                <w:sz w:val="18"/>
                <w:szCs w:val="18"/>
              </w:rPr>
            </w:pPr>
            <w:bookmarkStart w:id="133" w:name="_Toc142923628"/>
            <w:r>
              <w:rPr>
                <w:rFonts w:ascii="宋体" w:hAnsi="宋体"/>
                <w:sz w:val="18"/>
                <w:szCs w:val="18"/>
              </w:rPr>
              <w:t>——</w:t>
            </w:r>
            <w:bookmarkEnd w:id="133"/>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329" w:type="dxa"/>
            <w:tcBorders>
              <w:top w:val="single" w:color="auto" w:sz="4" w:space="0"/>
              <w:left w:val="single" w:color="auto" w:sz="12" w:space="0"/>
              <w:bottom w:val="single" w:color="auto" w:sz="12" w:space="0"/>
              <w:right w:val="single" w:color="auto" w:sz="4" w:space="0"/>
            </w:tcBorders>
            <w:vAlign w:val="center"/>
          </w:tcPr>
          <w:p>
            <w:pPr>
              <w:pStyle w:val="236"/>
              <w:autoSpaceDE w:val="0"/>
              <w:spacing w:line="240" w:lineRule="auto"/>
              <w:jc w:val="center"/>
              <w:rPr>
                <w:rFonts w:ascii="宋体" w:hAnsi="宋体"/>
                <w:sz w:val="18"/>
                <w:szCs w:val="18"/>
              </w:rPr>
            </w:pPr>
            <w:bookmarkStart w:id="134" w:name="_Toc142923629"/>
            <w:r>
              <w:rPr>
                <w:rFonts w:hint="eastAsia" w:ascii="宋体" w:hAnsi="宋体"/>
                <w:sz w:val="18"/>
                <w:szCs w:val="18"/>
              </w:rPr>
              <w:t>预制阳台板</w:t>
            </w:r>
            <w:bookmarkEnd w:id="134"/>
          </w:p>
        </w:tc>
        <w:tc>
          <w:tcPr>
            <w:tcW w:w="1624" w:type="dxa"/>
            <w:tcBorders>
              <w:top w:val="single" w:color="auto" w:sz="4" w:space="0"/>
              <w:left w:val="single" w:color="auto" w:sz="4" w:space="0"/>
              <w:bottom w:val="single" w:color="auto" w:sz="12" w:space="0"/>
              <w:right w:val="single" w:color="auto" w:sz="4" w:space="0"/>
            </w:tcBorders>
            <w:vAlign w:val="center"/>
          </w:tcPr>
          <w:p>
            <w:pPr>
              <w:pStyle w:val="236"/>
              <w:autoSpaceDE w:val="0"/>
              <w:spacing w:line="240" w:lineRule="auto"/>
              <w:jc w:val="center"/>
              <w:rPr>
                <w:rFonts w:ascii="宋体" w:hAnsi="宋体"/>
                <w:sz w:val="18"/>
                <w:szCs w:val="18"/>
              </w:rPr>
            </w:pPr>
            <w:bookmarkStart w:id="135" w:name="_Toc142923630"/>
            <w:r>
              <w:rPr>
                <w:rFonts w:hint="eastAsia" w:ascii="宋体" w:hAnsi="宋体"/>
                <w:sz w:val="18"/>
                <w:szCs w:val="18"/>
              </w:rPr>
              <w:t>4</w:t>
            </w:r>
            <w:bookmarkEnd w:id="135"/>
          </w:p>
        </w:tc>
        <w:tc>
          <w:tcPr>
            <w:tcW w:w="3568" w:type="dxa"/>
            <w:tcBorders>
              <w:top w:val="single" w:color="auto" w:sz="4" w:space="0"/>
              <w:left w:val="single" w:color="auto" w:sz="4" w:space="0"/>
              <w:bottom w:val="single" w:color="auto" w:sz="12" w:space="0"/>
              <w:right w:val="single" w:color="auto" w:sz="12" w:space="0"/>
            </w:tcBorders>
            <w:vAlign w:val="center"/>
          </w:tcPr>
          <w:p>
            <w:pPr>
              <w:pStyle w:val="236"/>
              <w:autoSpaceDE w:val="0"/>
              <w:spacing w:line="240" w:lineRule="auto"/>
              <w:jc w:val="center"/>
              <w:rPr>
                <w:rFonts w:ascii="宋体" w:hAnsi="宋体"/>
                <w:sz w:val="18"/>
                <w:szCs w:val="18"/>
              </w:rPr>
            </w:pPr>
            <w:bookmarkStart w:id="136" w:name="_Toc142923631"/>
            <w:r>
              <w:rPr>
                <w:rFonts w:ascii="宋体" w:hAnsi="宋体"/>
                <w:sz w:val="18"/>
                <w:szCs w:val="18"/>
              </w:rPr>
              <w:t>——</w:t>
            </w:r>
            <w:bookmarkEnd w:id="136"/>
          </w:p>
        </w:tc>
      </w:tr>
    </w:tbl>
    <w:p>
      <w:pPr>
        <w:pStyle w:val="58"/>
        <w:ind w:firstLine="0" w:firstLineChars="0"/>
        <w:jc w:val="center"/>
        <w:rPr>
          <w:bCs/>
          <w:szCs w:val="21"/>
        </w:rPr>
      </w:pPr>
    </w:p>
    <w:p>
      <w:pPr>
        <w:pStyle w:val="58"/>
        <w:ind w:left="840" w:leftChars="200" w:hanging="420" w:hangingChars="200"/>
        <w:rPr>
          <w:bCs/>
          <w:szCs w:val="21"/>
        </w:rPr>
      </w:pPr>
      <w:r>
        <w:t>d</w:t>
      </w:r>
      <w:r>
        <w:rPr>
          <w:rFonts w:hint="eastAsia"/>
        </w:rPr>
        <w:t>)</w:t>
      </w:r>
      <w:r>
        <w:tab/>
      </w:r>
      <w:r>
        <w:rPr>
          <w:rFonts w:hint="eastAsia"/>
          <w:bCs/>
          <w:szCs w:val="21"/>
        </w:rPr>
        <w:t>采用靠放架立放的预制构件，应对称靠放和吊运，与地面倾斜角度宜大于80°，构件上部宜采用木垫块隔离；</w:t>
      </w:r>
    </w:p>
    <w:p>
      <w:pPr>
        <w:pStyle w:val="58"/>
        <w:ind w:left="840" w:leftChars="200" w:hanging="420" w:hangingChars="200"/>
        <w:rPr>
          <w:bCs/>
          <w:szCs w:val="21"/>
        </w:rPr>
      </w:pPr>
      <w:r>
        <w:t>e</w:t>
      </w:r>
      <w:r>
        <w:rPr>
          <w:rFonts w:hint="eastAsia"/>
        </w:rPr>
        <w:t>)</w:t>
      </w:r>
      <w:r>
        <w:tab/>
      </w:r>
      <w:r>
        <w:rPr>
          <w:rFonts w:hint="eastAsia"/>
          <w:bCs/>
          <w:szCs w:val="21"/>
        </w:rPr>
        <w:t>存放预应力构件时，应根据构件起拱值的大小和存放时间采取相应措施。</w:t>
      </w:r>
    </w:p>
    <w:p>
      <w:pPr>
        <w:pStyle w:val="58"/>
        <w:ind w:firstLine="0" w:firstLineChars="0"/>
        <w:rPr>
          <w:bCs/>
          <w:szCs w:val="21"/>
        </w:rPr>
      </w:pPr>
      <w:r>
        <w:rPr>
          <w:rFonts w:hint="eastAsia" w:ascii="黑体" w:hAnsi="黑体" w:eastAsia="黑体"/>
        </w:rPr>
        <w:t xml:space="preserve">6.6.3 </w:t>
      </w:r>
      <w:r>
        <w:rPr>
          <w:rFonts w:hint="eastAsia"/>
          <w:bCs/>
          <w:szCs w:val="21"/>
        </w:rPr>
        <w:t>预制构件运输应符合下列规定：</w:t>
      </w:r>
    </w:p>
    <w:p>
      <w:pPr>
        <w:pStyle w:val="58"/>
        <w:ind w:left="840" w:leftChars="200" w:hanging="420" w:hangingChars="200"/>
        <w:rPr>
          <w:bCs/>
          <w:szCs w:val="21"/>
        </w:rPr>
      </w:pPr>
      <w:r>
        <w:t>a</w:t>
      </w:r>
      <w:r>
        <w:rPr>
          <w:rFonts w:hint="eastAsia"/>
        </w:rPr>
        <w:t>)</w:t>
      </w:r>
      <w:r>
        <w:tab/>
      </w:r>
      <w:r>
        <w:rPr>
          <w:rFonts w:hint="eastAsia"/>
          <w:bCs/>
          <w:szCs w:val="21"/>
        </w:rPr>
        <w:t>预制构件装卸时，应采取保证车体平衡的措施；</w:t>
      </w:r>
    </w:p>
    <w:p>
      <w:pPr>
        <w:pStyle w:val="58"/>
        <w:ind w:left="840" w:leftChars="200" w:hanging="420" w:hangingChars="200"/>
        <w:rPr>
          <w:bCs/>
          <w:szCs w:val="21"/>
        </w:rPr>
      </w:pPr>
      <w:r>
        <w:t>b</w:t>
      </w:r>
      <w:r>
        <w:rPr>
          <w:rFonts w:hint="eastAsia"/>
        </w:rPr>
        <w:t xml:space="preserve">)  </w:t>
      </w:r>
      <w:r>
        <w:rPr>
          <w:rFonts w:hint="eastAsia"/>
          <w:bCs/>
          <w:szCs w:val="21"/>
        </w:rPr>
        <w:t>预制构件运输时，应采取防止构件移动、倾倒、变形等的固定措施；</w:t>
      </w:r>
    </w:p>
    <w:p>
      <w:pPr>
        <w:pStyle w:val="58"/>
        <w:ind w:left="840" w:leftChars="200" w:hanging="420" w:hangingChars="200"/>
        <w:rPr>
          <w:bCs/>
          <w:szCs w:val="21"/>
        </w:rPr>
      </w:pPr>
      <w:r>
        <w:rPr>
          <w:rFonts w:hint="eastAsia"/>
        </w:rPr>
        <w:t xml:space="preserve">c)  </w:t>
      </w:r>
      <w:r>
        <w:rPr>
          <w:rFonts w:hint="eastAsia"/>
          <w:bCs/>
          <w:szCs w:val="21"/>
        </w:rPr>
        <w:t>预制构件运输时，应采取防止构件损坏的措施，对构件边角部或与链索接触处的混凝土，宜采用衬垫加以保护；</w:t>
      </w:r>
    </w:p>
    <w:p>
      <w:pPr>
        <w:pStyle w:val="58"/>
        <w:ind w:left="840" w:leftChars="200" w:hanging="420" w:hangingChars="200"/>
        <w:rPr>
          <w:bCs/>
          <w:szCs w:val="21"/>
        </w:rPr>
      </w:pPr>
      <w:r>
        <w:t>d</w:t>
      </w:r>
      <w:r>
        <w:rPr>
          <w:rFonts w:hint="eastAsia"/>
        </w:rPr>
        <w:t xml:space="preserve">)  </w:t>
      </w:r>
      <w:r>
        <w:rPr>
          <w:rFonts w:hint="eastAsia"/>
          <w:bCs/>
          <w:szCs w:val="21"/>
        </w:rPr>
        <w:t>对于超高、超宽、形状特殊的大型预制构件的运输和存放应制定专门的质量安全保证措施；</w:t>
      </w:r>
    </w:p>
    <w:p>
      <w:pPr>
        <w:pStyle w:val="58"/>
        <w:ind w:left="840" w:leftChars="200" w:hanging="420" w:hangingChars="200"/>
        <w:rPr>
          <w:bCs/>
          <w:szCs w:val="21"/>
        </w:rPr>
      </w:pPr>
      <w:r>
        <w:t>e</w:t>
      </w:r>
      <w:r>
        <w:rPr>
          <w:rFonts w:hint="eastAsia"/>
        </w:rPr>
        <w:t xml:space="preserve">)  </w:t>
      </w:r>
      <w:r>
        <w:rPr>
          <w:rFonts w:hint="eastAsia"/>
          <w:bCs/>
          <w:szCs w:val="21"/>
        </w:rPr>
        <w:t>预制构件外露钢筋应采取防弯折措施，外露预埋件和连结件等外露金属件应按不同环境类别进行防护或防腐、防锈。</w:t>
      </w:r>
    </w:p>
    <w:p>
      <w:pPr>
        <w:pStyle w:val="106"/>
        <w:numPr>
          <w:ilvl w:val="0"/>
          <w:numId w:val="0"/>
        </w:numPr>
        <w:spacing w:before="312" w:after="312"/>
      </w:pPr>
      <w:bookmarkStart w:id="137" w:name="_Toc98610538"/>
      <w:bookmarkStart w:id="138" w:name="_Toc142923632"/>
      <w:r>
        <w:rPr>
          <w:rFonts w:hint="eastAsia"/>
        </w:rPr>
        <w:t xml:space="preserve">7 </w:t>
      </w:r>
      <w:bookmarkEnd w:id="137"/>
      <w:r>
        <w:rPr>
          <w:rFonts w:hint="eastAsia"/>
        </w:rPr>
        <w:t>结构施工</w:t>
      </w:r>
      <w:bookmarkEnd w:id="138"/>
    </w:p>
    <w:p>
      <w:pPr>
        <w:pStyle w:val="58"/>
        <w:spacing w:before="312" w:beforeLines="100" w:after="312" w:afterLines="100"/>
        <w:ind w:firstLine="0" w:firstLineChars="0"/>
        <w:outlineLvl w:val="1"/>
        <w:rPr>
          <w:rFonts w:ascii="黑体" w:hAnsi="黑体" w:eastAsia="黑体"/>
        </w:rPr>
      </w:pPr>
      <w:bookmarkStart w:id="139" w:name="_Toc142923633"/>
      <w:r>
        <w:rPr>
          <w:rFonts w:hint="eastAsia" w:ascii="黑体" w:hAnsi="黑体" w:eastAsia="黑体"/>
        </w:rPr>
        <w:t xml:space="preserve">7.1 </w:t>
      </w:r>
      <w:r>
        <w:rPr>
          <w:rFonts w:hint="eastAsia" w:ascii="黑体" w:hAnsi="黑体" w:eastAsia="黑体"/>
          <w:bCs/>
          <w:szCs w:val="21"/>
        </w:rPr>
        <w:t>一般规定</w:t>
      </w:r>
      <w:bookmarkEnd w:id="139"/>
    </w:p>
    <w:p>
      <w:pPr>
        <w:pStyle w:val="58"/>
        <w:ind w:firstLine="0" w:firstLineChars="0"/>
      </w:pPr>
      <w:r>
        <w:rPr>
          <w:rFonts w:hint="eastAsia" w:ascii="黑体" w:hAnsi="黑体" w:eastAsia="黑体"/>
        </w:rPr>
        <w:t xml:space="preserve">7.1.1 </w:t>
      </w:r>
      <w:r>
        <w:rPr>
          <w:rFonts w:hint="eastAsia"/>
          <w:bCs/>
          <w:szCs w:val="21"/>
        </w:rPr>
        <w:t>预制预应力混凝土装配整体式结构施工前应制定专项施工方案。专项施工方案宜包括工程概况、编制依据、进度计划、施工场地布置、预制构件运输与存放、安装与连接施工、安全管理、质量管理、应急预案等内容。</w:t>
      </w:r>
    </w:p>
    <w:p>
      <w:pPr>
        <w:pStyle w:val="58"/>
        <w:ind w:firstLine="0" w:firstLineChars="0"/>
        <w:rPr>
          <w:rFonts w:ascii="黑体" w:hAnsi="黑体" w:eastAsia="黑体"/>
        </w:rPr>
      </w:pPr>
      <w:r>
        <w:rPr>
          <w:rFonts w:hint="eastAsia" w:ascii="黑体" w:hAnsi="黑体" w:eastAsia="黑体"/>
        </w:rPr>
        <w:t xml:space="preserve">7.1.2 </w:t>
      </w:r>
      <w:r>
        <w:rPr>
          <w:rFonts w:hint="eastAsia"/>
          <w:bCs/>
          <w:szCs w:val="21"/>
        </w:rPr>
        <w:t>施工单位应根据预制预应力混凝土装配整体式结构工程特点配置组织机构和人员。施工作业人员应具备岗位需要的基础知识和技能，施工单位应对管理人员、施工作业人员进行质量安全技术交底。</w:t>
      </w:r>
    </w:p>
    <w:p>
      <w:pPr>
        <w:pStyle w:val="58"/>
        <w:ind w:firstLine="0" w:firstLineChars="0"/>
      </w:pPr>
      <w:r>
        <w:rPr>
          <w:rFonts w:hint="eastAsia" w:ascii="黑体" w:hAnsi="黑体" w:eastAsia="黑体"/>
        </w:rPr>
        <w:t xml:space="preserve">7.1.3 </w:t>
      </w:r>
      <w:r>
        <w:rPr>
          <w:rFonts w:hint="eastAsia"/>
          <w:bCs/>
          <w:szCs w:val="21"/>
        </w:rPr>
        <w:t>预制预应力混凝土装配整体式结构施工宜采用工具化、标准化和定型化的工装系统。</w:t>
      </w:r>
    </w:p>
    <w:p>
      <w:pPr>
        <w:pStyle w:val="58"/>
        <w:ind w:firstLine="0" w:firstLineChars="0"/>
      </w:pPr>
      <w:r>
        <w:rPr>
          <w:rFonts w:hint="eastAsia" w:ascii="黑体" w:hAnsi="黑体" w:eastAsia="黑体"/>
        </w:rPr>
        <w:t xml:space="preserve">7.1.4 </w:t>
      </w:r>
      <w:r>
        <w:rPr>
          <w:rFonts w:hint="eastAsia"/>
          <w:bCs/>
          <w:szCs w:val="21"/>
        </w:rPr>
        <w:t>预制预应力混凝土装配整体式结构施工前，宜选择有代表性的单元进行预制构件试安装，并根据试安装结果及时调整施工工艺、完善专项施工方案。宜对首层或首个施工段的预制构件安装进行验收。</w:t>
      </w:r>
    </w:p>
    <w:p>
      <w:pPr>
        <w:pStyle w:val="58"/>
        <w:ind w:firstLine="0" w:firstLineChars="0"/>
      </w:pPr>
      <w:r>
        <w:rPr>
          <w:rFonts w:hint="eastAsia" w:ascii="黑体" w:hAnsi="黑体" w:eastAsia="黑体"/>
        </w:rPr>
        <w:t xml:space="preserve">7.1.5 </w:t>
      </w:r>
      <w:r>
        <w:rPr>
          <w:rFonts w:hint="eastAsia"/>
          <w:bCs/>
          <w:szCs w:val="21"/>
        </w:rPr>
        <w:t>后浇混凝土部位施工除应符合设计要求外，尚应符合国家现行标准《混凝土结构工程施工规范》GB 50666、《装配式混凝土建筑技术标准》GB/T 51231和《装配式混凝土结构技术规程》JGJ 1等的规定。</w:t>
      </w:r>
    </w:p>
    <w:p>
      <w:pPr>
        <w:pStyle w:val="58"/>
        <w:ind w:firstLine="0" w:firstLineChars="0"/>
      </w:pPr>
      <w:r>
        <w:rPr>
          <w:rFonts w:hint="eastAsia" w:ascii="黑体" w:hAnsi="黑体" w:eastAsia="黑体"/>
        </w:rPr>
        <w:t xml:space="preserve">7.1.6 </w:t>
      </w:r>
      <w:r>
        <w:rPr>
          <w:rFonts w:hint="eastAsia"/>
          <w:bCs/>
          <w:szCs w:val="21"/>
        </w:rPr>
        <w:t>预制预应力混凝土装配整体式结构施工过程中应采取安全措施，并应符合国家现行有关标准的规定。</w:t>
      </w:r>
    </w:p>
    <w:p>
      <w:pPr>
        <w:pStyle w:val="58"/>
        <w:spacing w:before="312" w:beforeLines="100" w:after="312" w:afterLines="100"/>
        <w:ind w:firstLine="0" w:firstLineChars="0"/>
        <w:outlineLvl w:val="1"/>
        <w:rPr>
          <w:rFonts w:ascii="黑体" w:hAnsi="黑体" w:eastAsia="黑体"/>
        </w:rPr>
      </w:pPr>
      <w:bookmarkStart w:id="140" w:name="_Toc142923634"/>
      <w:r>
        <w:rPr>
          <w:rFonts w:hint="eastAsia" w:ascii="黑体" w:hAnsi="黑体" w:eastAsia="黑体"/>
        </w:rPr>
        <w:t>7.2 施工准备</w:t>
      </w:r>
      <w:bookmarkEnd w:id="140"/>
    </w:p>
    <w:p>
      <w:pPr>
        <w:pStyle w:val="58"/>
        <w:ind w:firstLine="0" w:firstLineChars="0"/>
      </w:pPr>
      <w:r>
        <w:rPr>
          <w:rFonts w:hint="eastAsia" w:ascii="黑体" w:hAnsi="黑体" w:eastAsia="黑体"/>
        </w:rPr>
        <w:t xml:space="preserve">7.2.1 </w:t>
      </w:r>
      <w:r>
        <w:rPr>
          <w:rFonts w:hint="eastAsia"/>
          <w:bCs/>
          <w:szCs w:val="21"/>
        </w:rPr>
        <w:t>预制构件、安装用材料及配件等应符合国家现行有关标准及产品应用技术手册的规定，并应按照国家现行有关标准的规定进行进场验收。</w:t>
      </w:r>
    </w:p>
    <w:p>
      <w:pPr>
        <w:pStyle w:val="58"/>
        <w:ind w:firstLine="0" w:firstLineChars="0"/>
        <w:rPr>
          <w:bCs/>
          <w:szCs w:val="21"/>
        </w:rPr>
      </w:pPr>
      <w:r>
        <w:rPr>
          <w:rFonts w:hint="eastAsia" w:ascii="黑体" w:hAnsi="黑体" w:eastAsia="黑体"/>
        </w:rPr>
        <w:t xml:space="preserve">7.2.2 </w:t>
      </w:r>
      <w:r>
        <w:rPr>
          <w:rFonts w:hint="eastAsia"/>
          <w:bCs/>
          <w:szCs w:val="21"/>
        </w:rPr>
        <w:t>施工现场应根据施工平面规划设置运输通道和存放场地，并应符合下列规定：</w:t>
      </w:r>
    </w:p>
    <w:p>
      <w:pPr>
        <w:pStyle w:val="58"/>
        <w:ind w:left="840" w:leftChars="200" w:hanging="420" w:hangingChars="200"/>
        <w:rPr>
          <w:bCs/>
          <w:szCs w:val="21"/>
        </w:rPr>
      </w:pPr>
      <w:r>
        <w:t>a</w:t>
      </w:r>
      <w:r>
        <w:rPr>
          <w:rFonts w:hint="eastAsia"/>
        </w:rPr>
        <w:t>)</w:t>
      </w:r>
      <w:r>
        <w:tab/>
      </w:r>
      <w:r>
        <w:rPr>
          <w:rFonts w:hint="eastAsia"/>
          <w:bCs/>
          <w:szCs w:val="21"/>
        </w:rPr>
        <w:t>现场运输道路和存放场地应坚实平整，并应有排水措施；</w:t>
      </w:r>
    </w:p>
    <w:p>
      <w:pPr>
        <w:pStyle w:val="58"/>
        <w:ind w:left="840" w:leftChars="200" w:hanging="420" w:hangingChars="200"/>
        <w:rPr>
          <w:bCs/>
          <w:szCs w:val="21"/>
        </w:rPr>
      </w:pPr>
      <w:r>
        <w:t>b</w:t>
      </w:r>
      <w:r>
        <w:rPr>
          <w:rFonts w:hint="eastAsia"/>
        </w:rPr>
        <w:t xml:space="preserve">)  </w:t>
      </w:r>
      <w:r>
        <w:rPr>
          <w:rFonts w:hint="eastAsia"/>
          <w:bCs/>
          <w:szCs w:val="21"/>
        </w:rPr>
        <w:t>施工现场内道路应按照构件运输车辆的要求合理设置转弯半径及道路坡度；</w:t>
      </w:r>
    </w:p>
    <w:p>
      <w:pPr>
        <w:pStyle w:val="58"/>
        <w:ind w:left="840" w:leftChars="200" w:hanging="420" w:hangingChars="200"/>
        <w:rPr>
          <w:bCs/>
          <w:szCs w:val="21"/>
        </w:rPr>
      </w:pPr>
      <w:r>
        <w:rPr>
          <w:rFonts w:hint="eastAsia"/>
        </w:rPr>
        <w:t xml:space="preserve">c)  </w:t>
      </w:r>
      <w:r>
        <w:rPr>
          <w:rFonts w:hint="eastAsia"/>
          <w:bCs/>
          <w:szCs w:val="21"/>
        </w:rPr>
        <w:t>预制构件运送到施工现场后，应按规格、品种、使用部位、吊装顺序分别设置存放场地。存放场地应设置在吊装设备的有效起重范围内，且应在堆垛之间设置通道；</w:t>
      </w:r>
    </w:p>
    <w:p>
      <w:pPr>
        <w:pStyle w:val="58"/>
        <w:ind w:left="840" w:leftChars="200" w:hanging="420" w:hangingChars="200"/>
        <w:rPr>
          <w:bCs/>
          <w:szCs w:val="21"/>
        </w:rPr>
      </w:pPr>
      <w:r>
        <w:t>d</w:t>
      </w:r>
      <w:r>
        <w:rPr>
          <w:rFonts w:hint="eastAsia"/>
        </w:rPr>
        <w:t xml:space="preserve">)  </w:t>
      </w:r>
      <w:r>
        <w:rPr>
          <w:rFonts w:hint="eastAsia"/>
          <w:bCs/>
          <w:szCs w:val="21"/>
        </w:rPr>
        <w:t>构件的存放架应具有足够的抗倾覆性能；</w:t>
      </w:r>
    </w:p>
    <w:p>
      <w:pPr>
        <w:pStyle w:val="58"/>
        <w:ind w:left="840" w:leftChars="200" w:hanging="420" w:hangingChars="200"/>
        <w:rPr>
          <w:bCs/>
          <w:szCs w:val="21"/>
        </w:rPr>
      </w:pPr>
      <w:r>
        <w:t>e</w:t>
      </w:r>
      <w:r>
        <w:rPr>
          <w:rFonts w:hint="eastAsia"/>
        </w:rPr>
        <w:t xml:space="preserve">)  </w:t>
      </w:r>
      <w:r>
        <w:rPr>
          <w:rFonts w:hint="eastAsia"/>
          <w:bCs/>
          <w:szCs w:val="21"/>
        </w:rPr>
        <w:t>构件运输和存放对已完成结构、基坑有影响时，应经计算复核。</w:t>
      </w:r>
    </w:p>
    <w:p>
      <w:pPr>
        <w:pStyle w:val="58"/>
        <w:ind w:firstLine="0" w:firstLineChars="0"/>
      </w:pPr>
      <w:r>
        <w:rPr>
          <w:rFonts w:hint="eastAsia" w:ascii="黑体" w:hAnsi="黑体" w:eastAsia="黑体"/>
        </w:rPr>
        <w:t xml:space="preserve">7.2.3 </w:t>
      </w:r>
      <w:r>
        <w:rPr>
          <w:rFonts w:hint="eastAsia"/>
          <w:bCs/>
          <w:szCs w:val="21"/>
        </w:rPr>
        <w:t>安装施工前，应核对已施工完成结构、基础的外观质量和尺寸偏差，确认混凝土强度和预留预埋符合设计要求，并应核对预制构件的混凝土强度及预制构件和配件的型号、规格、数量等符合设计要求。</w:t>
      </w:r>
    </w:p>
    <w:p>
      <w:pPr>
        <w:pStyle w:val="58"/>
        <w:ind w:firstLine="0" w:firstLineChars="0"/>
        <w:rPr>
          <w:bCs/>
          <w:szCs w:val="21"/>
        </w:rPr>
      </w:pPr>
      <w:r>
        <w:rPr>
          <w:rFonts w:hint="eastAsia" w:ascii="黑体" w:hAnsi="黑体" w:eastAsia="黑体"/>
        </w:rPr>
        <w:t xml:space="preserve">7.2.4 </w:t>
      </w:r>
      <w:r>
        <w:rPr>
          <w:rFonts w:hint="eastAsia"/>
          <w:bCs/>
          <w:szCs w:val="21"/>
        </w:rPr>
        <w:t>安装施工前，应复核吊装设备的吊装能力。应按现行行业标准《建筑机械使用安全技术规程》JGJ 33的有关规定，检查复核吊装设备及吊具处于安全操作状态，并核实现场环境、天气、道路状况等满足吊装施工要求。防护系统应按照施工方案进行搭设、验收，并应符合下列规定：</w:t>
      </w:r>
    </w:p>
    <w:p>
      <w:pPr>
        <w:pStyle w:val="58"/>
        <w:ind w:left="840" w:leftChars="200" w:hanging="420" w:hangingChars="200"/>
        <w:rPr>
          <w:bCs/>
          <w:szCs w:val="21"/>
        </w:rPr>
      </w:pPr>
      <w:r>
        <w:t>a</w:t>
      </w:r>
      <w:r>
        <w:rPr>
          <w:rFonts w:hint="eastAsia"/>
        </w:rPr>
        <w:t>)</w:t>
      </w:r>
      <w:r>
        <w:tab/>
      </w:r>
      <w:r>
        <w:rPr>
          <w:rFonts w:hint="eastAsia"/>
          <w:bCs/>
          <w:szCs w:val="21"/>
        </w:rPr>
        <w:t>工具式外防护架应试组装并全面检查，附着在构件上的防护系统应复核其与吊装系统的协调；</w:t>
      </w:r>
    </w:p>
    <w:p>
      <w:pPr>
        <w:pStyle w:val="58"/>
        <w:ind w:left="840" w:leftChars="200" w:hanging="420" w:hangingChars="200"/>
        <w:rPr>
          <w:bCs/>
          <w:szCs w:val="21"/>
        </w:rPr>
      </w:pPr>
      <w:r>
        <w:t>b</w:t>
      </w:r>
      <w:r>
        <w:rPr>
          <w:rFonts w:hint="eastAsia"/>
        </w:rPr>
        <w:t xml:space="preserve">)  </w:t>
      </w:r>
      <w:r>
        <w:rPr>
          <w:rFonts w:hint="eastAsia"/>
          <w:bCs/>
          <w:szCs w:val="21"/>
        </w:rPr>
        <w:t>防护架应经计算确定；</w:t>
      </w:r>
    </w:p>
    <w:p>
      <w:pPr>
        <w:pStyle w:val="58"/>
        <w:ind w:left="840" w:leftChars="200" w:hanging="420" w:hangingChars="200"/>
        <w:rPr>
          <w:bCs/>
          <w:szCs w:val="21"/>
        </w:rPr>
      </w:pPr>
      <w:r>
        <w:rPr>
          <w:rFonts w:hint="eastAsia"/>
        </w:rPr>
        <w:t xml:space="preserve">c)  </w:t>
      </w:r>
      <w:r>
        <w:rPr>
          <w:rFonts w:hint="eastAsia"/>
          <w:bCs/>
          <w:szCs w:val="21"/>
        </w:rPr>
        <w:t>高处作业人员应正确使用安全防护用品，宜采用工具式操作架进行安装作业。</w:t>
      </w:r>
    </w:p>
    <w:p>
      <w:pPr>
        <w:pStyle w:val="58"/>
        <w:ind w:firstLine="0" w:firstLineChars="0"/>
        <w:rPr>
          <w:bCs/>
          <w:szCs w:val="21"/>
        </w:rPr>
      </w:pPr>
      <w:r>
        <w:rPr>
          <w:rFonts w:hint="eastAsia" w:ascii="黑体" w:hAnsi="黑体" w:eastAsia="黑体"/>
        </w:rPr>
        <w:t xml:space="preserve">7.2.5 </w:t>
      </w:r>
      <w:r>
        <w:rPr>
          <w:rFonts w:hint="eastAsia"/>
          <w:bCs/>
          <w:szCs w:val="21"/>
        </w:rPr>
        <w:t>预制构件吊装施工前应做好下列准备工作：</w:t>
      </w:r>
    </w:p>
    <w:p>
      <w:pPr>
        <w:pStyle w:val="58"/>
        <w:ind w:left="840" w:leftChars="200" w:hanging="420" w:hangingChars="200"/>
        <w:rPr>
          <w:bCs/>
          <w:szCs w:val="21"/>
        </w:rPr>
      </w:pPr>
      <w:r>
        <w:t>a</w:t>
      </w:r>
      <w:r>
        <w:rPr>
          <w:rFonts w:hint="eastAsia"/>
        </w:rPr>
        <w:t>)</w:t>
      </w:r>
      <w:r>
        <w:tab/>
      </w:r>
      <w:r>
        <w:rPr>
          <w:rFonts w:hint="eastAsia"/>
          <w:bCs/>
          <w:szCs w:val="21"/>
        </w:rPr>
        <w:t>将结合面清理干净；</w:t>
      </w:r>
    </w:p>
    <w:p>
      <w:pPr>
        <w:pStyle w:val="58"/>
        <w:ind w:left="840" w:leftChars="200" w:hanging="420" w:hangingChars="200"/>
        <w:rPr>
          <w:bCs/>
          <w:szCs w:val="21"/>
        </w:rPr>
      </w:pPr>
      <w:r>
        <w:t>b</w:t>
      </w:r>
      <w:r>
        <w:rPr>
          <w:rFonts w:hint="eastAsia"/>
        </w:rPr>
        <w:t xml:space="preserve">)  </w:t>
      </w:r>
      <w:r>
        <w:rPr>
          <w:rFonts w:hint="eastAsia"/>
          <w:bCs/>
          <w:szCs w:val="21"/>
        </w:rPr>
        <w:t>进行测量放线，并应设置安装定位标识和可调整预制构件标高的垫块；</w:t>
      </w:r>
    </w:p>
    <w:p>
      <w:pPr>
        <w:pStyle w:val="58"/>
        <w:ind w:left="840" w:leftChars="200" w:hanging="420" w:hangingChars="200"/>
        <w:rPr>
          <w:bCs/>
          <w:szCs w:val="21"/>
        </w:rPr>
      </w:pPr>
      <w:r>
        <w:rPr>
          <w:rFonts w:hint="eastAsia"/>
        </w:rPr>
        <w:t xml:space="preserve">c)  </w:t>
      </w:r>
      <w:r>
        <w:rPr>
          <w:rFonts w:hint="eastAsia"/>
          <w:bCs/>
          <w:szCs w:val="21"/>
        </w:rPr>
        <w:t>复核构件装配位置、节点连接构造及临时支撑布置等。</w:t>
      </w:r>
    </w:p>
    <w:p>
      <w:pPr>
        <w:pStyle w:val="58"/>
        <w:ind w:firstLine="0" w:firstLineChars="0"/>
        <w:rPr>
          <w:bCs/>
          <w:szCs w:val="21"/>
        </w:rPr>
      </w:pPr>
      <w:r>
        <w:rPr>
          <w:rFonts w:hint="eastAsia" w:ascii="黑体" w:hAnsi="黑体" w:eastAsia="黑体"/>
        </w:rPr>
        <w:t>7.2.</w:t>
      </w:r>
      <w:r>
        <w:rPr>
          <w:rFonts w:ascii="黑体" w:hAnsi="黑体" w:eastAsia="黑体"/>
        </w:rPr>
        <w:t>6</w:t>
      </w:r>
      <w:r>
        <w:rPr>
          <w:rFonts w:hint="eastAsia" w:ascii="黑体" w:hAnsi="黑体" w:eastAsia="黑体"/>
        </w:rPr>
        <w:t xml:space="preserve"> </w:t>
      </w:r>
      <w:r>
        <w:rPr>
          <w:rFonts w:hint="eastAsia"/>
          <w:bCs/>
          <w:szCs w:val="21"/>
        </w:rPr>
        <w:t>预制预应力装配整体式混凝土框架结构基础采用杯口基础时，应符合下列规定：</w:t>
      </w:r>
    </w:p>
    <w:p>
      <w:pPr>
        <w:pStyle w:val="58"/>
        <w:ind w:left="840" w:leftChars="200" w:hanging="420" w:hangingChars="200"/>
        <w:rPr>
          <w:bCs/>
          <w:szCs w:val="21"/>
        </w:rPr>
      </w:pPr>
      <w:r>
        <w:t>a</w:t>
      </w:r>
      <w:r>
        <w:rPr>
          <w:rFonts w:hint="eastAsia"/>
        </w:rPr>
        <w:t>)</w:t>
      </w:r>
      <w:r>
        <w:tab/>
      </w:r>
      <w:r>
        <w:rPr>
          <w:rFonts w:hint="eastAsia"/>
          <w:bCs/>
          <w:szCs w:val="21"/>
        </w:rPr>
        <w:t>预制柱吊装前应进行杯底抄平；</w:t>
      </w:r>
    </w:p>
    <w:p>
      <w:pPr>
        <w:pStyle w:val="58"/>
        <w:ind w:left="840" w:leftChars="200" w:hanging="420" w:hangingChars="200"/>
        <w:rPr>
          <w:bCs/>
          <w:szCs w:val="21"/>
        </w:rPr>
      </w:pPr>
      <w:r>
        <w:t>b</w:t>
      </w:r>
      <w:r>
        <w:rPr>
          <w:rFonts w:hint="eastAsia"/>
        </w:rPr>
        <w:t xml:space="preserve">)  </w:t>
      </w:r>
      <w:r>
        <w:rPr>
          <w:rFonts w:hint="eastAsia"/>
          <w:bCs/>
          <w:szCs w:val="21"/>
        </w:rPr>
        <w:t>预制柱插入杯口部分的表面应凿毛；</w:t>
      </w:r>
    </w:p>
    <w:p>
      <w:pPr>
        <w:pStyle w:val="58"/>
        <w:ind w:left="840" w:leftChars="200" w:hanging="420" w:hangingChars="200"/>
        <w:rPr>
          <w:bCs/>
          <w:szCs w:val="21"/>
        </w:rPr>
      </w:pPr>
      <w:r>
        <w:rPr>
          <w:rFonts w:hint="eastAsia"/>
        </w:rPr>
        <w:t xml:space="preserve">c)  </w:t>
      </w:r>
      <w:r>
        <w:rPr>
          <w:rFonts w:hint="eastAsia"/>
          <w:bCs/>
          <w:szCs w:val="21"/>
        </w:rPr>
        <w:t>预制柱与杯口之间的空隙应用比基础混凝土强度等级高一级的细石混凝土充填密实，当达到材料设计强度的70%以上时，方可进行上部吊装。</w:t>
      </w:r>
    </w:p>
    <w:p>
      <w:pPr>
        <w:pStyle w:val="58"/>
        <w:ind w:firstLine="0" w:firstLineChars="0"/>
        <w:rPr>
          <w:bCs/>
          <w:szCs w:val="21"/>
        </w:rPr>
      </w:pPr>
      <w:r>
        <w:rPr>
          <w:rFonts w:hint="eastAsia" w:ascii="黑体" w:hAnsi="黑体" w:eastAsia="黑体"/>
        </w:rPr>
        <w:t>7.2.</w:t>
      </w:r>
      <w:r>
        <w:rPr>
          <w:rFonts w:ascii="黑体" w:hAnsi="黑体" w:eastAsia="黑体"/>
        </w:rPr>
        <w:t>7</w:t>
      </w:r>
      <w:r>
        <w:rPr>
          <w:rFonts w:hint="eastAsia" w:ascii="黑体" w:hAnsi="黑体" w:eastAsia="黑体"/>
        </w:rPr>
        <w:t xml:space="preserve"> </w:t>
      </w:r>
      <w:r>
        <w:rPr>
          <w:rFonts w:hint="eastAsia"/>
          <w:bCs/>
          <w:szCs w:val="21"/>
        </w:rPr>
        <w:t>当预制柱采用预留孔插筋法施工时，应根据设计要求在基础混凝土中设置预留孔，并应符合下列规定：</w:t>
      </w:r>
    </w:p>
    <w:p>
      <w:pPr>
        <w:pStyle w:val="58"/>
        <w:ind w:left="840" w:leftChars="200" w:hanging="420" w:hangingChars="200"/>
        <w:rPr>
          <w:bCs/>
          <w:szCs w:val="21"/>
        </w:rPr>
      </w:pPr>
      <w:r>
        <w:t>a</w:t>
      </w:r>
      <w:r>
        <w:rPr>
          <w:rFonts w:hint="eastAsia"/>
        </w:rPr>
        <w:t>)</w:t>
      </w:r>
      <w:r>
        <w:tab/>
      </w:r>
      <w:r>
        <w:rPr>
          <w:rFonts w:hint="eastAsia"/>
          <w:bCs/>
          <w:szCs w:val="21"/>
        </w:rPr>
        <w:t>预留孔长度、位置及内径应满足设计要求；</w:t>
      </w:r>
    </w:p>
    <w:p>
      <w:pPr>
        <w:pStyle w:val="58"/>
        <w:ind w:left="840" w:leftChars="200" w:hanging="420" w:hangingChars="200"/>
        <w:rPr>
          <w:bCs/>
          <w:szCs w:val="21"/>
        </w:rPr>
      </w:pPr>
      <w:r>
        <w:t>b</w:t>
      </w:r>
      <w:r>
        <w:rPr>
          <w:rFonts w:hint="eastAsia"/>
        </w:rPr>
        <w:t xml:space="preserve">)  </w:t>
      </w:r>
      <w:r>
        <w:rPr>
          <w:rFonts w:hint="eastAsia"/>
          <w:bCs/>
          <w:szCs w:val="21"/>
        </w:rPr>
        <w:t>浇筑基础混凝土时，应采取防止混凝土进入孔内的措施；</w:t>
      </w:r>
    </w:p>
    <w:p>
      <w:pPr>
        <w:pStyle w:val="58"/>
        <w:ind w:left="840" w:leftChars="200" w:hanging="420" w:hangingChars="200"/>
        <w:rPr>
          <w:bCs/>
          <w:szCs w:val="21"/>
        </w:rPr>
      </w:pPr>
      <w:r>
        <w:rPr>
          <w:rFonts w:hint="eastAsia"/>
        </w:rPr>
        <w:t xml:space="preserve">c)  </w:t>
      </w:r>
      <w:r>
        <w:rPr>
          <w:rFonts w:hint="eastAsia"/>
          <w:bCs/>
          <w:szCs w:val="21"/>
        </w:rPr>
        <w:t>在混凝土初凝之前，应再次检查预留孔的位置，预留孔中心线位置允许偏差应为5mm，孔深允许偏差应为±10mm。</w:t>
      </w:r>
    </w:p>
    <w:p>
      <w:pPr>
        <w:pStyle w:val="58"/>
        <w:spacing w:before="312" w:beforeLines="100" w:after="312" w:afterLines="100"/>
        <w:ind w:firstLine="0" w:firstLineChars="0"/>
        <w:outlineLvl w:val="1"/>
        <w:rPr>
          <w:rFonts w:ascii="黑体" w:hAnsi="黑体" w:eastAsia="黑体"/>
        </w:rPr>
      </w:pPr>
      <w:bookmarkStart w:id="141" w:name="_Toc142923635"/>
      <w:r>
        <w:rPr>
          <w:rFonts w:hint="eastAsia" w:ascii="黑体" w:hAnsi="黑体" w:eastAsia="黑体"/>
        </w:rPr>
        <w:t>7.3 预制构件安装与连接</w:t>
      </w:r>
      <w:bookmarkEnd w:id="141"/>
    </w:p>
    <w:p>
      <w:pPr>
        <w:rPr>
          <w:rFonts w:ascii="宋体" w:hAnsi="Times New Roman"/>
          <w:bCs/>
          <w:kern w:val="0"/>
        </w:rPr>
      </w:pPr>
      <w:r>
        <w:rPr>
          <w:rFonts w:hint="eastAsia" w:ascii="黑体" w:hAnsi="黑体" w:eastAsia="黑体"/>
        </w:rPr>
        <w:t xml:space="preserve">7.3.1 </w:t>
      </w:r>
      <w:r>
        <w:rPr>
          <w:rFonts w:hint="eastAsia" w:ascii="宋体" w:hAnsi="Times New Roman"/>
          <w:bCs/>
          <w:kern w:val="0"/>
        </w:rPr>
        <w:t>预制构件吊装应符合下列规定：</w:t>
      </w:r>
    </w:p>
    <w:p>
      <w:pPr>
        <w:pStyle w:val="58"/>
        <w:ind w:left="840" w:leftChars="200" w:hanging="420" w:hangingChars="200"/>
        <w:rPr>
          <w:bCs/>
          <w:szCs w:val="21"/>
        </w:rPr>
      </w:pPr>
      <w:r>
        <w:t>a</w:t>
      </w:r>
      <w:r>
        <w:rPr>
          <w:rFonts w:hint="eastAsia"/>
        </w:rPr>
        <w:t>)</w:t>
      </w:r>
      <w:r>
        <w:tab/>
      </w:r>
      <w:r>
        <w:rPr>
          <w:rFonts w:hint="eastAsia"/>
          <w:bCs/>
          <w:szCs w:val="21"/>
        </w:rPr>
        <w:t>预制构件应按专项施工方案中的吊装顺序预先编号，吊装时应按编号顺序起吊；</w:t>
      </w:r>
    </w:p>
    <w:p>
      <w:pPr>
        <w:pStyle w:val="58"/>
        <w:ind w:left="840" w:leftChars="200" w:hanging="420" w:hangingChars="200"/>
        <w:rPr>
          <w:bCs/>
          <w:szCs w:val="21"/>
        </w:rPr>
      </w:pPr>
      <w:r>
        <w:t>b</w:t>
      </w:r>
      <w:r>
        <w:rPr>
          <w:rFonts w:hint="eastAsia"/>
        </w:rPr>
        <w:t xml:space="preserve">)  </w:t>
      </w:r>
      <w:r>
        <w:rPr>
          <w:rFonts w:hint="eastAsia"/>
          <w:bCs/>
          <w:szCs w:val="21"/>
        </w:rPr>
        <w:t>吊点数量、位置应经计算确定，应保证吊具连接可靠，应采取保证起重设备的主钩位置、吊具及构件重心在竖直方向上重合的措施；</w:t>
      </w:r>
    </w:p>
    <w:p>
      <w:pPr>
        <w:pStyle w:val="58"/>
        <w:ind w:left="840" w:leftChars="200" w:hanging="420" w:hangingChars="200"/>
        <w:rPr>
          <w:bCs/>
          <w:szCs w:val="21"/>
        </w:rPr>
      </w:pPr>
      <w:r>
        <w:rPr>
          <w:rFonts w:hint="eastAsia"/>
        </w:rPr>
        <w:t xml:space="preserve">c)  </w:t>
      </w:r>
      <w:r>
        <w:rPr>
          <w:rFonts w:hint="eastAsia"/>
          <w:bCs/>
          <w:szCs w:val="21"/>
        </w:rPr>
        <w:t>吊装过程中，吊索水平夹角不宜小于60°，不应小于45°；</w:t>
      </w:r>
    </w:p>
    <w:p>
      <w:pPr>
        <w:pStyle w:val="58"/>
        <w:ind w:left="840" w:leftChars="200" w:hanging="420" w:hangingChars="200"/>
        <w:rPr>
          <w:bCs/>
          <w:szCs w:val="21"/>
        </w:rPr>
      </w:pPr>
      <w:r>
        <w:t>d</w:t>
      </w:r>
      <w:r>
        <w:rPr>
          <w:rFonts w:hint="eastAsia"/>
        </w:rPr>
        <w:t xml:space="preserve">)  </w:t>
      </w:r>
      <w:r>
        <w:rPr>
          <w:rFonts w:hint="eastAsia"/>
          <w:bCs/>
          <w:szCs w:val="21"/>
        </w:rPr>
        <w:t>应采用慢起、稳升、缓放的操作方式，吊运过程，应保持稳定，不得偏斜、摇摆和扭转，严禁吊装构件长时间悬停在空中；</w:t>
      </w:r>
    </w:p>
    <w:p>
      <w:pPr>
        <w:pStyle w:val="58"/>
        <w:ind w:left="840" w:leftChars="200" w:hanging="420" w:hangingChars="200"/>
        <w:rPr>
          <w:rFonts w:hint="eastAsia" w:eastAsia="宋体"/>
          <w:bCs/>
          <w:szCs w:val="21"/>
          <w:lang w:eastAsia="zh-CN"/>
        </w:rPr>
      </w:pPr>
      <w:r>
        <w:t>e</w:t>
      </w:r>
      <w:r>
        <w:rPr>
          <w:rFonts w:hint="eastAsia"/>
        </w:rPr>
        <w:t xml:space="preserve">)  </w:t>
      </w:r>
      <w:r>
        <w:rPr>
          <w:rFonts w:hint="eastAsia"/>
          <w:bCs/>
          <w:szCs w:val="21"/>
        </w:rPr>
        <w:t>吊装大跨度预制梁、板时，应使用分配梁或分配桁架类吊具，并应采取避免构件变形和损伤的临时加固措施</w:t>
      </w:r>
      <w:r>
        <w:rPr>
          <w:rFonts w:hint="eastAsia"/>
          <w:bCs/>
          <w:szCs w:val="21"/>
          <w:lang w:eastAsia="zh-CN"/>
        </w:rPr>
        <w:t>；</w:t>
      </w:r>
    </w:p>
    <w:p>
      <w:pPr>
        <w:pStyle w:val="58"/>
        <w:ind w:left="840" w:leftChars="200" w:hanging="420" w:hangingChars="200"/>
        <w:rPr>
          <w:bCs/>
          <w:szCs w:val="21"/>
        </w:rPr>
      </w:pPr>
      <w:r>
        <w:t>f</w:t>
      </w:r>
      <w:r>
        <w:rPr>
          <w:rFonts w:hint="eastAsia"/>
        </w:rPr>
        <w:t xml:space="preserve">)  </w:t>
      </w:r>
      <w:r>
        <w:rPr>
          <w:rFonts w:hint="eastAsia"/>
          <w:bCs/>
          <w:szCs w:val="21"/>
        </w:rPr>
        <w:t>预制构件吊装就位后，应及时安装位置校准并采取临时固定措施，应符合现行国家标准《混凝土结构工程施工规范》GB 50666的相关规定。</w:t>
      </w:r>
    </w:p>
    <w:p>
      <w:pPr>
        <w:rPr>
          <w:rFonts w:ascii="宋体" w:hAnsi="Times New Roman"/>
          <w:bCs/>
          <w:kern w:val="0"/>
        </w:rPr>
      </w:pPr>
      <w:r>
        <w:rPr>
          <w:rFonts w:hint="eastAsia" w:ascii="黑体" w:hAnsi="黑体" w:eastAsia="黑体"/>
        </w:rPr>
        <w:t>7.3.</w:t>
      </w:r>
      <w:r>
        <w:rPr>
          <w:rFonts w:ascii="黑体" w:hAnsi="黑体" w:eastAsia="黑体"/>
        </w:rPr>
        <w:t>2</w:t>
      </w:r>
      <w:r>
        <w:rPr>
          <w:rFonts w:hint="eastAsia" w:ascii="黑体" w:hAnsi="黑体" w:eastAsia="黑体"/>
        </w:rPr>
        <w:t xml:space="preserve"> </w:t>
      </w:r>
      <w:r>
        <w:rPr>
          <w:rFonts w:hint="eastAsia" w:ascii="宋体" w:hAnsi="Times New Roman"/>
          <w:bCs/>
          <w:kern w:val="0"/>
        </w:rPr>
        <w:t>预制柱、预制剪力墙安装采用可调斜支撑时，应符合下列规定：</w:t>
      </w:r>
    </w:p>
    <w:p>
      <w:pPr>
        <w:pStyle w:val="58"/>
        <w:ind w:left="840" w:leftChars="200" w:hanging="420" w:hangingChars="200"/>
        <w:rPr>
          <w:bCs/>
          <w:szCs w:val="21"/>
        </w:rPr>
      </w:pPr>
      <w:r>
        <w:t>a</w:t>
      </w:r>
      <w:r>
        <w:rPr>
          <w:rFonts w:hint="eastAsia"/>
        </w:rPr>
        <w:t>)</w:t>
      </w:r>
      <w:r>
        <w:tab/>
      </w:r>
      <w:r>
        <w:rPr>
          <w:rFonts w:hint="eastAsia"/>
          <w:bCs/>
          <w:szCs w:val="21"/>
        </w:rPr>
        <w:t>可调斜支撑不宜少于2道，应与构件可靠连接；</w:t>
      </w:r>
    </w:p>
    <w:p>
      <w:pPr>
        <w:pStyle w:val="58"/>
        <w:ind w:left="840" w:leftChars="200" w:hanging="420" w:hangingChars="200"/>
        <w:rPr>
          <w:bCs/>
          <w:szCs w:val="21"/>
        </w:rPr>
      </w:pPr>
      <w:r>
        <w:t>b</w:t>
      </w:r>
      <w:r>
        <w:rPr>
          <w:rFonts w:hint="eastAsia"/>
        </w:rPr>
        <w:t xml:space="preserve">)  </w:t>
      </w:r>
      <w:r>
        <w:rPr>
          <w:rFonts w:hint="eastAsia"/>
          <w:bCs/>
          <w:szCs w:val="21"/>
        </w:rPr>
        <w:t>可调斜支撑支撑点距离构件底部的距离不宜小于构件高度的2/3，且不应小于构件高度的1/2；</w:t>
      </w:r>
    </w:p>
    <w:p>
      <w:pPr>
        <w:pStyle w:val="58"/>
        <w:ind w:left="840" w:leftChars="200" w:hanging="420" w:hangingChars="200"/>
        <w:rPr>
          <w:bCs/>
          <w:szCs w:val="21"/>
        </w:rPr>
      </w:pPr>
      <w:r>
        <w:rPr>
          <w:rFonts w:hint="eastAsia"/>
        </w:rPr>
        <w:t xml:space="preserve">c)  </w:t>
      </w:r>
      <w:r>
        <w:rPr>
          <w:rFonts w:hint="eastAsia"/>
          <w:bCs/>
          <w:szCs w:val="21"/>
        </w:rPr>
        <w:t>预制构件安装就位后，可通过可调斜支撑对构件的位置和垂直度进行微调。</w:t>
      </w:r>
    </w:p>
    <w:p>
      <w:pPr>
        <w:rPr>
          <w:rFonts w:ascii="宋体" w:hAnsi="Times New Roman"/>
          <w:bCs/>
          <w:kern w:val="0"/>
        </w:rPr>
      </w:pPr>
      <w:r>
        <w:rPr>
          <w:rFonts w:hint="eastAsia" w:ascii="黑体" w:hAnsi="黑体" w:eastAsia="黑体"/>
        </w:rPr>
        <w:t>7.3.</w:t>
      </w:r>
      <w:r>
        <w:rPr>
          <w:rFonts w:ascii="黑体" w:hAnsi="黑体" w:eastAsia="黑体"/>
        </w:rPr>
        <w:t>3</w:t>
      </w:r>
      <w:r>
        <w:rPr>
          <w:rFonts w:hint="eastAsia" w:ascii="黑体" w:hAnsi="黑体" w:eastAsia="黑体"/>
        </w:rPr>
        <w:t xml:space="preserve"> </w:t>
      </w:r>
      <w:r>
        <w:rPr>
          <w:rFonts w:hint="eastAsia" w:ascii="宋体" w:hAnsi="Times New Roman"/>
          <w:bCs/>
          <w:kern w:val="0"/>
        </w:rPr>
        <w:t>预制梁、叠合板安装采用临时支撑时，应符合下列规定：</w:t>
      </w:r>
    </w:p>
    <w:p>
      <w:pPr>
        <w:pStyle w:val="58"/>
        <w:ind w:left="840" w:leftChars="200" w:hanging="420" w:hangingChars="200"/>
        <w:rPr>
          <w:bCs/>
          <w:szCs w:val="21"/>
        </w:rPr>
      </w:pPr>
      <w:r>
        <w:t>a</w:t>
      </w:r>
      <w:r>
        <w:rPr>
          <w:rFonts w:hint="eastAsia"/>
        </w:rPr>
        <w:t>)</w:t>
      </w:r>
      <w:r>
        <w:tab/>
      </w:r>
      <w:r>
        <w:rPr>
          <w:rFonts w:hint="eastAsia"/>
          <w:bCs/>
          <w:szCs w:val="21"/>
        </w:rPr>
        <w:t>首层支撑架体的地基应平整坚实，宜采取硬化措施；</w:t>
      </w:r>
    </w:p>
    <w:p>
      <w:pPr>
        <w:pStyle w:val="58"/>
        <w:ind w:left="840" w:leftChars="200" w:hanging="420" w:hangingChars="200"/>
        <w:rPr>
          <w:bCs/>
          <w:szCs w:val="21"/>
        </w:rPr>
      </w:pPr>
      <w:r>
        <w:t>b</w:t>
      </w:r>
      <w:r>
        <w:rPr>
          <w:rFonts w:hint="eastAsia"/>
        </w:rPr>
        <w:t xml:space="preserve">)  </w:t>
      </w:r>
      <w:r>
        <w:rPr>
          <w:rFonts w:hint="eastAsia"/>
          <w:bCs/>
          <w:szCs w:val="21"/>
        </w:rPr>
        <w:t>临时支撑的间距及其与墙、柱、梁边的间距应经计算确定；</w:t>
      </w:r>
    </w:p>
    <w:p>
      <w:pPr>
        <w:pStyle w:val="58"/>
        <w:ind w:left="840" w:leftChars="200" w:hanging="420" w:hangingChars="200"/>
        <w:rPr>
          <w:bCs/>
          <w:szCs w:val="21"/>
        </w:rPr>
      </w:pPr>
      <w:r>
        <w:rPr>
          <w:rFonts w:hint="eastAsia"/>
        </w:rPr>
        <w:t xml:space="preserve">c)  </w:t>
      </w:r>
      <w:r>
        <w:rPr>
          <w:rFonts w:hint="eastAsia"/>
          <w:bCs/>
          <w:szCs w:val="21"/>
        </w:rPr>
        <w:t>临时支撑宜采用工具式支撑架体。</w:t>
      </w:r>
    </w:p>
    <w:p>
      <w:pPr>
        <w:rPr>
          <w:rFonts w:ascii="宋体" w:hAnsi="Times New Roman"/>
          <w:bCs/>
          <w:kern w:val="0"/>
        </w:rPr>
      </w:pPr>
      <w:r>
        <w:rPr>
          <w:rFonts w:hint="eastAsia" w:ascii="黑体" w:hAnsi="黑体" w:eastAsia="黑体"/>
        </w:rPr>
        <w:t>7.3.</w:t>
      </w:r>
      <w:r>
        <w:rPr>
          <w:rFonts w:ascii="黑体" w:hAnsi="黑体" w:eastAsia="黑体"/>
        </w:rPr>
        <w:t>4</w:t>
      </w:r>
      <w:r>
        <w:rPr>
          <w:rFonts w:hint="eastAsia" w:ascii="黑体" w:hAnsi="黑体" w:eastAsia="黑体"/>
        </w:rPr>
        <w:t xml:space="preserve"> </w:t>
      </w:r>
      <w:r>
        <w:rPr>
          <w:rFonts w:hint="eastAsia" w:ascii="宋体" w:hAnsi="Times New Roman"/>
          <w:bCs/>
          <w:kern w:val="0"/>
        </w:rPr>
        <w:t>预制柱的安装应符合下列规定：</w:t>
      </w:r>
    </w:p>
    <w:p>
      <w:pPr>
        <w:pStyle w:val="58"/>
        <w:ind w:left="840" w:leftChars="200" w:hanging="420" w:hangingChars="200"/>
        <w:rPr>
          <w:bCs/>
          <w:szCs w:val="21"/>
        </w:rPr>
      </w:pPr>
      <w:r>
        <w:t>a</w:t>
      </w:r>
      <w:r>
        <w:rPr>
          <w:rFonts w:hint="eastAsia"/>
        </w:rPr>
        <w:t>)</w:t>
      </w:r>
      <w:r>
        <w:tab/>
      </w:r>
      <w:r>
        <w:rPr>
          <w:rFonts w:hint="eastAsia"/>
          <w:bCs/>
          <w:szCs w:val="21"/>
        </w:rPr>
        <w:t>采用杯口基础时：</w:t>
      </w:r>
    </w:p>
    <w:p>
      <w:pPr>
        <w:pStyle w:val="58"/>
        <w:ind w:left="840" w:leftChars="400" w:firstLine="0" w:firstLineChars="0"/>
      </w:pPr>
      <w:r>
        <w:rPr>
          <w:rFonts w:hint="eastAsia"/>
        </w:rPr>
        <w:t>1） 预制柱初步就位后应对预制柱的位置进行调整并临时固定，调节可调斜支撑校正预制柱垂直度，锁紧可调斜支撑，并用钢楔固定后方可摘除吊钩；</w:t>
      </w:r>
    </w:p>
    <w:p>
      <w:pPr>
        <w:pStyle w:val="58"/>
        <w:ind w:left="840" w:leftChars="400" w:firstLine="0" w:firstLineChars="0"/>
      </w:pPr>
      <w:r>
        <w:rPr>
          <w:rFonts w:hint="eastAsia"/>
        </w:rPr>
        <w:t>2） 在预制柱与杯口之间的空隙应用比基础混凝土强度等级值高一级的微膨胀细石混凝土充填密实。细石混凝土应分两次浇筑：第一次应浇筑至钢楔下口并不应小于杯口深度的2/3；当混凝土达到设计强度等级值的25%时，再浇筑至杯口顶面；</w:t>
      </w:r>
    </w:p>
    <w:p>
      <w:pPr>
        <w:pStyle w:val="58"/>
        <w:ind w:left="840" w:leftChars="400" w:firstLine="0" w:firstLineChars="0"/>
      </w:pPr>
      <w:r>
        <w:t>3</w:t>
      </w:r>
      <w:r>
        <w:rPr>
          <w:rFonts w:hint="eastAsia"/>
        </w:rPr>
        <w:t>） 当细石混凝土强度达到设计强度等级值的70%以上时，方可进行上部吊装。</w:t>
      </w:r>
    </w:p>
    <w:p>
      <w:pPr>
        <w:pStyle w:val="58"/>
        <w:ind w:left="840" w:leftChars="200" w:hanging="420" w:hangingChars="200"/>
        <w:rPr>
          <w:bCs/>
          <w:szCs w:val="21"/>
        </w:rPr>
      </w:pPr>
      <w:r>
        <w:t>b</w:t>
      </w:r>
      <w:r>
        <w:rPr>
          <w:rFonts w:hint="eastAsia"/>
        </w:rPr>
        <w:t>)</w:t>
      </w:r>
      <w:r>
        <w:tab/>
      </w:r>
      <w:r>
        <w:rPr>
          <w:rFonts w:hint="eastAsia"/>
          <w:bCs/>
          <w:szCs w:val="21"/>
        </w:rPr>
        <w:t>采用预留孔插筋法时：</w:t>
      </w:r>
    </w:p>
    <w:p>
      <w:pPr>
        <w:pStyle w:val="58"/>
        <w:ind w:left="840" w:leftChars="400" w:firstLine="0" w:firstLineChars="0"/>
      </w:pPr>
      <w:r>
        <w:rPr>
          <w:rFonts w:hint="eastAsia"/>
        </w:rPr>
        <w:t>1） 预制柱起吊过程中，应采用柱靴对从预制柱底伸出的钢筋进行保护；</w:t>
      </w:r>
    </w:p>
    <w:p>
      <w:pPr>
        <w:pStyle w:val="58"/>
        <w:ind w:left="840" w:leftChars="400" w:firstLine="0" w:firstLineChars="0"/>
      </w:pPr>
      <w:r>
        <w:rPr>
          <w:rFonts w:hint="eastAsia"/>
        </w:rPr>
        <w:t xml:space="preserve">2） </w:t>
      </w:r>
      <w:r>
        <w:t xml:space="preserve"> </w:t>
      </w:r>
      <w:r>
        <w:rPr>
          <w:rFonts w:hint="eastAsia"/>
        </w:rPr>
        <w:t xml:space="preserve">预制柱就位前，应在预留孔内注满灌浆料。在预制柱安装结合面均匀座浆，厚度宜为20mm； </w:t>
      </w:r>
    </w:p>
    <w:p>
      <w:pPr>
        <w:pStyle w:val="58"/>
        <w:ind w:left="840" w:leftChars="400" w:firstLine="0" w:firstLineChars="0"/>
      </w:pPr>
      <w:r>
        <w:t>3</w:t>
      </w:r>
      <w:r>
        <w:rPr>
          <w:rFonts w:hint="eastAsia"/>
        </w:rPr>
        <w:t>） 预制柱就位后应用可调斜支撑校正并固定；</w:t>
      </w:r>
    </w:p>
    <w:p>
      <w:pPr>
        <w:pStyle w:val="58"/>
        <w:ind w:left="840" w:leftChars="400" w:firstLine="0" w:firstLineChars="0"/>
      </w:pPr>
      <w:r>
        <w:t>4</w:t>
      </w:r>
      <w:r>
        <w:rPr>
          <w:rFonts w:hint="eastAsia"/>
        </w:rPr>
        <w:t>） 预制构件连接部位后浇混凝土及灌浆料的强度达到设计要求后，方可拆除临时固定措施。</w:t>
      </w:r>
    </w:p>
    <w:p>
      <w:pPr>
        <w:pStyle w:val="58"/>
        <w:ind w:left="840" w:leftChars="200" w:hanging="420" w:hangingChars="200"/>
        <w:rPr>
          <w:bCs/>
          <w:szCs w:val="21"/>
        </w:rPr>
      </w:pPr>
      <w:r>
        <w:t>c</w:t>
      </w:r>
      <w:r>
        <w:rPr>
          <w:rFonts w:hint="eastAsia"/>
        </w:rPr>
        <w:t>)</w:t>
      </w:r>
      <w:r>
        <w:tab/>
      </w:r>
      <w:r>
        <w:rPr>
          <w:rFonts w:hint="eastAsia"/>
          <w:bCs/>
          <w:szCs w:val="21"/>
        </w:rPr>
        <w:t>采用钢筋套筒灌浆连接时，预制柱就位前应设置柱底调平装置，控制柱安装标高；预制柱就位后应在两个方向设置可调斜支撑，并进行垂直度、轴线位置校核；柱脚连接部位宜采用工具式模板夹具封堵，也可采用座浆料进行封缝。</w:t>
      </w:r>
    </w:p>
    <w:p>
      <w:pPr>
        <w:rPr>
          <w:rFonts w:ascii="宋体" w:hAnsi="Times New Roman"/>
          <w:bCs/>
          <w:kern w:val="0"/>
        </w:rPr>
      </w:pPr>
      <w:r>
        <w:rPr>
          <w:rFonts w:hint="eastAsia" w:ascii="黑体" w:hAnsi="黑体" w:eastAsia="黑体"/>
        </w:rPr>
        <w:t>7.3.</w:t>
      </w:r>
      <w:r>
        <w:rPr>
          <w:rFonts w:ascii="黑体" w:hAnsi="黑体" w:eastAsia="黑体"/>
        </w:rPr>
        <w:t>5</w:t>
      </w:r>
      <w:r>
        <w:rPr>
          <w:rFonts w:hint="eastAsia" w:ascii="黑体" w:hAnsi="黑体" w:eastAsia="黑体"/>
        </w:rPr>
        <w:t xml:space="preserve"> </w:t>
      </w:r>
      <w:r>
        <w:rPr>
          <w:rFonts w:hint="eastAsia" w:ascii="宋体" w:hAnsi="Times New Roman"/>
          <w:bCs/>
          <w:kern w:val="0"/>
        </w:rPr>
        <w:t>预制剪力墙的安装应符合下列规定：</w:t>
      </w:r>
    </w:p>
    <w:p>
      <w:pPr>
        <w:pStyle w:val="58"/>
        <w:ind w:left="840" w:leftChars="200" w:hanging="420" w:hangingChars="200"/>
        <w:rPr>
          <w:bCs/>
          <w:szCs w:val="21"/>
        </w:rPr>
      </w:pPr>
      <w:r>
        <w:t>a</w:t>
      </w:r>
      <w:r>
        <w:rPr>
          <w:rFonts w:hint="eastAsia"/>
        </w:rPr>
        <w:t>)</w:t>
      </w:r>
      <w:r>
        <w:tab/>
      </w:r>
      <w:r>
        <w:rPr>
          <w:rFonts w:hint="eastAsia"/>
          <w:bCs/>
          <w:szCs w:val="21"/>
        </w:rPr>
        <w:t>预制剪力墙安装时，不得损伤下层预留插筋；</w:t>
      </w:r>
    </w:p>
    <w:p>
      <w:pPr>
        <w:pStyle w:val="58"/>
        <w:ind w:left="840" w:leftChars="200" w:hanging="420" w:hangingChars="200"/>
        <w:rPr>
          <w:bCs/>
          <w:szCs w:val="21"/>
        </w:rPr>
      </w:pPr>
      <w:r>
        <w:t>b</w:t>
      </w:r>
      <w:r>
        <w:rPr>
          <w:rFonts w:hint="eastAsia"/>
        </w:rPr>
        <w:t>)</w:t>
      </w:r>
      <w:r>
        <w:tab/>
      </w:r>
      <w:r>
        <w:rPr>
          <w:rFonts w:hint="eastAsia"/>
          <w:bCs/>
          <w:szCs w:val="21"/>
        </w:rPr>
        <w:t>集中约束预留插筋之间的净距应符合设计要求；</w:t>
      </w:r>
    </w:p>
    <w:p>
      <w:pPr>
        <w:pStyle w:val="58"/>
        <w:ind w:left="840" w:leftChars="200" w:hanging="420" w:hangingChars="200"/>
        <w:rPr>
          <w:bCs/>
          <w:szCs w:val="21"/>
        </w:rPr>
      </w:pPr>
      <w:r>
        <w:t>c</w:t>
      </w:r>
      <w:r>
        <w:rPr>
          <w:rFonts w:hint="eastAsia"/>
        </w:rPr>
        <w:t>)</w:t>
      </w:r>
      <w:r>
        <w:tab/>
      </w:r>
      <w:r>
        <w:rPr>
          <w:rFonts w:hint="eastAsia"/>
          <w:bCs/>
          <w:szCs w:val="21"/>
        </w:rPr>
        <w:t>应按座浆料产品使用说明书的要求计量座浆料和水的用量，并搅拌均匀；座浆时应均匀铺设座浆料，座浆厚度不宜大于20mm；座浆料强度应满足设计要求；</w:t>
      </w:r>
    </w:p>
    <w:p>
      <w:pPr>
        <w:pStyle w:val="58"/>
        <w:ind w:left="840" w:leftChars="200" w:hanging="420" w:hangingChars="200"/>
        <w:rPr>
          <w:bCs/>
          <w:szCs w:val="21"/>
        </w:rPr>
      </w:pPr>
      <w:r>
        <w:t>d</w:t>
      </w:r>
      <w:r>
        <w:rPr>
          <w:rFonts w:hint="eastAsia"/>
        </w:rPr>
        <w:t>)</w:t>
      </w:r>
      <w:r>
        <w:tab/>
      </w:r>
      <w:r>
        <w:rPr>
          <w:rFonts w:hint="eastAsia"/>
          <w:bCs/>
          <w:szCs w:val="21"/>
        </w:rPr>
        <w:t>预制剪力墙安装就位后，应采用可调斜支撑进行临时固定和垂直度校正。</w:t>
      </w:r>
    </w:p>
    <w:p>
      <w:pPr>
        <w:rPr>
          <w:rFonts w:ascii="宋体" w:hAnsi="Times New Roman"/>
          <w:bCs/>
          <w:kern w:val="0"/>
        </w:rPr>
      </w:pPr>
      <w:r>
        <w:rPr>
          <w:rFonts w:hint="eastAsia" w:ascii="黑体" w:hAnsi="黑体" w:eastAsia="黑体"/>
        </w:rPr>
        <w:t>7.3.</w:t>
      </w:r>
      <w:r>
        <w:rPr>
          <w:rFonts w:ascii="黑体" w:hAnsi="黑体" w:eastAsia="黑体"/>
        </w:rPr>
        <w:t>6</w:t>
      </w:r>
      <w:r>
        <w:rPr>
          <w:rFonts w:hint="eastAsia" w:ascii="黑体" w:hAnsi="黑体" w:eastAsia="黑体"/>
        </w:rPr>
        <w:t xml:space="preserve"> </w:t>
      </w:r>
      <w:r>
        <w:rPr>
          <w:rFonts w:hint="eastAsia" w:ascii="宋体" w:hAnsi="Times New Roman"/>
          <w:bCs/>
          <w:kern w:val="0"/>
        </w:rPr>
        <w:t>预制剪力墙的安装应符合下列规定：</w:t>
      </w:r>
    </w:p>
    <w:p>
      <w:pPr>
        <w:pStyle w:val="58"/>
        <w:ind w:left="840" w:leftChars="200" w:hanging="420" w:hangingChars="200"/>
        <w:rPr>
          <w:bCs/>
          <w:szCs w:val="21"/>
        </w:rPr>
      </w:pPr>
      <w:r>
        <w:t>a</w:t>
      </w:r>
      <w:r>
        <w:rPr>
          <w:rFonts w:hint="eastAsia"/>
        </w:rPr>
        <w:t>)</w:t>
      </w:r>
      <w:r>
        <w:tab/>
      </w:r>
      <w:r>
        <w:rPr>
          <w:rFonts w:hint="eastAsia"/>
          <w:bCs/>
          <w:szCs w:val="21"/>
        </w:rPr>
        <w:t>预制柱灌浆宜采用连通腔灌浆方式，采用的灌浆料应符合现行行业标准《钢筋连接用套筒灌浆料》JG/T 408的规定；</w:t>
      </w:r>
    </w:p>
    <w:p>
      <w:pPr>
        <w:pStyle w:val="58"/>
        <w:ind w:left="840" w:leftChars="200" w:hanging="420" w:hangingChars="200"/>
        <w:rPr>
          <w:bCs/>
          <w:szCs w:val="21"/>
        </w:rPr>
      </w:pPr>
      <w:r>
        <w:t>b</w:t>
      </w:r>
      <w:r>
        <w:rPr>
          <w:rFonts w:hint="eastAsia"/>
        </w:rPr>
        <w:t>)</w:t>
      </w:r>
      <w:r>
        <w:tab/>
      </w:r>
      <w:r>
        <w:rPr>
          <w:rFonts w:hint="eastAsia"/>
          <w:bCs/>
          <w:szCs w:val="21"/>
        </w:rPr>
        <w:t>预制剪力墙应采取预留孔道单孔灌浆，采用的灌浆料应符合现行国家标准《水泥基灌浆材料应用技术规范》GB/T 50448中II类水泥基灌浆材料的规定；</w:t>
      </w:r>
    </w:p>
    <w:p>
      <w:pPr>
        <w:pStyle w:val="58"/>
        <w:ind w:left="840" w:leftChars="200" w:hanging="420" w:hangingChars="200"/>
        <w:rPr>
          <w:bCs/>
          <w:szCs w:val="21"/>
        </w:rPr>
      </w:pPr>
      <w:r>
        <w:t>c</w:t>
      </w:r>
      <w:r>
        <w:rPr>
          <w:rFonts w:hint="eastAsia"/>
        </w:rPr>
        <w:t>)</w:t>
      </w:r>
      <w:r>
        <w:tab/>
      </w:r>
      <w:r>
        <w:rPr>
          <w:rFonts w:hint="eastAsia"/>
          <w:bCs/>
          <w:szCs w:val="21"/>
        </w:rPr>
        <w:t>灌浆施工时，环境温度不应低于5℃灌浆作业环境温度不宜低于5℃，当环境温度处于-5℃～5℃时，应编制专项施工方案，应选用低温型灌浆料，并应结合环境温度控制灌浆质量；</w:t>
      </w:r>
    </w:p>
    <w:p>
      <w:pPr>
        <w:pStyle w:val="58"/>
        <w:ind w:left="840" w:leftChars="200" w:hanging="420" w:hangingChars="200"/>
        <w:rPr>
          <w:bCs/>
          <w:szCs w:val="21"/>
        </w:rPr>
      </w:pPr>
      <w:r>
        <w:t>d</w:t>
      </w:r>
      <w:r>
        <w:rPr>
          <w:rFonts w:hint="eastAsia"/>
        </w:rPr>
        <w:t>)</w:t>
      </w:r>
      <w:r>
        <w:tab/>
      </w:r>
      <w:r>
        <w:rPr>
          <w:rFonts w:hint="eastAsia"/>
          <w:bCs/>
          <w:szCs w:val="21"/>
        </w:rPr>
        <w:t>灌浆操作全过程应由专职检验人员负责旁站监督并及时形成施工质量检查记录；</w:t>
      </w:r>
    </w:p>
    <w:p>
      <w:pPr>
        <w:pStyle w:val="58"/>
        <w:ind w:left="840" w:leftChars="200" w:hanging="420" w:hangingChars="200"/>
        <w:rPr>
          <w:bCs/>
          <w:szCs w:val="21"/>
        </w:rPr>
      </w:pPr>
      <w:r>
        <w:t>e</w:t>
      </w:r>
      <w:r>
        <w:rPr>
          <w:rFonts w:hint="eastAsia"/>
        </w:rPr>
        <w:t>)</w:t>
      </w:r>
      <w:r>
        <w:tab/>
      </w:r>
      <w:r>
        <w:rPr>
          <w:rFonts w:hint="eastAsia"/>
          <w:bCs/>
          <w:szCs w:val="21"/>
        </w:rPr>
        <w:t>应按产品使用说明书的要求计量灌浆料和水的用量，并搅拌均匀；每次拌制的灌浆料拌合物应进行流动度的检测，且流动度应符合国家现行标准《钢筋连接用套筒灌浆料》JG/T 408、《水泥基灌浆材料应用技术规范》GB/T 50448中II类水泥基灌浆材料的规定；</w:t>
      </w:r>
    </w:p>
    <w:p>
      <w:pPr>
        <w:pStyle w:val="58"/>
        <w:ind w:left="840" w:leftChars="200" w:hanging="420" w:hangingChars="200"/>
        <w:rPr>
          <w:bCs/>
          <w:szCs w:val="21"/>
        </w:rPr>
      </w:pPr>
      <w:r>
        <w:t>f</w:t>
      </w:r>
      <w:r>
        <w:rPr>
          <w:rFonts w:hint="eastAsia"/>
        </w:rPr>
        <w:t>)</w:t>
      </w:r>
      <w:r>
        <w:tab/>
      </w:r>
      <w:r>
        <w:rPr>
          <w:rFonts w:hint="eastAsia"/>
          <w:bCs/>
          <w:szCs w:val="21"/>
        </w:rPr>
        <w:t>预制柱灌浆采用连通腔灌浆时，宜采用一点灌浆方式。采用压浆法从灌浆套筒灌浆孔注入，当灌浆料拌合物从预制柱其他灌浆孔、出浆孔流出后应及时封堵，待灌浆料拌合物从排气孔呈圆柱状流出后方可停止灌浆；</w:t>
      </w:r>
    </w:p>
    <w:p>
      <w:pPr>
        <w:pStyle w:val="58"/>
        <w:ind w:left="840" w:leftChars="200" w:hanging="420" w:hangingChars="200"/>
        <w:rPr>
          <w:bCs/>
          <w:szCs w:val="21"/>
        </w:rPr>
      </w:pPr>
      <w:r>
        <w:t>g</w:t>
      </w:r>
      <w:r>
        <w:rPr>
          <w:rFonts w:hint="eastAsia"/>
        </w:rPr>
        <w:t>)</w:t>
      </w:r>
      <w:r>
        <w:tab/>
      </w:r>
      <w:r>
        <w:rPr>
          <w:rFonts w:hint="eastAsia"/>
          <w:bCs/>
          <w:szCs w:val="21"/>
        </w:rPr>
        <w:t>预制剪力墙采用预留孔道单孔灌浆，应采用压浆法从灌浆孔注入，当灌浆料拌合物从出浆孔呈圆柱状流出后及时封堵；</w:t>
      </w:r>
    </w:p>
    <w:p>
      <w:pPr>
        <w:pStyle w:val="58"/>
        <w:ind w:left="840" w:leftChars="200" w:hanging="420" w:hangingChars="200"/>
        <w:rPr>
          <w:bCs/>
          <w:szCs w:val="21"/>
        </w:rPr>
      </w:pPr>
      <w:r>
        <w:t>h</w:t>
      </w:r>
      <w:r>
        <w:rPr>
          <w:rFonts w:hint="eastAsia"/>
        </w:rPr>
        <w:t>)</w:t>
      </w:r>
      <w:r>
        <w:tab/>
      </w:r>
      <w:r>
        <w:rPr>
          <w:rFonts w:hint="eastAsia"/>
          <w:bCs/>
          <w:szCs w:val="21"/>
        </w:rPr>
        <w:t>预制柱、剪力墙灌浆宜采用微重力流补浆工艺；</w:t>
      </w:r>
    </w:p>
    <w:p>
      <w:pPr>
        <w:pStyle w:val="58"/>
        <w:ind w:left="840" w:leftChars="200" w:hanging="420" w:hangingChars="200"/>
        <w:rPr>
          <w:bCs/>
          <w:szCs w:val="21"/>
        </w:rPr>
      </w:pPr>
      <w:r>
        <w:t>i</w:t>
      </w:r>
      <w:r>
        <w:rPr>
          <w:rFonts w:hint="eastAsia"/>
        </w:rPr>
        <w:t>)</w:t>
      </w:r>
      <w:r>
        <w:tab/>
      </w:r>
      <w:r>
        <w:rPr>
          <w:rFonts w:hint="eastAsia"/>
          <w:bCs/>
          <w:szCs w:val="21"/>
        </w:rPr>
        <w:t>灌浆料拌合物应在制备后30min内用完。</w:t>
      </w:r>
    </w:p>
    <w:p>
      <w:pPr>
        <w:rPr>
          <w:rFonts w:ascii="宋体" w:hAnsi="Times New Roman"/>
          <w:bCs/>
          <w:kern w:val="0"/>
        </w:rPr>
      </w:pPr>
      <w:r>
        <w:rPr>
          <w:rFonts w:hint="eastAsia" w:ascii="黑体" w:hAnsi="黑体" w:eastAsia="黑体"/>
        </w:rPr>
        <w:t>7.3.</w:t>
      </w:r>
      <w:r>
        <w:rPr>
          <w:rFonts w:ascii="黑体" w:hAnsi="黑体" w:eastAsia="黑体"/>
        </w:rPr>
        <w:t>7</w:t>
      </w:r>
      <w:r>
        <w:rPr>
          <w:rFonts w:hint="eastAsia" w:ascii="黑体" w:hAnsi="黑体" w:eastAsia="黑体"/>
        </w:rPr>
        <w:t xml:space="preserve"> </w:t>
      </w:r>
      <w:r>
        <w:rPr>
          <w:rFonts w:hint="eastAsia" w:ascii="宋体" w:hAnsi="Times New Roman"/>
          <w:bCs/>
          <w:kern w:val="0"/>
        </w:rPr>
        <w:t>预制梁的安装应符合下列规定：</w:t>
      </w:r>
    </w:p>
    <w:p>
      <w:pPr>
        <w:pStyle w:val="58"/>
        <w:ind w:left="840" w:leftChars="200" w:hanging="420" w:hangingChars="200"/>
        <w:rPr>
          <w:bCs/>
          <w:szCs w:val="21"/>
        </w:rPr>
      </w:pPr>
      <w:r>
        <w:t>a</w:t>
      </w:r>
      <w:r>
        <w:rPr>
          <w:rFonts w:hint="eastAsia"/>
        </w:rPr>
        <w:t>)</w:t>
      </w:r>
      <w:r>
        <w:tab/>
      </w:r>
      <w:r>
        <w:rPr>
          <w:rFonts w:hint="eastAsia"/>
          <w:bCs/>
          <w:szCs w:val="21"/>
        </w:rPr>
        <w:t>安装顺序宜遵循先主梁后次梁、先低后高的原则；</w:t>
      </w:r>
    </w:p>
    <w:p>
      <w:pPr>
        <w:pStyle w:val="58"/>
        <w:ind w:left="840" w:leftChars="200" w:hanging="420" w:hangingChars="200"/>
        <w:rPr>
          <w:bCs/>
          <w:szCs w:val="21"/>
        </w:rPr>
      </w:pPr>
      <w:r>
        <w:t>b</w:t>
      </w:r>
      <w:r>
        <w:rPr>
          <w:rFonts w:hint="eastAsia"/>
        </w:rPr>
        <w:t>)</w:t>
      </w:r>
      <w:r>
        <w:tab/>
      </w:r>
      <w:r>
        <w:rPr>
          <w:rFonts w:hint="eastAsia"/>
          <w:bCs/>
          <w:szCs w:val="21"/>
        </w:rPr>
        <w:t>吊装前应按施工方案搭设临时支撑，并对临时支撑进行验收，验收合格后方可吊装预制梁；</w:t>
      </w:r>
    </w:p>
    <w:p>
      <w:pPr>
        <w:pStyle w:val="58"/>
        <w:ind w:left="840" w:leftChars="200" w:hanging="420" w:hangingChars="200"/>
        <w:rPr>
          <w:bCs/>
          <w:szCs w:val="21"/>
        </w:rPr>
      </w:pPr>
      <w:r>
        <w:t>c</w:t>
      </w:r>
      <w:r>
        <w:rPr>
          <w:rFonts w:hint="eastAsia"/>
        </w:rPr>
        <w:t>)</w:t>
      </w:r>
      <w:r>
        <w:tab/>
      </w:r>
      <w:r>
        <w:rPr>
          <w:rFonts w:hint="eastAsia"/>
          <w:bCs/>
          <w:szCs w:val="21"/>
        </w:rPr>
        <w:t>根据定位线和标高控制线，将预制梁安装在临时支撑上，对预制梁的水平度、安装位置和标高进行检查。次梁的搁置长度应符合设计要求；</w:t>
      </w:r>
    </w:p>
    <w:p>
      <w:pPr>
        <w:pStyle w:val="58"/>
        <w:ind w:left="840" w:leftChars="200" w:hanging="420" w:hangingChars="200"/>
        <w:rPr>
          <w:bCs/>
          <w:szCs w:val="21"/>
        </w:rPr>
      </w:pPr>
      <w:r>
        <w:t>d</w:t>
      </w:r>
      <w:r>
        <w:rPr>
          <w:rFonts w:hint="eastAsia"/>
        </w:rPr>
        <w:t>)</w:t>
      </w:r>
      <w:r>
        <w:tab/>
      </w:r>
      <w:r>
        <w:rPr>
          <w:rFonts w:hint="eastAsia"/>
          <w:bCs/>
          <w:szCs w:val="21"/>
        </w:rPr>
        <w:t>预制梁就位后，在凹槽部位安装U形连接钢筋，U形连接钢筋的间距应符合设计要求；</w:t>
      </w:r>
    </w:p>
    <w:p>
      <w:pPr>
        <w:pStyle w:val="58"/>
        <w:ind w:left="840" w:leftChars="200" w:hanging="420" w:hangingChars="200"/>
        <w:rPr>
          <w:bCs/>
          <w:szCs w:val="21"/>
        </w:rPr>
      </w:pPr>
      <w:r>
        <w:t>e</w:t>
      </w:r>
      <w:r>
        <w:rPr>
          <w:rFonts w:hint="eastAsia"/>
        </w:rPr>
        <w:t>)</w:t>
      </w:r>
      <w:r>
        <w:tab/>
      </w:r>
      <w:r>
        <w:rPr>
          <w:rFonts w:hint="eastAsia"/>
          <w:bCs/>
          <w:szCs w:val="21"/>
        </w:rPr>
        <w:t>梁柱节点处后浇混凝土部位宜采用定型模板；模板应保证后浇混凝土部分形状、尺寸和位置准确；模板与预制构件接缝处应采取防止漏浆的措施，可粘贴密封条；</w:t>
      </w:r>
    </w:p>
    <w:p>
      <w:pPr>
        <w:pStyle w:val="58"/>
        <w:ind w:left="840" w:leftChars="200" w:hanging="420" w:hangingChars="200"/>
        <w:rPr>
          <w:bCs/>
          <w:szCs w:val="21"/>
        </w:rPr>
      </w:pPr>
      <w:r>
        <w:t>f</w:t>
      </w:r>
      <w:r>
        <w:rPr>
          <w:rFonts w:hint="eastAsia"/>
        </w:rPr>
        <w:t>)</w:t>
      </w:r>
      <w:r>
        <w:tab/>
      </w:r>
      <w:r>
        <w:rPr>
          <w:rFonts w:hint="eastAsia"/>
          <w:bCs/>
          <w:szCs w:val="21"/>
        </w:rPr>
        <w:t>梁柱节点隐蔽验收合格后方可进行混凝土浇筑；混凝土浇筑前应将凹槽清理干净并浇水充分湿润，不得有积水；</w:t>
      </w:r>
    </w:p>
    <w:p>
      <w:pPr>
        <w:pStyle w:val="58"/>
        <w:ind w:left="840" w:leftChars="200" w:hanging="420" w:hangingChars="200"/>
        <w:rPr>
          <w:bCs/>
          <w:szCs w:val="21"/>
        </w:rPr>
      </w:pPr>
      <w:r>
        <w:t>g</w:t>
      </w:r>
      <w:r>
        <w:rPr>
          <w:rFonts w:hint="eastAsia"/>
        </w:rPr>
        <w:t>)</w:t>
      </w:r>
      <w:r>
        <w:tab/>
      </w:r>
      <w:r>
        <w:rPr>
          <w:rFonts w:hint="eastAsia"/>
          <w:bCs/>
          <w:szCs w:val="21"/>
        </w:rPr>
        <w:t>凹槽部位后浇混凝土强度应符合设计要求；在不同强度混凝土交界区域应采取分隔措施；</w:t>
      </w:r>
    </w:p>
    <w:p>
      <w:pPr>
        <w:pStyle w:val="58"/>
        <w:ind w:left="840" w:leftChars="200" w:hanging="420" w:hangingChars="200"/>
        <w:rPr>
          <w:bCs/>
          <w:szCs w:val="21"/>
        </w:rPr>
      </w:pPr>
      <w:r>
        <w:t>h</w:t>
      </w:r>
      <w:r>
        <w:rPr>
          <w:rFonts w:hint="eastAsia"/>
        </w:rPr>
        <w:t>)</w:t>
      </w:r>
      <w:r>
        <w:tab/>
      </w:r>
      <w:r>
        <w:rPr>
          <w:rFonts w:hint="eastAsia"/>
          <w:bCs/>
          <w:szCs w:val="21"/>
        </w:rPr>
        <w:t>预制梁的临时支撑应在后浇混凝土强度达到设计要求后方可拆除。</w:t>
      </w:r>
    </w:p>
    <w:p>
      <w:pPr>
        <w:rPr>
          <w:rFonts w:ascii="宋体" w:hAnsi="Times New Roman"/>
          <w:bCs/>
          <w:kern w:val="0"/>
        </w:rPr>
      </w:pPr>
      <w:r>
        <w:rPr>
          <w:rFonts w:hint="eastAsia" w:ascii="黑体" w:hAnsi="黑体" w:eastAsia="黑体"/>
        </w:rPr>
        <w:t>7.3.</w:t>
      </w:r>
      <w:r>
        <w:rPr>
          <w:rFonts w:ascii="黑体" w:hAnsi="黑体" w:eastAsia="黑体"/>
        </w:rPr>
        <w:t>8</w:t>
      </w:r>
      <w:r>
        <w:rPr>
          <w:rFonts w:hint="eastAsia" w:ascii="黑体" w:hAnsi="黑体" w:eastAsia="黑体"/>
        </w:rPr>
        <w:t xml:space="preserve"> </w:t>
      </w:r>
      <w:r>
        <w:rPr>
          <w:rFonts w:hint="eastAsia" w:ascii="宋体" w:hAnsi="Times New Roman"/>
          <w:bCs/>
          <w:kern w:val="0"/>
        </w:rPr>
        <w:t>预制梁、板的上部钢筋安装完成，并验收合格后，方可浇筑叠合层混凝土。</w:t>
      </w:r>
    </w:p>
    <w:p>
      <w:pPr>
        <w:pStyle w:val="106"/>
        <w:numPr>
          <w:ilvl w:val="0"/>
          <w:numId w:val="0"/>
        </w:numPr>
        <w:spacing w:before="312" w:after="312"/>
      </w:pPr>
      <w:bookmarkStart w:id="142" w:name="_Toc98610539"/>
      <w:bookmarkStart w:id="143" w:name="_Toc142923636"/>
      <w:r>
        <w:rPr>
          <w:rFonts w:hint="eastAsia"/>
        </w:rPr>
        <w:t xml:space="preserve">8 </w:t>
      </w:r>
      <w:bookmarkEnd w:id="142"/>
      <w:r>
        <w:rPr>
          <w:rFonts w:hint="eastAsia"/>
        </w:rPr>
        <w:t>质量验收</w:t>
      </w:r>
      <w:bookmarkEnd w:id="143"/>
    </w:p>
    <w:p>
      <w:pPr>
        <w:pStyle w:val="58"/>
        <w:spacing w:before="312" w:beforeLines="100" w:after="312" w:afterLines="100"/>
        <w:ind w:firstLine="0" w:firstLineChars="0"/>
        <w:outlineLvl w:val="1"/>
        <w:rPr>
          <w:rFonts w:ascii="黑体" w:hAnsi="黑体" w:eastAsia="黑体"/>
        </w:rPr>
      </w:pPr>
      <w:bookmarkStart w:id="144" w:name="_Toc142923637"/>
      <w:r>
        <w:rPr>
          <w:rFonts w:hint="eastAsia" w:ascii="黑体" w:hAnsi="黑体" w:eastAsia="黑体"/>
        </w:rPr>
        <w:t>8.1 一般规定</w:t>
      </w:r>
      <w:bookmarkEnd w:id="144"/>
    </w:p>
    <w:p>
      <w:pPr>
        <w:spacing w:line="240" w:lineRule="auto"/>
        <w:rPr>
          <w:rFonts w:ascii="宋体" w:hAnsi="Times New Roman"/>
          <w:bCs/>
          <w:kern w:val="0"/>
        </w:rPr>
      </w:pPr>
      <w:r>
        <w:rPr>
          <w:rFonts w:ascii="黑体" w:hAnsi="黑体" w:eastAsia="黑体"/>
        </w:rPr>
        <w:t>8</w:t>
      </w:r>
      <w:r>
        <w:rPr>
          <w:rFonts w:hint="eastAsia" w:ascii="黑体" w:hAnsi="黑体" w:eastAsia="黑体"/>
        </w:rPr>
        <w:t>.</w:t>
      </w:r>
      <w:r>
        <w:rPr>
          <w:rFonts w:ascii="黑体" w:hAnsi="黑体" w:eastAsia="黑体"/>
        </w:rPr>
        <w:t>1</w:t>
      </w:r>
      <w:r>
        <w:rPr>
          <w:rFonts w:hint="eastAsia" w:ascii="黑体" w:hAnsi="黑体" w:eastAsia="黑体"/>
        </w:rPr>
        <w:t>.</w:t>
      </w:r>
      <w:r>
        <w:rPr>
          <w:rFonts w:ascii="黑体" w:hAnsi="黑体" w:eastAsia="黑体"/>
        </w:rPr>
        <w:t>1</w:t>
      </w:r>
      <w:r>
        <w:rPr>
          <w:rFonts w:hint="eastAsia" w:ascii="黑体" w:hAnsi="黑体" w:eastAsia="黑体"/>
        </w:rPr>
        <w:t xml:space="preserve"> </w:t>
      </w:r>
      <w:r>
        <w:rPr>
          <w:rFonts w:hint="eastAsia" w:ascii="宋体" w:hAnsi="Times New Roman"/>
          <w:bCs/>
          <w:kern w:val="0"/>
        </w:rPr>
        <w:t>预制预应力装配整体式混凝土结构应按混凝土结构子分部工程进行验收；当结构中部分采用现浇混凝土时，装配式结构部分可作为混凝土结构子分部工程的分项工程进行验收。</w:t>
      </w:r>
    </w:p>
    <w:p>
      <w:pPr>
        <w:pStyle w:val="58"/>
        <w:ind w:firstLine="420"/>
        <w:rPr>
          <w:bCs/>
          <w:szCs w:val="21"/>
        </w:rPr>
      </w:pPr>
      <w:r>
        <w:rPr>
          <w:rFonts w:hint="eastAsia"/>
          <w:bCs/>
          <w:szCs w:val="21"/>
        </w:rPr>
        <w:t>预制预应力装配整体式混凝土结构验收除应符合本规程规定外，尚应符合现行国家标准《混凝土结构工程施工质量验收规范》GB 50204的有关规定。</w:t>
      </w:r>
    </w:p>
    <w:p>
      <w:pPr>
        <w:spacing w:line="240" w:lineRule="auto"/>
        <w:rPr>
          <w:rFonts w:ascii="宋体" w:hAnsi="Times New Roman"/>
          <w:bCs/>
          <w:kern w:val="0"/>
        </w:rPr>
      </w:pPr>
      <w:r>
        <w:rPr>
          <w:rFonts w:ascii="黑体" w:hAnsi="黑体" w:eastAsia="黑体"/>
        </w:rPr>
        <w:t>8</w:t>
      </w:r>
      <w:r>
        <w:rPr>
          <w:rFonts w:hint="eastAsia" w:ascii="黑体" w:hAnsi="黑体" w:eastAsia="黑体"/>
        </w:rPr>
        <w:t>.</w:t>
      </w:r>
      <w:r>
        <w:rPr>
          <w:rFonts w:ascii="黑体" w:hAnsi="黑体" w:eastAsia="黑体"/>
        </w:rPr>
        <w:t>1</w:t>
      </w:r>
      <w:r>
        <w:rPr>
          <w:rFonts w:hint="eastAsia" w:ascii="黑体" w:hAnsi="黑体" w:eastAsia="黑体"/>
        </w:rPr>
        <w:t>.</w:t>
      </w:r>
      <w:r>
        <w:rPr>
          <w:rFonts w:ascii="黑体" w:hAnsi="黑体" w:eastAsia="黑体"/>
        </w:rPr>
        <w:t>2</w:t>
      </w:r>
      <w:r>
        <w:rPr>
          <w:rFonts w:hint="eastAsia" w:ascii="黑体" w:hAnsi="黑体" w:eastAsia="黑体"/>
        </w:rPr>
        <w:t xml:space="preserve"> </w:t>
      </w:r>
      <w:r>
        <w:rPr>
          <w:rFonts w:hint="eastAsia" w:ascii="宋体" w:hAnsi="Times New Roman"/>
          <w:bCs/>
          <w:kern w:val="0"/>
        </w:rPr>
        <w:t>预制预应力装配整体式混凝土结构子分部工程的分项工程，应按进场批次、工作班、楼层、结构缝或施工段等划分检验批。</w:t>
      </w:r>
    </w:p>
    <w:p>
      <w:pPr>
        <w:spacing w:line="240" w:lineRule="auto"/>
        <w:rPr>
          <w:rFonts w:ascii="宋体" w:hAnsi="Times New Roman"/>
          <w:bCs/>
          <w:kern w:val="0"/>
        </w:rPr>
      </w:pPr>
      <w:r>
        <w:rPr>
          <w:rFonts w:ascii="黑体" w:hAnsi="黑体" w:eastAsia="黑体"/>
        </w:rPr>
        <w:t>8</w:t>
      </w:r>
      <w:r>
        <w:rPr>
          <w:rFonts w:hint="eastAsia" w:ascii="黑体" w:hAnsi="黑体" w:eastAsia="黑体"/>
        </w:rPr>
        <w:t>.</w:t>
      </w:r>
      <w:r>
        <w:rPr>
          <w:rFonts w:ascii="黑体" w:hAnsi="黑体" w:eastAsia="黑体"/>
        </w:rPr>
        <w:t>1</w:t>
      </w:r>
      <w:r>
        <w:rPr>
          <w:rFonts w:hint="eastAsia" w:ascii="黑体" w:hAnsi="黑体" w:eastAsia="黑体"/>
        </w:rPr>
        <w:t>.</w:t>
      </w:r>
      <w:r>
        <w:rPr>
          <w:rFonts w:ascii="黑体" w:hAnsi="黑体" w:eastAsia="黑体"/>
        </w:rPr>
        <w:t>3</w:t>
      </w:r>
      <w:r>
        <w:rPr>
          <w:rFonts w:hint="eastAsia" w:ascii="黑体" w:hAnsi="黑体" w:eastAsia="黑体"/>
        </w:rPr>
        <w:t xml:space="preserve"> </w:t>
      </w:r>
      <w:r>
        <w:rPr>
          <w:rFonts w:hint="eastAsia" w:ascii="宋体" w:hAnsi="Times New Roman"/>
          <w:bCs/>
          <w:kern w:val="0"/>
        </w:rPr>
        <w:t>预制预应力混凝土装配整体式结构工程施工用的原材料、构配件应按检验批进行进场验收。</w:t>
      </w:r>
    </w:p>
    <w:p>
      <w:pPr>
        <w:spacing w:line="240" w:lineRule="auto"/>
        <w:rPr>
          <w:rFonts w:ascii="宋体" w:hAnsi="Times New Roman"/>
          <w:bCs/>
          <w:kern w:val="0"/>
        </w:rPr>
      </w:pPr>
      <w:r>
        <w:rPr>
          <w:rFonts w:ascii="黑体" w:hAnsi="黑体" w:eastAsia="黑体"/>
        </w:rPr>
        <w:t>8</w:t>
      </w:r>
      <w:r>
        <w:rPr>
          <w:rFonts w:hint="eastAsia" w:ascii="黑体" w:hAnsi="黑体" w:eastAsia="黑体"/>
        </w:rPr>
        <w:t>.</w:t>
      </w:r>
      <w:r>
        <w:rPr>
          <w:rFonts w:ascii="黑体" w:hAnsi="黑体" w:eastAsia="黑体"/>
        </w:rPr>
        <w:t>1</w:t>
      </w:r>
      <w:r>
        <w:rPr>
          <w:rFonts w:hint="eastAsia" w:ascii="黑体" w:hAnsi="黑体" w:eastAsia="黑体"/>
        </w:rPr>
        <w:t>.</w:t>
      </w:r>
      <w:r>
        <w:rPr>
          <w:rFonts w:ascii="黑体" w:hAnsi="黑体" w:eastAsia="黑体"/>
        </w:rPr>
        <w:t>4</w:t>
      </w:r>
      <w:r>
        <w:rPr>
          <w:rFonts w:hint="eastAsia" w:ascii="黑体" w:hAnsi="黑体" w:eastAsia="黑体"/>
        </w:rPr>
        <w:t xml:space="preserve"> </w:t>
      </w:r>
      <w:r>
        <w:rPr>
          <w:rFonts w:hint="eastAsia" w:ascii="宋体" w:hAnsi="Times New Roman"/>
          <w:bCs/>
          <w:kern w:val="0"/>
        </w:rPr>
        <w:t>预制预应力混凝土装配整体式结构连接节点及叠合构件浇筑混凝土前，应进行隐蔽工程验收。隐蔽工程验收应包括下列主要内容：</w:t>
      </w:r>
    </w:p>
    <w:p>
      <w:pPr>
        <w:pStyle w:val="58"/>
        <w:ind w:left="840" w:leftChars="200" w:hanging="420" w:hangingChars="200"/>
        <w:rPr>
          <w:bCs/>
          <w:szCs w:val="21"/>
        </w:rPr>
      </w:pPr>
      <w:r>
        <w:t>a</w:t>
      </w:r>
      <w:r>
        <w:rPr>
          <w:rFonts w:hint="eastAsia"/>
        </w:rPr>
        <w:t>)</w:t>
      </w:r>
      <w:r>
        <w:tab/>
      </w:r>
      <w:r>
        <w:rPr>
          <w:rFonts w:hint="eastAsia"/>
          <w:bCs/>
          <w:szCs w:val="21"/>
        </w:rPr>
        <w:t>混凝土粗糙面的质量，键槽的尺寸、数量、位置；</w:t>
      </w:r>
    </w:p>
    <w:p>
      <w:pPr>
        <w:pStyle w:val="58"/>
        <w:ind w:left="840" w:leftChars="200" w:hanging="420" w:hangingChars="200"/>
        <w:rPr>
          <w:bCs/>
          <w:szCs w:val="21"/>
        </w:rPr>
      </w:pPr>
      <w:r>
        <w:t>b</w:t>
      </w:r>
      <w:r>
        <w:rPr>
          <w:rFonts w:hint="eastAsia"/>
        </w:rPr>
        <w:t>)</w:t>
      </w:r>
      <w:r>
        <w:tab/>
      </w:r>
      <w:r>
        <w:rPr>
          <w:rFonts w:hint="eastAsia"/>
          <w:bCs/>
          <w:szCs w:val="21"/>
        </w:rPr>
        <w:t>钢筋的牌号、规格、数量、位置、间距，箍筋弯钩的弯折角度及平直段长度；</w:t>
      </w:r>
    </w:p>
    <w:p>
      <w:pPr>
        <w:pStyle w:val="58"/>
        <w:ind w:left="840" w:leftChars="200" w:hanging="420" w:hangingChars="200"/>
        <w:rPr>
          <w:bCs/>
          <w:szCs w:val="21"/>
        </w:rPr>
      </w:pPr>
      <w:r>
        <w:t>c</w:t>
      </w:r>
      <w:r>
        <w:rPr>
          <w:rFonts w:hint="eastAsia"/>
        </w:rPr>
        <w:t>)</w:t>
      </w:r>
      <w:r>
        <w:tab/>
      </w:r>
      <w:r>
        <w:rPr>
          <w:rFonts w:hint="eastAsia"/>
          <w:bCs/>
          <w:szCs w:val="21"/>
        </w:rPr>
        <w:t>钢筋的连接方式、接头位置、接头数量、接头面积百分率、搭接长度、锚固方式及锚固长度；</w:t>
      </w:r>
    </w:p>
    <w:p>
      <w:pPr>
        <w:pStyle w:val="58"/>
        <w:ind w:left="840" w:leftChars="200" w:hanging="420" w:hangingChars="200"/>
        <w:rPr>
          <w:bCs/>
          <w:szCs w:val="21"/>
        </w:rPr>
      </w:pPr>
      <w:r>
        <w:t>d</w:t>
      </w:r>
      <w:r>
        <w:rPr>
          <w:rFonts w:hint="eastAsia"/>
        </w:rPr>
        <w:t>)</w:t>
      </w:r>
      <w:r>
        <w:tab/>
      </w:r>
      <w:r>
        <w:rPr>
          <w:rFonts w:hint="eastAsia"/>
          <w:bCs/>
          <w:szCs w:val="21"/>
        </w:rPr>
        <w:t>预埋件、预留管线的规格、数量、位置；</w:t>
      </w:r>
    </w:p>
    <w:p>
      <w:pPr>
        <w:pStyle w:val="58"/>
        <w:ind w:left="840" w:leftChars="200" w:hanging="420" w:hangingChars="200"/>
        <w:rPr>
          <w:bCs/>
          <w:szCs w:val="21"/>
        </w:rPr>
      </w:pPr>
      <w:r>
        <w:t>e</w:t>
      </w:r>
      <w:r>
        <w:rPr>
          <w:rFonts w:hint="eastAsia"/>
        </w:rPr>
        <w:t>)</w:t>
      </w:r>
      <w:r>
        <w:tab/>
      </w:r>
      <w:r>
        <w:rPr>
          <w:rFonts w:hint="eastAsia"/>
          <w:bCs/>
          <w:szCs w:val="21"/>
        </w:rPr>
        <w:t>竖向构件预留钢筋的规格、数量、位置、间距，集中约束钢筋弯折角度等；</w:t>
      </w:r>
    </w:p>
    <w:p>
      <w:pPr>
        <w:pStyle w:val="58"/>
        <w:ind w:left="840" w:leftChars="200" w:hanging="420" w:hangingChars="200"/>
        <w:rPr>
          <w:bCs/>
          <w:szCs w:val="21"/>
        </w:rPr>
      </w:pPr>
      <w:r>
        <w:t>f</w:t>
      </w:r>
      <w:r>
        <w:rPr>
          <w:rFonts w:hint="eastAsia"/>
        </w:rPr>
        <w:t>)</w:t>
      </w:r>
      <w:r>
        <w:tab/>
      </w:r>
      <w:r>
        <w:rPr>
          <w:rFonts w:hint="eastAsia"/>
          <w:bCs/>
          <w:szCs w:val="21"/>
        </w:rPr>
        <w:t>凹槽部位U形连接钢筋的规格、数量、位置、间距；</w:t>
      </w:r>
    </w:p>
    <w:p>
      <w:pPr>
        <w:pStyle w:val="58"/>
        <w:ind w:left="840" w:leftChars="200" w:hanging="420" w:hangingChars="200"/>
        <w:rPr>
          <w:bCs/>
          <w:szCs w:val="21"/>
        </w:rPr>
      </w:pPr>
      <w:r>
        <w:t>g</w:t>
      </w:r>
      <w:r>
        <w:rPr>
          <w:rFonts w:hint="eastAsia"/>
        </w:rPr>
        <w:t>)</w:t>
      </w:r>
      <w:r>
        <w:tab/>
      </w:r>
      <w:r>
        <w:rPr>
          <w:rFonts w:hint="eastAsia"/>
          <w:bCs/>
          <w:szCs w:val="21"/>
        </w:rPr>
        <w:t>其他隐蔽项目。</w:t>
      </w:r>
    </w:p>
    <w:p>
      <w:pPr>
        <w:spacing w:line="240" w:lineRule="auto"/>
        <w:rPr>
          <w:rFonts w:ascii="宋体" w:hAnsi="Times New Roman"/>
          <w:bCs/>
          <w:kern w:val="0"/>
        </w:rPr>
      </w:pPr>
      <w:r>
        <w:rPr>
          <w:rFonts w:ascii="黑体" w:hAnsi="黑体" w:eastAsia="黑体"/>
        </w:rPr>
        <w:t>8</w:t>
      </w:r>
      <w:r>
        <w:rPr>
          <w:rFonts w:hint="eastAsia" w:ascii="黑体" w:hAnsi="黑体" w:eastAsia="黑体"/>
        </w:rPr>
        <w:t>.</w:t>
      </w:r>
      <w:r>
        <w:rPr>
          <w:rFonts w:ascii="黑体" w:hAnsi="黑体" w:eastAsia="黑体"/>
        </w:rPr>
        <w:t>1</w:t>
      </w:r>
      <w:r>
        <w:rPr>
          <w:rFonts w:hint="eastAsia" w:ascii="黑体" w:hAnsi="黑体" w:eastAsia="黑体"/>
        </w:rPr>
        <w:t>.</w:t>
      </w:r>
      <w:r>
        <w:rPr>
          <w:rFonts w:ascii="黑体" w:hAnsi="黑体" w:eastAsia="黑体"/>
        </w:rPr>
        <w:t>5</w:t>
      </w:r>
      <w:r>
        <w:rPr>
          <w:rFonts w:hint="eastAsia" w:ascii="黑体" w:hAnsi="黑体" w:eastAsia="黑体"/>
        </w:rPr>
        <w:t xml:space="preserve"> </w:t>
      </w:r>
      <w:r>
        <w:rPr>
          <w:rFonts w:hint="eastAsia" w:ascii="宋体" w:hAnsi="Times New Roman"/>
          <w:bCs/>
          <w:kern w:val="0"/>
        </w:rPr>
        <w:t>混凝土结构子分部工程验收时，除应符合现行国家标准《混凝土结构工程施工质量验收规范》GB 50204的有关规定提供文件和记录外，尚应提供下列文件和记录：</w:t>
      </w:r>
    </w:p>
    <w:p>
      <w:pPr>
        <w:pStyle w:val="58"/>
        <w:ind w:left="840" w:leftChars="200" w:hanging="420" w:hangingChars="200"/>
        <w:rPr>
          <w:bCs/>
          <w:szCs w:val="21"/>
        </w:rPr>
      </w:pPr>
      <w:r>
        <w:t>a</w:t>
      </w:r>
      <w:r>
        <w:rPr>
          <w:rFonts w:hint="eastAsia"/>
        </w:rPr>
        <w:t>)</w:t>
      </w:r>
      <w:r>
        <w:tab/>
      </w:r>
      <w:r>
        <w:rPr>
          <w:rFonts w:hint="eastAsia"/>
          <w:bCs/>
          <w:szCs w:val="21"/>
        </w:rPr>
        <w:t>工程设计文件、预制构件安装施工图和加工制作详图；</w:t>
      </w:r>
    </w:p>
    <w:p>
      <w:pPr>
        <w:pStyle w:val="58"/>
        <w:ind w:left="840" w:leftChars="200" w:hanging="420" w:hangingChars="200"/>
        <w:rPr>
          <w:bCs/>
          <w:szCs w:val="21"/>
        </w:rPr>
      </w:pPr>
      <w:r>
        <w:t>b</w:t>
      </w:r>
      <w:r>
        <w:rPr>
          <w:rFonts w:hint="eastAsia"/>
        </w:rPr>
        <w:t>)</w:t>
      </w:r>
      <w:r>
        <w:tab/>
      </w:r>
      <w:r>
        <w:rPr>
          <w:rFonts w:hint="eastAsia"/>
          <w:bCs/>
          <w:szCs w:val="21"/>
        </w:rPr>
        <w:t>预制构件、主要材料及配件的质量证明文件、进场验收记录、抽样复验报告；</w:t>
      </w:r>
    </w:p>
    <w:p>
      <w:pPr>
        <w:pStyle w:val="58"/>
        <w:ind w:left="840" w:leftChars="200" w:hanging="420" w:hangingChars="200"/>
        <w:rPr>
          <w:bCs/>
          <w:szCs w:val="21"/>
        </w:rPr>
      </w:pPr>
      <w:r>
        <w:t>c</w:t>
      </w:r>
      <w:r>
        <w:rPr>
          <w:rFonts w:hint="eastAsia"/>
        </w:rPr>
        <w:t>)</w:t>
      </w:r>
      <w:r>
        <w:tab/>
      </w:r>
      <w:r>
        <w:rPr>
          <w:rFonts w:hint="eastAsia"/>
          <w:bCs/>
          <w:szCs w:val="21"/>
        </w:rPr>
        <w:t>预制构件安装施工记录；</w:t>
      </w:r>
    </w:p>
    <w:p>
      <w:pPr>
        <w:pStyle w:val="58"/>
        <w:ind w:left="840" w:leftChars="200" w:hanging="420" w:hangingChars="200"/>
        <w:rPr>
          <w:bCs/>
          <w:szCs w:val="21"/>
        </w:rPr>
      </w:pPr>
      <w:r>
        <w:t>d</w:t>
      </w:r>
      <w:r>
        <w:rPr>
          <w:rFonts w:hint="eastAsia"/>
        </w:rPr>
        <w:t>)</w:t>
      </w:r>
      <w:r>
        <w:tab/>
      </w:r>
      <w:r>
        <w:rPr>
          <w:rFonts w:hint="eastAsia"/>
          <w:bCs/>
          <w:szCs w:val="21"/>
        </w:rPr>
        <w:t>钢筋套筒灌浆型式检验报告、工艺检验报告和施工检验记录，浆锚搭接连接的施工检验记录；</w:t>
      </w:r>
    </w:p>
    <w:p>
      <w:pPr>
        <w:pStyle w:val="58"/>
        <w:ind w:left="840" w:leftChars="200" w:hanging="420" w:hangingChars="200"/>
        <w:rPr>
          <w:bCs/>
          <w:szCs w:val="21"/>
        </w:rPr>
      </w:pPr>
      <w:r>
        <w:t>e</w:t>
      </w:r>
      <w:r>
        <w:rPr>
          <w:rFonts w:hint="eastAsia"/>
        </w:rPr>
        <w:t>)</w:t>
      </w:r>
      <w:r>
        <w:tab/>
      </w:r>
      <w:r>
        <w:rPr>
          <w:rFonts w:hint="eastAsia"/>
          <w:bCs/>
          <w:szCs w:val="21"/>
        </w:rPr>
        <w:t>后浇混凝土部位的隐蔽工程检查验收文件；</w:t>
      </w:r>
    </w:p>
    <w:p>
      <w:pPr>
        <w:pStyle w:val="58"/>
        <w:ind w:left="840" w:leftChars="200" w:hanging="420" w:hangingChars="200"/>
        <w:rPr>
          <w:bCs/>
          <w:szCs w:val="21"/>
        </w:rPr>
      </w:pPr>
      <w:r>
        <w:t>f</w:t>
      </w:r>
      <w:r>
        <w:rPr>
          <w:rFonts w:hint="eastAsia"/>
        </w:rPr>
        <w:t>)</w:t>
      </w:r>
      <w:r>
        <w:tab/>
      </w:r>
      <w:r>
        <w:rPr>
          <w:rFonts w:hint="eastAsia"/>
          <w:bCs/>
          <w:szCs w:val="21"/>
        </w:rPr>
        <w:t>后浇混凝土、灌浆料、座浆材料强度检测报告；</w:t>
      </w:r>
    </w:p>
    <w:p>
      <w:pPr>
        <w:pStyle w:val="58"/>
        <w:ind w:left="840" w:leftChars="200" w:hanging="420" w:hangingChars="200"/>
        <w:rPr>
          <w:bCs/>
          <w:szCs w:val="21"/>
        </w:rPr>
      </w:pPr>
      <w:r>
        <w:t>g</w:t>
      </w:r>
      <w:r>
        <w:rPr>
          <w:rFonts w:hint="eastAsia"/>
        </w:rPr>
        <w:t>)</w:t>
      </w:r>
      <w:r>
        <w:tab/>
      </w:r>
      <w:r>
        <w:rPr>
          <w:rFonts w:hint="eastAsia"/>
          <w:bCs/>
          <w:szCs w:val="21"/>
        </w:rPr>
        <w:t>装配式结构分项工程质量验收文件；</w:t>
      </w:r>
    </w:p>
    <w:p>
      <w:pPr>
        <w:pStyle w:val="58"/>
        <w:ind w:left="840" w:leftChars="200" w:hanging="420" w:hangingChars="200"/>
        <w:rPr>
          <w:bCs/>
          <w:szCs w:val="21"/>
        </w:rPr>
      </w:pPr>
      <w:r>
        <w:t>h</w:t>
      </w:r>
      <w:r>
        <w:rPr>
          <w:rFonts w:hint="eastAsia"/>
        </w:rPr>
        <w:t>)</w:t>
      </w:r>
      <w:r>
        <w:tab/>
      </w:r>
      <w:r>
        <w:rPr>
          <w:rFonts w:hint="eastAsia"/>
          <w:bCs/>
          <w:szCs w:val="21"/>
        </w:rPr>
        <w:t>装配式工程的重大质量问题的处理方案和验收记录；</w:t>
      </w:r>
    </w:p>
    <w:p>
      <w:pPr>
        <w:pStyle w:val="58"/>
        <w:ind w:left="840" w:leftChars="200" w:hanging="420" w:hangingChars="200"/>
        <w:rPr>
          <w:bCs/>
          <w:szCs w:val="21"/>
        </w:rPr>
      </w:pPr>
      <w:r>
        <w:t>i</w:t>
      </w:r>
      <w:r>
        <w:rPr>
          <w:rFonts w:hint="eastAsia"/>
        </w:rPr>
        <w:t>)</w:t>
      </w:r>
      <w:r>
        <w:tab/>
      </w:r>
      <w:r>
        <w:rPr>
          <w:rFonts w:hint="eastAsia"/>
          <w:bCs/>
          <w:szCs w:val="21"/>
        </w:rPr>
        <w:t>装配式工程的其他文件和记录。</w:t>
      </w:r>
    </w:p>
    <w:p>
      <w:pPr>
        <w:pStyle w:val="58"/>
        <w:spacing w:before="312" w:beforeLines="100" w:after="312" w:afterLines="100"/>
        <w:ind w:firstLine="0" w:firstLineChars="0"/>
        <w:outlineLvl w:val="1"/>
        <w:rPr>
          <w:rFonts w:ascii="黑体" w:hAnsi="黑体" w:eastAsia="黑体"/>
        </w:rPr>
      </w:pPr>
      <w:bookmarkStart w:id="145" w:name="_Toc142923638"/>
      <w:r>
        <w:rPr>
          <w:rFonts w:hint="eastAsia" w:ascii="黑体" w:hAnsi="黑体" w:eastAsia="黑体"/>
        </w:rPr>
        <w:t>8.</w:t>
      </w:r>
      <w:r>
        <w:rPr>
          <w:rFonts w:ascii="黑体" w:hAnsi="黑体" w:eastAsia="黑体"/>
        </w:rPr>
        <w:t>2</w:t>
      </w:r>
      <w:r>
        <w:rPr>
          <w:rFonts w:hint="eastAsia" w:ascii="黑体" w:hAnsi="黑体" w:eastAsia="黑体"/>
        </w:rPr>
        <w:t xml:space="preserve"> 预制构件</w:t>
      </w:r>
      <w:bookmarkEnd w:id="145"/>
    </w:p>
    <w:p>
      <w:pPr>
        <w:spacing w:line="240" w:lineRule="auto"/>
        <w:rPr>
          <w:rFonts w:ascii="黑体" w:hAnsi="黑体" w:eastAsia="黑体"/>
        </w:rPr>
      </w:pPr>
      <w:r>
        <w:rPr>
          <w:rFonts w:hint="eastAsia" w:ascii="宋体" w:hAnsi="宋体" w:cs="宋体"/>
        </w:rPr>
        <w:t>Ⅰ</w:t>
      </w:r>
      <w:r>
        <w:rPr>
          <w:rFonts w:hint="eastAsia" w:ascii="黑体" w:hAnsi="黑体" w:eastAsia="黑体"/>
        </w:rPr>
        <w:t xml:space="preserve"> 主控项目</w:t>
      </w:r>
    </w:p>
    <w:p>
      <w:pPr>
        <w:spacing w:line="240" w:lineRule="auto"/>
        <w:rPr>
          <w:rFonts w:ascii="宋体" w:hAnsi="Times New Roman"/>
          <w:bCs/>
          <w:kern w:val="0"/>
        </w:rPr>
      </w:pPr>
      <w:r>
        <w:rPr>
          <w:rFonts w:ascii="黑体" w:hAnsi="黑体" w:eastAsia="黑体"/>
        </w:rPr>
        <w:t>8</w:t>
      </w:r>
      <w:r>
        <w:rPr>
          <w:rFonts w:hint="eastAsia" w:ascii="黑体" w:hAnsi="黑体" w:eastAsia="黑体"/>
        </w:rPr>
        <w:t>.</w:t>
      </w:r>
      <w:r>
        <w:rPr>
          <w:rFonts w:ascii="黑体" w:hAnsi="黑体" w:eastAsia="黑体"/>
        </w:rPr>
        <w:t>2</w:t>
      </w:r>
      <w:r>
        <w:rPr>
          <w:rFonts w:hint="eastAsia" w:ascii="黑体" w:hAnsi="黑体" w:eastAsia="黑体"/>
        </w:rPr>
        <w:t>.</w:t>
      </w:r>
      <w:r>
        <w:rPr>
          <w:rFonts w:ascii="黑体" w:hAnsi="黑体" w:eastAsia="黑体"/>
        </w:rPr>
        <w:t>1</w:t>
      </w:r>
      <w:r>
        <w:rPr>
          <w:rFonts w:hint="eastAsia" w:ascii="黑体" w:hAnsi="黑体" w:eastAsia="黑体"/>
        </w:rPr>
        <w:t xml:space="preserve"> </w:t>
      </w:r>
      <w:r>
        <w:rPr>
          <w:rFonts w:hint="eastAsia" w:ascii="宋体" w:hAnsi="Times New Roman"/>
          <w:bCs/>
          <w:kern w:val="0"/>
        </w:rPr>
        <w:t>专业企业生产的预制构件应符合设计要求。</w:t>
      </w:r>
    </w:p>
    <w:p>
      <w:pPr>
        <w:pStyle w:val="58"/>
        <w:ind w:left="840" w:leftChars="200" w:hanging="420" w:hangingChars="200"/>
        <w:rPr>
          <w:bCs/>
          <w:szCs w:val="21"/>
        </w:rPr>
      </w:pPr>
      <w:r>
        <w:rPr>
          <w:rFonts w:hint="eastAsia"/>
          <w:bCs/>
          <w:szCs w:val="21"/>
        </w:rPr>
        <w:t>检查数量：全数检查。</w:t>
      </w:r>
    </w:p>
    <w:p>
      <w:pPr>
        <w:pStyle w:val="58"/>
        <w:ind w:left="840" w:leftChars="200" w:hanging="420" w:hangingChars="200"/>
        <w:rPr>
          <w:bCs/>
          <w:szCs w:val="21"/>
        </w:rPr>
      </w:pPr>
      <w:r>
        <w:rPr>
          <w:rFonts w:hint="eastAsia"/>
          <w:bCs/>
          <w:szCs w:val="21"/>
        </w:rPr>
        <w:t>检验方法：检查质量证明文件或质量验收记录。</w:t>
      </w:r>
    </w:p>
    <w:p>
      <w:pPr>
        <w:pStyle w:val="58"/>
        <w:ind w:left="0" w:leftChars="0" w:firstLine="0" w:firstLineChars="0"/>
        <w:rPr>
          <w:rFonts w:hint="eastAsia" w:ascii="宋体" w:hAnsi="Times New Roman"/>
          <w:bCs/>
          <w:kern w:val="0"/>
        </w:rPr>
      </w:pPr>
      <w:r>
        <w:rPr>
          <w:rFonts w:ascii="黑体" w:hAnsi="黑体" w:eastAsia="黑体"/>
        </w:rPr>
        <w:t>8</w:t>
      </w:r>
      <w:r>
        <w:rPr>
          <w:rFonts w:hint="eastAsia" w:ascii="黑体" w:hAnsi="黑体" w:eastAsia="黑体"/>
        </w:rPr>
        <w:t>.</w:t>
      </w:r>
      <w:r>
        <w:rPr>
          <w:rFonts w:ascii="黑体" w:hAnsi="黑体" w:eastAsia="黑体"/>
        </w:rPr>
        <w:t>2</w:t>
      </w:r>
      <w:r>
        <w:rPr>
          <w:rFonts w:hint="eastAsia" w:ascii="黑体" w:hAnsi="黑体" w:eastAsia="黑体"/>
        </w:rPr>
        <w:t>.</w:t>
      </w:r>
      <w:r>
        <w:rPr>
          <w:rFonts w:ascii="黑体" w:hAnsi="黑体" w:eastAsia="黑体"/>
        </w:rPr>
        <w:t>2</w:t>
      </w:r>
      <w:r>
        <w:rPr>
          <w:rFonts w:hint="eastAsia" w:ascii="黑体" w:hAnsi="黑体" w:eastAsia="黑体"/>
        </w:rPr>
        <w:t xml:space="preserve"> </w:t>
      </w:r>
      <w:r>
        <w:rPr>
          <w:rFonts w:hint="eastAsia" w:ascii="宋体" w:hAnsi="Times New Roman"/>
          <w:bCs/>
          <w:kern w:val="0"/>
        </w:rPr>
        <w:t>专业企业生产的预制构件进场时，预制构件结构性能检验应符合下列规定：</w:t>
      </w:r>
    </w:p>
    <w:p>
      <w:pPr>
        <w:pStyle w:val="58"/>
        <w:ind w:left="840" w:leftChars="200" w:hanging="420" w:hangingChars="200"/>
        <w:rPr>
          <w:rFonts w:hint="eastAsia" w:ascii="宋体" w:hAnsi="Times New Roman"/>
          <w:bCs/>
          <w:kern w:val="0"/>
        </w:rPr>
      </w:pPr>
      <w:r>
        <w:rPr>
          <w:rFonts w:hint="eastAsia" w:ascii="宋体" w:hAnsi="Times New Roman"/>
          <w:bCs/>
          <w:kern w:val="0"/>
        </w:rPr>
        <w:t>a） 梁板类简支受弯预制构件进场时应进行结构性能检验，并应符合下列规定：</w:t>
      </w:r>
    </w:p>
    <w:p>
      <w:pPr>
        <w:pStyle w:val="58"/>
        <w:ind w:left="840" w:leftChars="400" w:firstLine="0" w:firstLineChars="0"/>
        <w:rPr>
          <w:rFonts w:hint="eastAsia" w:ascii="宋体" w:hAnsi="Times New Roman"/>
          <w:bCs/>
          <w:kern w:val="0"/>
        </w:rPr>
      </w:pPr>
      <w:r>
        <w:rPr>
          <w:rFonts w:hint="eastAsia" w:ascii="宋体" w:hAnsi="Times New Roman"/>
          <w:bCs/>
          <w:kern w:val="0"/>
        </w:rPr>
        <w:t>1） 结构性能检验应符合国家现行有关标准的有关规定及设计的要求，检验要求和试验方法应符合现行国家标准《混凝土结构工程施工质量验收规范》GB 50204的有关规定；</w:t>
      </w:r>
    </w:p>
    <w:p>
      <w:pPr>
        <w:pStyle w:val="58"/>
        <w:ind w:left="840" w:leftChars="400" w:firstLine="0" w:firstLineChars="0"/>
        <w:rPr>
          <w:rFonts w:hint="eastAsia" w:ascii="宋体" w:hAnsi="Times New Roman"/>
          <w:bCs/>
          <w:kern w:val="0"/>
        </w:rPr>
      </w:pPr>
      <w:r>
        <w:rPr>
          <w:rFonts w:hint="eastAsia" w:ascii="宋体" w:hAnsi="Times New Roman"/>
          <w:bCs/>
          <w:kern w:val="0"/>
        </w:rPr>
        <w:t>2） 钢筋混凝土构件和允许出现裂缝的预应力混凝土构件应进行承载力、挠度和裂缝宽度检验；不允许出现裂缝的预应力混凝土构件应进行承载力、挠度和抗裂检验；</w:t>
      </w:r>
    </w:p>
    <w:p>
      <w:pPr>
        <w:pStyle w:val="58"/>
        <w:ind w:left="840" w:leftChars="400" w:firstLine="0" w:firstLineChars="0"/>
        <w:rPr>
          <w:rFonts w:hint="eastAsia" w:ascii="宋体" w:hAnsi="Times New Roman"/>
          <w:bCs/>
          <w:kern w:val="0"/>
        </w:rPr>
      </w:pPr>
      <w:r>
        <w:rPr>
          <w:rFonts w:hint="eastAsia" w:ascii="宋体" w:hAnsi="Times New Roman"/>
          <w:bCs/>
          <w:kern w:val="0"/>
        </w:rPr>
        <w:t>3） 对大型构件及有可靠应用经验的构件，可只进行裂缝宽度、抗裂和挠度检验；</w:t>
      </w:r>
    </w:p>
    <w:p>
      <w:pPr>
        <w:pStyle w:val="58"/>
        <w:ind w:left="840" w:leftChars="400" w:firstLine="0" w:firstLineChars="0"/>
        <w:rPr>
          <w:rFonts w:hint="eastAsia" w:ascii="宋体" w:hAnsi="Times New Roman"/>
          <w:bCs/>
          <w:kern w:val="0"/>
        </w:rPr>
      </w:pPr>
      <w:r>
        <w:rPr>
          <w:rFonts w:hint="eastAsia" w:ascii="宋体" w:hAnsi="Times New Roman"/>
          <w:bCs/>
          <w:kern w:val="0"/>
        </w:rPr>
        <w:t>4） 对使用数量较少的构件，当能提供可靠依据时，可不进行结构性能检验；</w:t>
      </w:r>
    </w:p>
    <w:p>
      <w:pPr>
        <w:pStyle w:val="58"/>
        <w:ind w:left="840" w:leftChars="400" w:firstLine="0" w:firstLineChars="0"/>
        <w:rPr>
          <w:rFonts w:hint="eastAsia" w:ascii="宋体" w:hAnsi="Times New Roman"/>
          <w:bCs/>
          <w:kern w:val="0"/>
        </w:rPr>
      </w:pPr>
      <w:r>
        <w:rPr>
          <w:rFonts w:hint="eastAsia" w:ascii="宋体" w:hAnsi="Times New Roman"/>
          <w:bCs/>
          <w:kern w:val="0"/>
        </w:rPr>
        <w:t>5） 对多个工程共同使用的同类型预制构件，结构性能检验可共同委托，其结果对多个工程共同有效。</w:t>
      </w:r>
    </w:p>
    <w:p>
      <w:pPr>
        <w:pStyle w:val="58"/>
        <w:ind w:left="840" w:leftChars="200" w:hanging="420" w:hangingChars="200"/>
        <w:rPr>
          <w:rFonts w:hint="eastAsia" w:ascii="宋体" w:hAnsi="Times New Roman"/>
          <w:bCs/>
          <w:kern w:val="0"/>
        </w:rPr>
      </w:pPr>
      <w:r>
        <w:rPr>
          <w:rFonts w:hint="eastAsia" w:ascii="宋体" w:hAnsi="Times New Roman"/>
          <w:bCs/>
          <w:kern w:val="0"/>
        </w:rPr>
        <w:t>b） 对于不可单独使用的叠合板预制底板，可不进行结构性能检验。对叠合梁构件，是否进行结构性能检验、结构性能检验的方式应根据设计要求确定；</w:t>
      </w:r>
    </w:p>
    <w:p>
      <w:pPr>
        <w:pStyle w:val="58"/>
        <w:ind w:left="840" w:leftChars="200" w:hanging="420" w:hangingChars="200"/>
        <w:rPr>
          <w:rFonts w:hint="eastAsia" w:ascii="宋体" w:hAnsi="Times New Roman"/>
          <w:bCs/>
          <w:kern w:val="0"/>
        </w:rPr>
      </w:pPr>
      <w:r>
        <w:rPr>
          <w:rFonts w:hint="eastAsia" w:ascii="宋体" w:hAnsi="Times New Roman"/>
          <w:bCs/>
          <w:kern w:val="0"/>
        </w:rPr>
        <w:t>c） 对本条第1、2款之外的其他预制构件，除设计有专门要求外，进场时可不做结构性能检验；</w:t>
      </w:r>
    </w:p>
    <w:p>
      <w:pPr>
        <w:pStyle w:val="58"/>
        <w:ind w:left="840" w:leftChars="200" w:hanging="420" w:hangingChars="200"/>
        <w:rPr>
          <w:rFonts w:hint="eastAsia" w:ascii="宋体" w:hAnsi="Times New Roman"/>
          <w:bCs/>
          <w:kern w:val="0"/>
        </w:rPr>
      </w:pPr>
      <w:r>
        <w:rPr>
          <w:rFonts w:hint="eastAsia" w:ascii="宋体" w:hAnsi="Times New Roman"/>
          <w:bCs/>
          <w:kern w:val="0"/>
        </w:rPr>
        <w:t>d） 对本条第1、2、3款规定中不做结构性能检验的预制构件，应采取下列措施：</w:t>
      </w:r>
    </w:p>
    <w:p>
      <w:pPr>
        <w:pStyle w:val="58"/>
        <w:ind w:left="840" w:leftChars="400" w:firstLine="0" w:firstLineChars="0"/>
        <w:rPr>
          <w:rFonts w:hint="eastAsia" w:ascii="宋体" w:hAnsi="Times New Roman"/>
          <w:bCs/>
          <w:kern w:val="0"/>
        </w:rPr>
      </w:pPr>
      <w:r>
        <w:rPr>
          <w:rFonts w:hint="eastAsia" w:ascii="宋体" w:hAnsi="Times New Roman"/>
          <w:bCs/>
          <w:kern w:val="0"/>
        </w:rPr>
        <w:t>1） 施工单位或监理单位代表应驻厂监督生产过程；</w:t>
      </w:r>
    </w:p>
    <w:p>
      <w:pPr>
        <w:pStyle w:val="58"/>
        <w:ind w:left="840" w:leftChars="400" w:firstLine="0" w:firstLineChars="0"/>
        <w:rPr>
          <w:rFonts w:hint="eastAsia" w:ascii="宋体" w:hAnsi="Times New Roman"/>
          <w:bCs/>
          <w:kern w:val="0"/>
        </w:rPr>
      </w:pPr>
      <w:r>
        <w:rPr>
          <w:rFonts w:hint="eastAsia" w:ascii="宋体" w:hAnsi="Times New Roman"/>
          <w:bCs/>
          <w:kern w:val="0"/>
        </w:rPr>
        <w:t>2） 当无驻厂监督时，预制构件进场时应对其主要受力钢筋数量、规格、间距、保护层厚度及混凝土强度进行实体检验。</w:t>
      </w:r>
    </w:p>
    <w:p>
      <w:pPr>
        <w:pStyle w:val="58"/>
        <w:ind w:left="840" w:leftChars="200" w:hanging="420" w:hangingChars="200"/>
        <w:rPr>
          <w:rFonts w:hint="eastAsia" w:ascii="宋体" w:hAnsi="Times New Roman"/>
          <w:bCs/>
          <w:kern w:val="0"/>
        </w:rPr>
      </w:pPr>
      <w:r>
        <w:rPr>
          <w:rFonts w:hint="eastAsia" w:ascii="宋体" w:hAnsi="Times New Roman"/>
          <w:bCs/>
          <w:kern w:val="0"/>
        </w:rPr>
        <w:t>检查数量：同一类型预制构件不超过1000个为一批，每批随机抽取1个构件进行结构性能检验。</w:t>
      </w:r>
    </w:p>
    <w:p>
      <w:pPr>
        <w:pStyle w:val="58"/>
        <w:ind w:left="840" w:leftChars="200" w:hanging="420" w:hangingChars="200"/>
        <w:rPr>
          <w:rFonts w:hint="eastAsia" w:ascii="宋体" w:hAnsi="Times New Roman"/>
          <w:bCs/>
          <w:kern w:val="0"/>
        </w:rPr>
      </w:pPr>
      <w:r>
        <w:rPr>
          <w:rFonts w:hint="eastAsia" w:ascii="宋体" w:hAnsi="Times New Roman"/>
          <w:bCs/>
          <w:kern w:val="0"/>
        </w:rPr>
        <w:t>检验方法：检查结构性能检验报告或实体检验报告。</w:t>
      </w:r>
    </w:p>
    <w:p>
      <w:pPr>
        <w:pStyle w:val="58"/>
        <w:ind w:left="840" w:leftChars="200" w:hanging="420" w:hangingChars="200"/>
        <w:rPr>
          <w:bCs/>
          <w:szCs w:val="21"/>
        </w:rPr>
      </w:pPr>
      <w:r>
        <w:rPr>
          <w:rFonts w:hint="eastAsia" w:ascii="宋体" w:hAnsi="Times New Roman"/>
          <w:bCs/>
          <w:kern w:val="0"/>
        </w:rPr>
        <w:t>注：“同类型”是指同一钢种、同一混凝土强度等级、同一生产工艺和同一结构形式。抽取预制构件时，宜从设计荷载最大、受力最不利或生产数量最多的预制构件中抽取。</w:t>
      </w:r>
    </w:p>
    <w:p>
      <w:pPr>
        <w:spacing w:line="240" w:lineRule="auto"/>
        <w:rPr>
          <w:rFonts w:ascii="宋体" w:hAnsi="Times New Roman"/>
          <w:bCs/>
          <w:kern w:val="0"/>
        </w:rPr>
      </w:pPr>
      <w:r>
        <w:rPr>
          <w:rFonts w:ascii="黑体" w:hAnsi="黑体" w:eastAsia="黑体"/>
        </w:rPr>
        <w:t>8</w:t>
      </w:r>
      <w:r>
        <w:rPr>
          <w:rFonts w:hint="eastAsia" w:ascii="黑体" w:hAnsi="黑体" w:eastAsia="黑体"/>
        </w:rPr>
        <w:t>.</w:t>
      </w:r>
      <w:r>
        <w:rPr>
          <w:rFonts w:ascii="黑体" w:hAnsi="黑体" w:eastAsia="黑体"/>
        </w:rPr>
        <w:t>2</w:t>
      </w:r>
      <w:r>
        <w:rPr>
          <w:rFonts w:hint="eastAsia" w:ascii="黑体" w:hAnsi="黑体" w:eastAsia="黑体"/>
        </w:rPr>
        <w:t>.</w:t>
      </w:r>
      <w:r>
        <w:rPr>
          <w:rFonts w:ascii="黑体" w:hAnsi="黑体" w:eastAsia="黑体"/>
        </w:rPr>
        <w:t>3</w:t>
      </w:r>
      <w:r>
        <w:rPr>
          <w:rFonts w:hint="eastAsia" w:ascii="黑体" w:hAnsi="黑体" w:eastAsia="黑体"/>
        </w:rPr>
        <w:t xml:space="preserve"> </w:t>
      </w:r>
      <w:r>
        <w:rPr>
          <w:rFonts w:hint="eastAsia" w:ascii="宋体" w:hAnsi="Times New Roman"/>
          <w:bCs/>
          <w:kern w:val="0"/>
        </w:rPr>
        <w:t>预制构件的外观质量不应有严重缺陷，且不应有影响结构性能和安装、使用功能的尺寸偏差。</w:t>
      </w:r>
    </w:p>
    <w:p>
      <w:pPr>
        <w:pStyle w:val="58"/>
        <w:ind w:left="840" w:leftChars="200" w:hanging="420" w:hangingChars="200"/>
        <w:rPr>
          <w:bCs/>
          <w:szCs w:val="21"/>
        </w:rPr>
      </w:pPr>
      <w:r>
        <w:rPr>
          <w:rFonts w:hint="eastAsia"/>
          <w:bCs/>
          <w:szCs w:val="21"/>
        </w:rPr>
        <w:t>检查数量：全数检查。</w:t>
      </w:r>
    </w:p>
    <w:p>
      <w:pPr>
        <w:pStyle w:val="58"/>
        <w:ind w:left="840" w:leftChars="200" w:hanging="420" w:hangingChars="200"/>
        <w:rPr>
          <w:bCs/>
          <w:szCs w:val="21"/>
        </w:rPr>
      </w:pPr>
      <w:r>
        <w:rPr>
          <w:rFonts w:hint="eastAsia"/>
          <w:bCs/>
          <w:szCs w:val="21"/>
        </w:rPr>
        <w:t>检验方法：观察、尺量；检查处理记录。</w:t>
      </w:r>
    </w:p>
    <w:p>
      <w:pPr>
        <w:spacing w:line="240" w:lineRule="auto"/>
        <w:rPr>
          <w:rFonts w:ascii="宋体" w:hAnsi="Times New Roman"/>
          <w:bCs/>
          <w:kern w:val="0"/>
        </w:rPr>
      </w:pPr>
      <w:r>
        <w:rPr>
          <w:rFonts w:ascii="黑体" w:hAnsi="黑体" w:eastAsia="黑体"/>
        </w:rPr>
        <w:t>8</w:t>
      </w:r>
      <w:r>
        <w:rPr>
          <w:rFonts w:hint="eastAsia" w:ascii="黑体" w:hAnsi="黑体" w:eastAsia="黑体"/>
        </w:rPr>
        <w:t>.</w:t>
      </w:r>
      <w:r>
        <w:rPr>
          <w:rFonts w:ascii="黑体" w:hAnsi="黑体" w:eastAsia="黑体"/>
        </w:rPr>
        <w:t>2</w:t>
      </w:r>
      <w:r>
        <w:rPr>
          <w:rFonts w:hint="eastAsia" w:ascii="黑体" w:hAnsi="黑体" w:eastAsia="黑体"/>
        </w:rPr>
        <w:t>.</w:t>
      </w:r>
      <w:r>
        <w:rPr>
          <w:rFonts w:ascii="黑体" w:hAnsi="黑体" w:eastAsia="黑体"/>
        </w:rPr>
        <w:t>4</w:t>
      </w:r>
      <w:r>
        <w:rPr>
          <w:rFonts w:hint="eastAsia" w:ascii="黑体" w:hAnsi="黑体" w:eastAsia="黑体"/>
        </w:rPr>
        <w:t xml:space="preserve"> </w:t>
      </w:r>
      <w:r>
        <w:rPr>
          <w:rFonts w:hint="eastAsia" w:ascii="宋体" w:hAnsi="Times New Roman"/>
          <w:bCs/>
          <w:kern w:val="0"/>
        </w:rPr>
        <w:t>预制构件粗糙面的外观质量、键槽的外观质量和数量应符合设计要求。</w:t>
      </w:r>
    </w:p>
    <w:p>
      <w:pPr>
        <w:pStyle w:val="58"/>
        <w:ind w:left="840" w:leftChars="200" w:hanging="420" w:hangingChars="200"/>
        <w:rPr>
          <w:bCs/>
          <w:szCs w:val="21"/>
        </w:rPr>
      </w:pPr>
      <w:r>
        <w:rPr>
          <w:rFonts w:hint="eastAsia"/>
          <w:bCs/>
          <w:szCs w:val="21"/>
        </w:rPr>
        <w:t>检查数量：全数检查。</w:t>
      </w:r>
    </w:p>
    <w:p>
      <w:pPr>
        <w:pStyle w:val="58"/>
        <w:ind w:left="840" w:leftChars="200" w:hanging="420" w:hangingChars="200"/>
        <w:rPr>
          <w:bCs/>
          <w:szCs w:val="21"/>
        </w:rPr>
      </w:pPr>
      <w:r>
        <w:rPr>
          <w:rFonts w:hint="eastAsia"/>
          <w:bCs/>
          <w:szCs w:val="21"/>
        </w:rPr>
        <w:t>检验方法：观察，量测。</w:t>
      </w:r>
    </w:p>
    <w:p>
      <w:pPr>
        <w:spacing w:line="240" w:lineRule="auto"/>
        <w:rPr>
          <w:rFonts w:ascii="黑体" w:hAnsi="黑体" w:eastAsia="黑体"/>
        </w:rPr>
      </w:pPr>
      <w:r>
        <w:rPr>
          <w:rFonts w:hint="eastAsia" w:ascii="宋体" w:hAnsi="宋体" w:cs="宋体"/>
        </w:rPr>
        <w:t>Ⅱ</w:t>
      </w:r>
      <w:r>
        <w:rPr>
          <w:rFonts w:hint="eastAsia" w:ascii="黑体" w:hAnsi="黑体" w:eastAsia="黑体"/>
        </w:rPr>
        <w:t xml:space="preserve"> 一般项目</w:t>
      </w:r>
    </w:p>
    <w:p>
      <w:pPr>
        <w:spacing w:line="240" w:lineRule="auto"/>
        <w:rPr>
          <w:rFonts w:ascii="宋体" w:hAnsi="Times New Roman"/>
          <w:bCs/>
          <w:kern w:val="0"/>
        </w:rPr>
      </w:pPr>
      <w:r>
        <w:rPr>
          <w:rFonts w:ascii="黑体" w:hAnsi="黑体" w:eastAsia="黑体"/>
        </w:rPr>
        <w:t>8</w:t>
      </w:r>
      <w:r>
        <w:rPr>
          <w:rFonts w:hint="eastAsia" w:ascii="黑体" w:hAnsi="黑体" w:eastAsia="黑体"/>
        </w:rPr>
        <w:t>.</w:t>
      </w:r>
      <w:r>
        <w:rPr>
          <w:rFonts w:ascii="黑体" w:hAnsi="黑体" w:eastAsia="黑体"/>
        </w:rPr>
        <w:t>2</w:t>
      </w:r>
      <w:r>
        <w:rPr>
          <w:rFonts w:hint="eastAsia" w:ascii="黑体" w:hAnsi="黑体" w:eastAsia="黑体"/>
        </w:rPr>
        <w:t>.</w:t>
      </w:r>
      <w:r>
        <w:rPr>
          <w:rFonts w:ascii="黑体" w:hAnsi="黑体" w:eastAsia="黑体"/>
        </w:rPr>
        <w:t>5</w:t>
      </w:r>
      <w:r>
        <w:rPr>
          <w:rFonts w:hint="eastAsia" w:ascii="黑体" w:hAnsi="黑体" w:eastAsia="黑体"/>
        </w:rPr>
        <w:t xml:space="preserve"> </w:t>
      </w:r>
      <w:r>
        <w:rPr>
          <w:rFonts w:hint="eastAsia" w:ascii="宋体" w:hAnsi="Times New Roman"/>
          <w:bCs/>
          <w:kern w:val="0"/>
        </w:rPr>
        <w:t>预制构件应有标识，标识宜包括生产企业名称、制作日期、品种、规格、编号等信息。</w:t>
      </w:r>
    </w:p>
    <w:p>
      <w:pPr>
        <w:pStyle w:val="58"/>
        <w:ind w:firstLine="420"/>
        <w:rPr>
          <w:bCs/>
          <w:szCs w:val="21"/>
        </w:rPr>
      </w:pPr>
      <w:r>
        <w:rPr>
          <w:rFonts w:hint="eastAsia"/>
          <w:bCs/>
          <w:szCs w:val="21"/>
        </w:rPr>
        <w:t>检查数量：全数检查。</w:t>
      </w:r>
    </w:p>
    <w:p>
      <w:pPr>
        <w:pStyle w:val="58"/>
        <w:ind w:firstLine="420"/>
        <w:rPr>
          <w:bCs/>
          <w:szCs w:val="21"/>
        </w:rPr>
      </w:pPr>
      <w:r>
        <w:rPr>
          <w:rFonts w:hint="eastAsia"/>
          <w:bCs/>
          <w:szCs w:val="21"/>
        </w:rPr>
        <w:t>检验方法：观察。</w:t>
      </w:r>
    </w:p>
    <w:p>
      <w:pPr>
        <w:spacing w:line="240" w:lineRule="auto"/>
        <w:rPr>
          <w:rFonts w:ascii="宋体" w:hAnsi="Times New Roman"/>
          <w:bCs/>
          <w:kern w:val="0"/>
        </w:rPr>
      </w:pPr>
      <w:r>
        <w:rPr>
          <w:rFonts w:ascii="黑体" w:hAnsi="黑体" w:eastAsia="黑体"/>
        </w:rPr>
        <w:t>8</w:t>
      </w:r>
      <w:r>
        <w:rPr>
          <w:rFonts w:hint="eastAsia" w:ascii="黑体" w:hAnsi="黑体" w:eastAsia="黑体"/>
        </w:rPr>
        <w:t>.</w:t>
      </w:r>
      <w:r>
        <w:rPr>
          <w:rFonts w:ascii="黑体" w:hAnsi="黑体" w:eastAsia="黑体"/>
        </w:rPr>
        <w:t>2</w:t>
      </w:r>
      <w:r>
        <w:rPr>
          <w:rFonts w:hint="eastAsia" w:ascii="黑体" w:hAnsi="黑体" w:eastAsia="黑体"/>
        </w:rPr>
        <w:t>.</w:t>
      </w:r>
      <w:r>
        <w:rPr>
          <w:rFonts w:ascii="黑体" w:hAnsi="黑体" w:eastAsia="黑体"/>
        </w:rPr>
        <w:t>6</w:t>
      </w:r>
      <w:r>
        <w:rPr>
          <w:rFonts w:hint="eastAsia" w:ascii="黑体" w:hAnsi="黑体" w:eastAsia="黑体"/>
        </w:rPr>
        <w:t xml:space="preserve"> </w:t>
      </w:r>
      <w:r>
        <w:rPr>
          <w:rFonts w:hint="eastAsia" w:ascii="宋体" w:hAnsi="Times New Roman"/>
          <w:bCs/>
          <w:kern w:val="0"/>
        </w:rPr>
        <w:t>预制构件外观质量不应有一般缺陷，对出现的一般缺陷应要求构件生产单位按技术处理方案进行处理，并重新检查验收。</w:t>
      </w:r>
    </w:p>
    <w:p>
      <w:pPr>
        <w:pStyle w:val="58"/>
        <w:ind w:firstLine="420"/>
        <w:rPr>
          <w:bCs/>
          <w:szCs w:val="21"/>
        </w:rPr>
      </w:pPr>
      <w:r>
        <w:rPr>
          <w:rFonts w:hint="eastAsia"/>
          <w:bCs/>
          <w:szCs w:val="21"/>
        </w:rPr>
        <w:t>检查数量：全数检查。</w:t>
      </w:r>
    </w:p>
    <w:p>
      <w:pPr>
        <w:pStyle w:val="58"/>
        <w:ind w:firstLine="420"/>
        <w:rPr>
          <w:bCs/>
          <w:szCs w:val="21"/>
        </w:rPr>
      </w:pPr>
      <w:r>
        <w:rPr>
          <w:rFonts w:hint="eastAsia"/>
          <w:bCs/>
          <w:szCs w:val="21"/>
        </w:rPr>
        <w:t>检验方法：观察，检查技术处理方案和处理记录。</w:t>
      </w:r>
    </w:p>
    <w:p>
      <w:pPr>
        <w:pStyle w:val="58"/>
        <w:ind w:firstLine="0" w:firstLineChars="0"/>
      </w:pPr>
      <w:r>
        <w:rPr>
          <w:rFonts w:ascii="黑体" w:hAnsi="黑体" w:eastAsia="黑体"/>
          <w:kern w:val="2"/>
          <w:szCs w:val="21"/>
        </w:rPr>
        <w:t>8</w:t>
      </w:r>
      <w:r>
        <w:rPr>
          <w:rFonts w:hint="eastAsia" w:ascii="黑体" w:hAnsi="黑体" w:eastAsia="黑体"/>
          <w:kern w:val="2"/>
          <w:szCs w:val="21"/>
        </w:rPr>
        <w:t>.2.7</w:t>
      </w:r>
      <w:r>
        <w:rPr>
          <w:rFonts w:hint="eastAsia"/>
        </w:rPr>
        <w:t xml:space="preserve"> 预制构件上的预埋件、预留插筋、预留孔洞、预埋管线等规格型号、数量应满足设计要求。</w:t>
      </w:r>
    </w:p>
    <w:p>
      <w:pPr>
        <w:pStyle w:val="58"/>
        <w:ind w:firstLine="420"/>
        <w:rPr>
          <w:bCs/>
          <w:szCs w:val="21"/>
        </w:rPr>
      </w:pPr>
      <w:r>
        <w:rPr>
          <w:rFonts w:hint="eastAsia"/>
          <w:bCs/>
          <w:szCs w:val="21"/>
        </w:rPr>
        <w:t>检查数量：按批检查。</w:t>
      </w:r>
    </w:p>
    <w:p>
      <w:pPr>
        <w:pStyle w:val="58"/>
        <w:ind w:firstLine="420"/>
        <w:rPr>
          <w:bCs/>
          <w:szCs w:val="21"/>
        </w:rPr>
      </w:pPr>
      <w:r>
        <w:rPr>
          <w:rFonts w:hint="eastAsia"/>
          <w:bCs/>
          <w:szCs w:val="21"/>
        </w:rPr>
        <w:t>检验方法：观察、尺量；检查产品合格证。</w:t>
      </w:r>
    </w:p>
    <w:p>
      <w:pPr>
        <w:pStyle w:val="58"/>
        <w:ind w:firstLine="0" w:firstLineChars="0"/>
      </w:pPr>
      <w:r>
        <w:rPr>
          <w:rFonts w:ascii="黑体" w:hAnsi="黑体" w:eastAsia="黑体"/>
          <w:kern w:val="2"/>
          <w:szCs w:val="21"/>
        </w:rPr>
        <w:t>8</w:t>
      </w:r>
      <w:r>
        <w:rPr>
          <w:rFonts w:hint="eastAsia" w:ascii="黑体" w:hAnsi="黑体" w:eastAsia="黑体"/>
          <w:kern w:val="2"/>
          <w:szCs w:val="21"/>
        </w:rPr>
        <w:t>.2.8</w:t>
      </w:r>
      <w:r>
        <w:rPr>
          <w:rFonts w:hint="eastAsia"/>
        </w:rPr>
        <w:t xml:space="preserve"> 预制梁、预制柱、预制剪力墙、预制叠合楼板的外形尺寸偏差和检验方法应分别符合本规程表</w:t>
      </w:r>
      <w:r>
        <w:t>11</w:t>
      </w:r>
      <w:r>
        <w:rPr>
          <w:rFonts w:hint="eastAsia"/>
        </w:rPr>
        <w:t>～表</w:t>
      </w:r>
      <w:r>
        <w:t>13</w:t>
      </w:r>
      <w:r>
        <w:rPr>
          <w:rFonts w:hint="eastAsia"/>
        </w:rPr>
        <w:t>的规定。</w:t>
      </w:r>
    </w:p>
    <w:p>
      <w:pPr>
        <w:pStyle w:val="58"/>
        <w:ind w:firstLine="420"/>
        <w:rPr>
          <w:rFonts w:hint="eastAsia"/>
          <w:bCs/>
          <w:szCs w:val="21"/>
        </w:rPr>
      </w:pPr>
      <w:r>
        <w:rPr>
          <w:rFonts w:hint="eastAsia"/>
          <w:bCs/>
          <w:szCs w:val="21"/>
        </w:rPr>
        <w:t>检查数量：按照进场检验批，同一规格（品种）的构件每次抽检数量不应少于该规格或品种数量的5%且不少于3件。</w:t>
      </w:r>
    </w:p>
    <w:p>
      <w:pPr>
        <w:pStyle w:val="58"/>
        <w:ind w:firstLine="420"/>
        <w:rPr>
          <w:rFonts w:hint="eastAsia"/>
          <w:bCs/>
          <w:szCs w:val="21"/>
        </w:rPr>
      </w:pPr>
    </w:p>
    <w:p>
      <w:pPr>
        <w:pStyle w:val="58"/>
        <w:ind w:firstLine="420"/>
        <w:rPr>
          <w:rFonts w:hint="eastAsia"/>
          <w:bCs/>
          <w:szCs w:val="21"/>
        </w:rPr>
      </w:pPr>
    </w:p>
    <w:p>
      <w:pPr>
        <w:pStyle w:val="58"/>
        <w:spacing w:before="156" w:beforeLines="50" w:after="156" w:afterLines="50"/>
        <w:ind w:firstLine="0" w:firstLineChars="0"/>
        <w:jc w:val="center"/>
        <w:rPr>
          <w:rFonts w:hint="eastAsia" w:ascii="黑体" w:hAnsi="黑体" w:eastAsia="黑体"/>
        </w:rPr>
      </w:pPr>
      <w:r>
        <w:rPr>
          <w:rFonts w:hint="eastAsia" w:ascii="黑体" w:hAnsi="黑体" w:eastAsia="黑体"/>
        </w:rPr>
        <w:t>表</w:t>
      </w:r>
      <w:r>
        <w:rPr>
          <w:rFonts w:ascii="黑体" w:hAnsi="黑体" w:eastAsia="黑体"/>
        </w:rPr>
        <w:t>11</w:t>
      </w:r>
      <w:r>
        <w:rPr>
          <w:rFonts w:hint="eastAsia" w:ascii="黑体" w:hAnsi="黑体" w:eastAsia="黑体"/>
        </w:rPr>
        <w:t xml:space="preserve"> 预制梁柱类构件外形尺寸允许偏差及检验方法</w:t>
      </w:r>
    </w:p>
    <w:tbl>
      <w:tblPr>
        <w:tblStyle w:val="27"/>
        <w:tblW w:w="9803"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709"/>
        <w:gridCol w:w="828"/>
        <w:gridCol w:w="851"/>
        <w:gridCol w:w="1559"/>
        <w:gridCol w:w="1559"/>
        <w:gridCol w:w="4297"/>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9" w:type="dxa"/>
            <w:tcBorders>
              <w:top w:val="single" w:color="auto" w:sz="12" w:space="0"/>
              <w:left w:val="single" w:color="auto" w:sz="12" w:space="0"/>
              <w:bottom w:val="single" w:color="auto" w:sz="12"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项次</w:t>
            </w:r>
          </w:p>
        </w:tc>
        <w:tc>
          <w:tcPr>
            <w:tcW w:w="3238" w:type="dxa"/>
            <w:gridSpan w:val="3"/>
            <w:tcBorders>
              <w:top w:val="single" w:color="auto" w:sz="12" w:space="0"/>
              <w:left w:val="single" w:color="auto" w:sz="4" w:space="0"/>
              <w:bottom w:val="single" w:color="auto" w:sz="12"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检查项目</w:t>
            </w:r>
          </w:p>
        </w:tc>
        <w:tc>
          <w:tcPr>
            <w:tcW w:w="1559" w:type="dxa"/>
            <w:tcBorders>
              <w:top w:val="single" w:color="auto" w:sz="12" w:space="0"/>
              <w:left w:val="single" w:color="auto" w:sz="4" w:space="0"/>
              <w:bottom w:val="single" w:color="auto" w:sz="12"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允许偏差（mm）</w:t>
            </w:r>
          </w:p>
        </w:tc>
        <w:tc>
          <w:tcPr>
            <w:tcW w:w="4297" w:type="dxa"/>
            <w:tcBorders>
              <w:top w:val="single" w:color="auto" w:sz="12" w:space="0"/>
              <w:left w:val="single" w:color="auto" w:sz="4" w:space="0"/>
              <w:bottom w:val="single" w:color="auto" w:sz="12" w:space="0"/>
              <w:right w:val="single" w:color="auto" w:sz="12" w:space="0"/>
            </w:tcBorders>
            <w:vAlign w:val="center"/>
          </w:tcPr>
          <w:p>
            <w:pPr>
              <w:autoSpaceDE w:val="0"/>
              <w:spacing w:line="240" w:lineRule="auto"/>
              <w:jc w:val="center"/>
              <w:rPr>
                <w:rFonts w:ascii="宋体" w:hAnsi="宋体"/>
                <w:sz w:val="18"/>
                <w:szCs w:val="18"/>
              </w:rPr>
            </w:pPr>
            <w:r>
              <w:rPr>
                <w:rFonts w:hint="eastAsia" w:ascii="宋体" w:hAnsi="宋体"/>
                <w:sz w:val="18"/>
                <w:szCs w:val="18"/>
              </w:rPr>
              <w:t>检验方法</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9" w:type="dxa"/>
            <w:vMerge w:val="restart"/>
            <w:tcBorders>
              <w:top w:val="single" w:color="auto" w:sz="12" w:space="0"/>
              <w:left w:val="single" w:color="auto" w:sz="12"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1</w:t>
            </w:r>
          </w:p>
        </w:tc>
        <w:tc>
          <w:tcPr>
            <w:tcW w:w="828" w:type="dxa"/>
            <w:vMerge w:val="restart"/>
            <w:tcBorders>
              <w:top w:val="single" w:color="auto" w:sz="12"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规格</w:t>
            </w:r>
          </w:p>
          <w:p>
            <w:pPr>
              <w:autoSpaceDE w:val="0"/>
              <w:spacing w:line="240" w:lineRule="auto"/>
              <w:jc w:val="center"/>
              <w:rPr>
                <w:rFonts w:ascii="宋体" w:hAnsi="宋体"/>
                <w:sz w:val="18"/>
                <w:szCs w:val="18"/>
              </w:rPr>
            </w:pPr>
            <w:r>
              <w:rPr>
                <w:rFonts w:hint="eastAsia" w:ascii="宋体" w:hAnsi="宋体"/>
                <w:sz w:val="18"/>
                <w:szCs w:val="18"/>
              </w:rPr>
              <w:t>尺寸</w:t>
            </w:r>
          </w:p>
        </w:tc>
        <w:tc>
          <w:tcPr>
            <w:tcW w:w="851" w:type="dxa"/>
            <w:vMerge w:val="restart"/>
            <w:tcBorders>
              <w:top w:val="single" w:color="auto" w:sz="12"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长度</w:t>
            </w:r>
          </w:p>
        </w:tc>
        <w:tc>
          <w:tcPr>
            <w:tcW w:w="1559" w:type="dxa"/>
            <w:tcBorders>
              <w:top w:val="single" w:color="auto" w:sz="12"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＜12m</w:t>
            </w:r>
          </w:p>
        </w:tc>
        <w:tc>
          <w:tcPr>
            <w:tcW w:w="1559" w:type="dxa"/>
            <w:tcBorders>
              <w:top w:val="single" w:color="auto" w:sz="12"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±5</w:t>
            </w:r>
          </w:p>
        </w:tc>
        <w:tc>
          <w:tcPr>
            <w:tcW w:w="4297" w:type="dxa"/>
            <w:vMerge w:val="restart"/>
            <w:tcBorders>
              <w:top w:val="single" w:color="auto" w:sz="12" w:space="0"/>
              <w:left w:val="single" w:color="auto" w:sz="4" w:space="0"/>
              <w:bottom w:val="single" w:color="auto" w:sz="4" w:space="0"/>
              <w:right w:val="single" w:color="auto" w:sz="12" w:space="0"/>
            </w:tcBorders>
            <w:vAlign w:val="center"/>
          </w:tcPr>
          <w:p>
            <w:pPr>
              <w:autoSpaceDE w:val="0"/>
              <w:spacing w:line="240" w:lineRule="auto"/>
              <w:jc w:val="center"/>
              <w:rPr>
                <w:rFonts w:ascii="宋体" w:hAnsi="宋体"/>
                <w:sz w:val="18"/>
                <w:szCs w:val="18"/>
              </w:rPr>
            </w:pPr>
            <w:r>
              <w:rPr>
                <w:rFonts w:hint="eastAsia" w:ascii="宋体" w:hAnsi="宋体"/>
                <w:sz w:val="18"/>
                <w:szCs w:val="18"/>
              </w:rPr>
              <w:t>用尺量两端及中间部，取其中偏差绝对值较大值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9" w:type="dxa"/>
            <w:vMerge w:val="continue"/>
            <w:tcBorders>
              <w:top w:val="single" w:color="auto" w:sz="4" w:space="0"/>
              <w:left w:val="single" w:color="auto" w:sz="12"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828"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851"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1559"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≥12m且＜18m</w:t>
            </w:r>
          </w:p>
        </w:tc>
        <w:tc>
          <w:tcPr>
            <w:tcW w:w="1559"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±10</w:t>
            </w:r>
          </w:p>
        </w:tc>
        <w:tc>
          <w:tcPr>
            <w:tcW w:w="4297" w:type="dxa"/>
            <w:vMerge w:val="continue"/>
            <w:tcBorders>
              <w:top w:val="single" w:color="auto" w:sz="4" w:space="0"/>
              <w:left w:val="single" w:color="auto" w:sz="4" w:space="0"/>
              <w:bottom w:val="single" w:color="auto" w:sz="4" w:space="0"/>
              <w:right w:val="single" w:color="auto" w:sz="12" w:space="0"/>
            </w:tcBorders>
            <w:vAlign w:val="center"/>
          </w:tcPr>
          <w:p>
            <w:pPr>
              <w:widowControl/>
              <w:spacing w:line="240" w:lineRule="auto"/>
              <w:jc w:val="left"/>
              <w:rPr>
                <w:rFonts w:ascii="宋体" w:hAnsi="宋体"/>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9" w:type="dxa"/>
            <w:vMerge w:val="continue"/>
            <w:tcBorders>
              <w:top w:val="single" w:color="auto" w:sz="4" w:space="0"/>
              <w:left w:val="single" w:color="auto" w:sz="12"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828"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851"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1559"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≥18m</w:t>
            </w:r>
          </w:p>
        </w:tc>
        <w:tc>
          <w:tcPr>
            <w:tcW w:w="1559"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±20</w:t>
            </w:r>
          </w:p>
        </w:tc>
        <w:tc>
          <w:tcPr>
            <w:tcW w:w="4297" w:type="dxa"/>
            <w:vMerge w:val="continue"/>
            <w:tcBorders>
              <w:top w:val="single" w:color="auto" w:sz="4" w:space="0"/>
              <w:left w:val="single" w:color="auto" w:sz="4" w:space="0"/>
              <w:bottom w:val="single" w:color="auto" w:sz="4" w:space="0"/>
              <w:right w:val="single" w:color="auto" w:sz="12" w:space="0"/>
            </w:tcBorders>
            <w:vAlign w:val="center"/>
          </w:tcPr>
          <w:p>
            <w:pPr>
              <w:widowControl/>
              <w:spacing w:line="240" w:lineRule="auto"/>
              <w:jc w:val="left"/>
              <w:rPr>
                <w:rFonts w:ascii="宋体" w:hAnsi="宋体"/>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9" w:type="dxa"/>
            <w:tcBorders>
              <w:top w:val="single" w:color="auto" w:sz="4" w:space="0"/>
              <w:left w:val="single" w:color="auto" w:sz="12"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2</w:t>
            </w:r>
          </w:p>
        </w:tc>
        <w:tc>
          <w:tcPr>
            <w:tcW w:w="828"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2410" w:type="dxa"/>
            <w:gridSpan w:val="2"/>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宽度</w:t>
            </w:r>
          </w:p>
        </w:tc>
        <w:tc>
          <w:tcPr>
            <w:tcW w:w="1559"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±5</w:t>
            </w:r>
          </w:p>
        </w:tc>
        <w:tc>
          <w:tcPr>
            <w:tcW w:w="4297" w:type="dxa"/>
            <w:tcBorders>
              <w:top w:val="single" w:color="auto" w:sz="4" w:space="0"/>
              <w:left w:val="single" w:color="auto" w:sz="4" w:space="0"/>
              <w:bottom w:val="single" w:color="auto" w:sz="4" w:space="0"/>
              <w:right w:val="single" w:color="auto" w:sz="12" w:space="0"/>
            </w:tcBorders>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用尺量两端及中间部，取其中偏差绝对值较大值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9" w:type="dxa"/>
            <w:tcBorders>
              <w:top w:val="single" w:color="auto" w:sz="4" w:space="0"/>
              <w:left w:val="single" w:color="auto" w:sz="12"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3</w:t>
            </w:r>
          </w:p>
        </w:tc>
        <w:tc>
          <w:tcPr>
            <w:tcW w:w="828"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2410" w:type="dxa"/>
            <w:gridSpan w:val="2"/>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高度</w:t>
            </w:r>
          </w:p>
        </w:tc>
        <w:tc>
          <w:tcPr>
            <w:tcW w:w="1559"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±5</w:t>
            </w:r>
          </w:p>
        </w:tc>
        <w:tc>
          <w:tcPr>
            <w:tcW w:w="4297" w:type="dxa"/>
            <w:tcBorders>
              <w:top w:val="single" w:color="auto" w:sz="4" w:space="0"/>
              <w:left w:val="single" w:color="auto" w:sz="4" w:space="0"/>
              <w:bottom w:val="single" w:color="auto" w:sz="4" w:space="0"/>
              <w:right w:val="single" w:color="auto" w:sz="12" w:space="0"/>
            </w:tcBorders>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用尺量一端及中部，取其中偏差绝对值较大处</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9" w:type="dxa"/>
            <w:tcBorders>
              <w:top w:val="single" w:color="auto" w:sz="4" w:space="0"/>
              <w:left w:val="single" w:color="auto" w:sz="12"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4</w:t>
            </w:r>
          </w:p>
        </w:tc>
        <w:tc>
          <w:tcPr>
            <w:tcW w:w="3238" w:type="dxa"/>
            <w:gridSpan w:val="3"/>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表面平整度</w:t>
            </w:r>
          </w:p>
        </w:tc>
        <w:tc>
          <w:tcPr>
            <w:tcW w:w="1559"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4</w:t>
            </w:r>
          </w:p>
        </w:tc>
        <w:tc>
          <w:tcPr>
            <w:tcW w:w="4297" w:type="dxa"/>
            <w:tcBorders>
              <w:top w:val="single" w:color="auto" w:sz="4" w:space="0"/>
              <w:left w:val="single" w:color="auto" w:sz="4" w:space="0"/>
              <w:bottom w:val="single" w:color="auto" w:sz="4" w:space="0"/>
              <w:right w:val="single" w:color="auto" w:sz="12" w:space="0"/>
            </w:tcBorders>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用2m靠尺安放在构件表面上，用楔形塞尺量测靠尺与表面之间的最大缝隙</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9" w:type="dxa"/>
            <w:tcBorders>
              <w:top w:val="single" w:color="auto" w:sz="4" w:space="0"/>
              <w:left w:val="single" w:color="auto" w:sz="12"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5</w:t>
            </w:r>
          </w:p>
        </w:tc>
        <w:tc>
          <w:tcPr>
            <w:tcW w:w="3238" w:type="dxa"/>
            <w:gridSpan w:val="3"/>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侧向弯曲</w:t>
            </w:r>
          </w:p>
        </w:tc>
        <w:tc>
          <w:tcPr>
            <w:tcW w:w="1559"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i/>
                <w:iCs/>
                <w:sz w:val="18"/>
                <w:szCs w:val="18"/>
              </w:rPr>
              <w:t>L</w:t>
            </w:r>
            <w:r>
              <w:rPr>
                <w:rFonts w:hint="eastAsia" w:ascii="宋体" w:hAnsi="宋体"/>
                <w:sz w:val="18"/>
                <w:szCs w:val="18"/>
              </w:rPr>
              <w:t>/750且≤20mm</w:t>
            </w:r>
          </w:p>
        </w:tc>
        <w:tc>
          <w:tcPr>
            <w:tcW w:w="4297" w:type="dxa"/>
            <w:tcBorders>
              <w:top w:val="single" w:color="auto" w:sz="4" w:space="0"/>
              <w:left w:val="single" w:color="auto" w:sz="4" w:space="0"/>
              <w:bottom w:val="single" w:color="auto" w:sz="4" w:space="0"/>
              <w:right w:val="single" w:color="auto" w:sz="12" w:space="0"/>
            </w:tcBorders>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拉线，钢尺量最大弯曲处</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9" w:type="dxa"/>
            <w:vMerge w:val="restart"/>
            <w:tcBorders>
              <w:top w:val="single" w:color="auto" w:sz="4" w:space="0"/>
              <w:left w:val="single" w:color="auto" w:sz="12"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6</w:t>
            </w:r>
          </w:p>
        </w:tc>
        <w:tc>
          <w:tcPr>
            <w:tcW w:w="828" w:type="dxa"/>
            <w:vMerge w:val="restart"/>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预埋</w:t>
            </w:r>
          </w:p>
          <w:p>
            <w:pPr>
              <w:autoSpaceDE w:val="0"/>
              <w:spacing w:line="240" w:lineRule="auto"/>
              <w:jc w:val="center"/>
              <w:rPr>
                <w:rFonts w:ascii="宋体" w:hAnsi="宋体"/>
                <w:sz w:val="18"/>
                <w:szCs w:val="18"/>
              </w:rPr>
            </w:pPr>
            <w:r>
              <w:rPr>
                <w:rFonts w:hint="eastAsia" w:ascii="宋体" w:hAnsi="宋体"/>
                <w:sz w:val="18"/>
                <w:szCs w:val="18"/>
              </w:rPr>
              <w:t>部件</w:t>
            </w:r>
          </w:p>
        </w:tc>
        <w:tc>
          <w:tcPr>
            <w:tcW w:w="851" w:type="dxa"/>
            <w:vMerge w:val="restart"/>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预埋</w:t>
            </w:r>
          </w:p>
          <w:p>
            <w:pPr>
              <w:autoSpaceDE w:val="0"/>
              <w:spacing w:line="240" w:lineRule="auto"/>
              <w:jc w:val="center"/>
              <w:rPr>
                <w:rFonts w:ascii="宋体" w:hAnsi="宋体"/>
                <w:sz w:val="18"/>
                <w:szCs w:val="18"/>
              </w:rPr>
            </w:pPr>
            <w:r>
              <w:rPr>
                <w:rFonts w:hint="eastAsia" w:ascii="宋体" w:hAnsi="宋体"/>
                <w:sz w:val="18"/>
                <w:szCs w:val="18"/>
              </w:rPr>
              <w:t>钢板</w:t>
            </w:r>
          </w:p>
        </w:tc>
        <w:tc>
          <w:tcPr>
            <w:tcW w:w="1559"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中心线位置偏移</w:t>
            </w:r>
          </w:p>
        </w:tc>
        <w:tc>
          <w:tcPr>
            <w:tcW w:w="1559"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5</w:t>
            </w:r>
          </w:p>
        </w:tc>
        <w:tc>
          <w:tcPr>
            <w:tcW w:w="4297" w:type="dxa"/>
            <w:tcBorders>
              <w:top w:val="single" w:color="auto" w:sz="4" w:space="0"/>
              <w:left w:val="single" w:color="auto" w:sz="4" w:space="0"/>
              <w:bottom w:val="single" w:color="auto" w:sz="4" w:space="0"/>
              <w:right w:val="single" w:color="auto" w:sz="12" w:space="0"/>
            </w:tcBorders>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用尺量测纵横两个方向的中心线位置，取其中较大值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9" w:type="dxa"/>
            <w:vMerge w:val="continue"/>
            <w:tcBorders>
              <w:top w:val="single" w:color="auto" w:sz="4" w:space="0"/>
              <w:left w:val="single" w:color="auto" w:sz="12"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828"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851"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1559"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平面高差</w:t>
            </w:r>
          </w:p>
        </w:tc>
        <w:tc>
          <w:tcPr>
            <w:tcW w:w="1559"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0，-5</w:t>
            </w:r>
          </w:p>
        </w:tc>
        <w:tc>
          <w:tcPr>
            <w:tcW w:w="4297" w:type="dxa"/>
            <w:tcBorders>
              <w:top w:val="single" w:color="auto" w:sz="4" w:space="0"/>
              <w:left w:val="single" w:color="auto" w:sz="4" w:space="0"/>
              <w:bottom w:val="single" w:color="auto" w:sz="4" w:space="0"/>
              <w:right w:val="single" w:color="auto" w:sz="12" w:space="0"/>
            </w:tcBorders>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用尺紧靠在预埋件上，用楔形塞尺量测预埋件平面与混凝土面的最大缝隙</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9" w:type="dxa"/>
            <w:vMerge w:val="restart"/>
            <w:tcBorders>
              <w:top w:val="single" w:color="auto" w:sz="4" w:space="0"/>
              <w:left w:val="single" w:color="auto" w:sz="12"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7</w:t>
            </w:r>
          </w:p>
        </w:tc>
        <w:tc>
          <w:tcPr>
            <w:tcW w:w="828"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851" w:type="dxa"/>
            <w:vMerge w:val="restart"/>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预埋</w:t>
            </w:r>
          </w:p>
          <w:p>
            <w:pPr>
              <w:autoSpaceDE w:val="0"/>
              <w:spacing w:line="240" w:lineRule="auto"/>
              <w:jc w:val="center"/>
              <w:rPr>
                <w:rFonts w:ascii="宋体" w:hAnsi="宋体"/>
                <w:sz w:val="18"/>
                <w:szCs w:val="18"/>
              </w:rPr>
            </w:pPr>
            <w:r>
              <w:rPr>
                <w:rFonts w:hint="eastAsia" w:ascii="宋体" w:hAnsi="宋体"/>
                <w:sz w:val="18"/>
                <w:szCs w:val="18"/>
              </w:rPr>
              <w:t>螺栓</w:t>
            </w:r>
          </w:p>
        </w:tc>
        <w:tc>
          <w:tcPr>
            <w:tcW w:w="1559"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中心线位置偏移</w:t>
            </w:r>
          </w:p>
        </w:tc>
        <w:tc>
          <w:tcPr>
            <w:tcW w:w="1559"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2</w:t>
            </w:r>
          </w:p>
        </w:tc>
        <w:tc>
          <w:tcPr>
            <w:tcW w:w="4297" w:type="dxa"/>
            <w:tcBorders>
              <w:top w:val="single" w:color="auto" w:sz="4" w:space="0"/>
              <w:left w:val="single" w:color="auto" w:sz="4" w:space="0"/>
              <w:bottom w:val="single" w:color="auto" w:sz="4" w:space="0"/>
              <w:right w:val="single" w:color="auto" w:sz="12" w:space="0"/>
            </w:tcBorders>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用尺量测纵横两个方向的中心线位置，取其中较大值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9" w:type="dxa"/>
            <w:vMerge w:val="continue"/>
            <w:tcBorders>
              <w:top w:val="single" w:color="auto" w:sz="4" w:space="0"/>
              <w:left w:val="single" w:color="auto" w:sz="12"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828"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851"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1559"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外露长度</w:t>
            </w:r>
          </w:p>
        </w:tc>
        <w:tc>
          <w:tcPr>
            <w:tcW w:w="1559"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+10，-5</w:t>
            </w:r>
          </w:p>
        </w:tc>
        <w:tc>
          <w:tcPr>
            <w:tcW w:w="4297" w:type="dxa"/>
            <w:tcBorders>
              <w:top w:val="single" w:color="auto" w:sz="4" w:space="0"/>
              <w:left w:val="single" w:color="auto" w:sz="4" w:space="0"/>
              <w:bottom w:val="single" w:color="auto" w:sz="4" w:space="0"/>
              <w:right w:val="single" w:color="auto" w:sz="12" w:space="0"/>
            </w:tcBorders>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用尺量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9" w:type="dxa"/>
            <w:vMerge w:val="restart"/>
            <w:tcBorders>
              <w:top w:val="single" w:color="auto" w:sz="4" w:space="0"/>
              <w:left w:val="single" w:color="auto" w:sz="12"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8</w:t>
            </w:r>
          </w:p>
        </w:tc>
        <w:tc>
          <w:tcPr>
            <w:tcW w:w="828" w:type="dxa"/>
            <w:vMerge w:val="restart"/>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预留孔</w:t>
            </w:r>
          </w:p>
        </w:tc>
        <w:tc>
          <w:tcPr>
            <w:tcW w:w="2410" w:type="dxa"/>
            <w:gridSpan w:val="2"/>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中心线位置偏移</w:t>
            </w:r>
          </w:p>
        </w:tc>
        <w:tc>
          <w:tcPr>
            <w:tcW w:w="1559"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5</w:t>
            </w:r>
          </w:p>
        </w:tc>
        <w:tc>
          <w:tcPr>
            <w:tcW w:w="4297" w:type="dxa"/>
            <w:tcBorders>
              <w:top w:val="single" w:color="auto" w:sz="4" w:space="0"/>
              <w:left w:val="single" w:color="auto" w:sz="4" w:space="0"/>
              <w:bottom w:val="single" w:color="auto" w:sz="4" w:space="0"/>
              <w:right w:val="single" w:color="auto" w:sz="12" w:space="0"/>
            </w:tcBorders>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用尺量测纵横两个方向的中心线位置，取其中较大值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9" w:type="dxa"/>
            <w:vMerge w:val="continue"/>
            <w:tcBorders>
              <w:top w:val="single" w:color="auto" w:sz="4" w:space="0"/>
              <w:left w:val="single" w:color="auto" w:sz="12"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828"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2410" w:type="dxa"/>
            <w:gridSpan w:val="2"/>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孔尺寸</w:t>
            </w:r>
          </w:p>
        </w:tc>
        <w:tc>
          <w:tcPr>
            <w:tcW w:w="1559"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±5</w:t>
            </w:r>
          </w:p>
        </w:tc>
        <w:tc>
          <w:tcPr>
            <w:tcW w:w="4297" w:type="dxa"/>
            <w:tcBorders>
              <w:top w:val="single" w:color="auto" w:sz="4" w:space="0"/>
              <w:left w:val="single" w:color="auto" w:sz="4" w:space="0"/>
              <w:bottom w:val="single" w:color="auto" w:sz="4" w:space="0"/>
              <w:right w:val="single" w:color="auto" w:sz="12" w:space="0"/>
            </w:tcBorders>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用尺量测纵横两个方向尺寸，取其中最大值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9" w:type="dxa"/>
            <w:vMerge w:val="restart"/>
            <w:tcBorders>
              <w:top w:val="single" w:color="auto" w:sz="4" w:space="0"/>
              <w:left w:val="single" w:color="auto" w:sz="12" w:space="0"/>
              <w:right w:val="single" w:color="auto" w:sz="4" w:space="0"/>
            </w:tcBorders>
            <w:vAlign w:val="center"/>
          </w:tcPr>
          <w:p>
            <w:pPr>
              <w:widowControl/>
              <w:spacing w:line="240" w:lineRule="auto"/>
              <w:jc w:val="center"/>
              <w:rPr>
                <w:rFonts w:hint="eastAsia" w:ascii="宋体" w:hAnsi="宋体" w:eastAsia="宋体"/>
                <w:sz w:val="18"/>
                <w:szCs w:val="18"/>
                <w:lang w:val="en-US" w:eastAsia="zh-CN"/>
              </w:rPr>
            </w:pPr>
            <w:r>
              <w:rPr>
                <w:rFonts w:hint="eastAsia" w:ascii="宋体" w:hAnsi="宋体"/>
                <w:sz w:val="18"/>
                <w:szCs w:val="18"/>
                <w:lang w:val="en-US" w:eastAsia="zh-CN"/>
              </w:rPr>
              <w:t>9</w:t>
            </w:r>
          </w:p>
        </w:tc>
        <w:tc>
          <w:tcPr>
            <w:tcW w:w="828" w:type="dxa"/>
            <w:vMerge w:val="restart"/>
            <w:tcBorders>
              <w:top w:val="single" w:color="auto" w:sz="4" w:space="0"/>
              <w:left w:val="single" w:color="auto" w:sz="4" w:space="0"/>
              <w:right w:val="single" w:color="auto" w:sz="4" w:space="0"/>
            </w:tcBorders>
            <w:vAlign w:val="center"/>
          </w:tcPr>
          <w:p>
            <w:pPr>
              <w:widowControl/>
              <w:spacing w:line="240" w:lineRule="auto"/>
              <w:jc w:val="center"/>
              <w:rPr>
                <w:rFonts w:hint="default" w:ascii="宋体" w:hAnsi="宋体" w:eastAsia="宋体"/>
                <w:sz w:val="18"/>
                <w:szCs w:val="18"/>
                <w:lang w:val="en-US" w:eastAsia="zh-CN"/>
              </w:rPr>
            </w:pPr>
            <w:r>
              <w:rPr>
                <w:rFonts w:hint="eastAsia" w:ascii="宋体" w:hAnsi="宋体"/>
                <w:sz w:val="18"/>
                <w:szCs w:val="18"/>
                <w:lang w:val="en-US" w:eastAsia="zh-CN"/>
              </w:rPr>
              <w:t>预留洞</w:t>
            </w:r>
          </w:p>
        </w:tc>
        <w:tc>
          <w:tcPr>
            <w:tcW w:w="2410" w:type="dxa"/>
            <w:gridSpan w:val="2"/>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hint="eastAsia" w:ascii="宋体" w:hAnsi="宋体" w:eastAsia="宋体" w:cs="Times New Roman"/>
                <w:kern w:val="2"/>
                <w:sz w:val="18"/>
                <w:szCs w:val="18"/>
                <w:lang w:val="en-US" w:eastAsia="zh-CN" w:bidi="ar-SA"/>
              </w:rPr>
            </w:pPr>
            <w:r>
              <w:rPr>
                <w:rFonts w:hint="eastAsia" w:ascii="宋体" w:hAnsi="宋体"/>
                <w:sz w:val="18"/>
                <w:szCs w:val="18"/>
              </w:rPr>
              <w:t>中心线位置偏移</w:t>
            </w:r>
          </w:p>
        </w:tc>
        <w:tc>
          <w:tcPr>
            <w:tcW w:w="1559"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hint="eastAsia" w:ascii="宋体" w:hAnsi="宋体" w:eastAsia="宋体" w:cs="Times New Roman"/>
                <w:kern w:val="2"/>
                <w:sz w:val="18"/>
                <w:szCs w:val="18"/>
                <w:lang w:val="en-US" w:eastAsia="zh-CN" w:bidi="ar-SA"/>
              </w:rPr>
            </w:pPr>
            <w:r>
              <w:rPr>
                <w:rFonts w:hint="eastAsia" w:ascii="宋体" w:hAnsi="宋体"/>
                <w:sz w:val="18"/>
                <w:szCs w:val="18"/>
              </w:rPr>
              <w:t>5</w:t>
            </w:r>
          </w:p>
        </w:tc>
        <w:tc>
          <w:tcPr>
            <w:tcW w:w="4297" w:type="dxa"/>
            <w:tcBorders>
              <w:top w:val="single" w:color="auto" w:sz="4" w:space="0"/>
              <w:left w:val="single" w:color="auto" w:sz="4" w:space="0"/>
              <w:bottom w:val="single" w:color="auto" w:sz="4" w:space="0"/>
              <w:right w:val="single" w:color="auto" w:sz="12" w:space="0"/>
            </w:tcBorders>
            <w:vAlign w:val="center"/>
          </w:tcPr>
          <w:p>
            <w:pPr>
              <w:autoSpaceDE w:val="0"/>
              <w:spacing w:line="240" w:lineRule="auto"/>
              <w:ind w:firstLine="14" w:firstLineChars="8"/>
              <w:jc w:val="center"/>
              <w:rPr>
                <w:rFonts w:hint="eastAsia" w:ascii="宋体" w:hAnsi="宋体" w:eastAsia="宋体" w:cs="Times New Roman"/>
                <w:kern w:val="2"/>
                <w:sz w:val="18"/>
                <w:szCs w:val="18"/>
                <w:lang w:val="en-US" w:eastAsia="zh-CN" w:bidi="ar-SA"/>
              </w:rPr>
            </w:pPr>
            <w:r>
              <w:rPr>
                <w:rFonts w:hint="eastAsia" w:ascii="宋体" w:hAnsi="宋体"/>
                <w:sz w:val="18"/>
                <w:szCs w:val="18"/>
              </w:rPr>
              <w:t>用尺量测纵横两个方向的中心线位置，取其中较大值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9" w:type="dxa"/>
            <w:vMerge w:val="continue"/>
            <w:tcBorders>
              <w:left w:val="single" w:color="auto" w:sz="12" w:space="0"/>
              <w:bottom w:val="single" w:color="auto" w:sz="4" w:space="0"/>
              <w:right w:val="single" w:color="auto" w:sz="4" w:space="0"/>
            </w:tcBorders>
            <w:vAlign w:val="center"/>
          </w:tcPr>
          <w:p>
            <w:pPr>
              <w:widowControl/>
              <w:spacing w:line="240" w:lineRule="auto"/>
              <w:jc w:val="center"/>
              <w:rPr>
                <w:rFonts w:ascii="宋体" w:hAnsi="宋体"/>
                <w:sz w:val="18"/>
                <w:szCs w:val="18"/>
              </w:rPr>
            </w:pPr>
          </w:p>
        </w:tc>
        <w:tc>
          <w:tcPr>
            <w:tcW w:w="828" w:type="dxa"/>
            <w:vMerge w:val="continue"/>
            <w:tcBorders>
              <w:left w:val="single" w:color="auto" w:sz="4" w:space="0"/>
              <w:bottom w:val="single" w:color="auto" w:sz="4" w:space="0"/>
              <w:right w:val="single" w:color="auto" w:sz="4" w:space="0"/>
            </w:tcBorders>
            <w:vAlign w:val="center"/>
          </w:tcPr>
          <w:p>
            <w:pPr>
              <w:widowControl/>
              <w:spacing w:line="240" w:lineRule="auto"/>
              <w:jc w:val="center"/>
              <w:rPr>
                <w:rFonts w:ascii="宋体" w:hAnsi="宋体"/>
                <w:sz w:val="18"/>
                <w:szCs w:val="18"/>
              </w:rPr>
            </w:pPr>
          </w:p>
        </w:tc>
        <w:tc>
          <w:tcPr>
            <w:tcW w:w="2410" w:type="dxa"/>
            <w:gridSpan w:val="2"/>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hint="eastAsia" w:ascii="宋体" w:hAnsi="宋体" w:eastAsia="宋体" w:cs="Times New Roman"/>
                <w:kern w:val="2"/>
                <w:sz w:val="18"/>
                <w:szCs w:val="18"/>
                <w:lang w:val="en-US" w:eastAsia="zh-CN" w:bidi="ar-SA"/>
              </w:rPr>
            </w:pPr>
            <w:r>
              <w:rPr>
                <w:rFonts w:hint="eastAsia" w:ascii="宋体" w:hAnsi="宋体"/>
                <w:sz w:val="18"/>
                <w:szCs w:val="18"/>
              </w:rPr>
              <w:t>洞口尺寸、深度</w:t>
            </w:r>
          </w:p>
        </w:tc>
        <w:tc>
          <w:tcPr>
            <w:tcW w:w="1559"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hint="eastAsia" w:ascii="宋体" w:hAnsi="宋体" w:eastAsia="宋体" w:cs="Times New Roman"/>
                <w:kern w:val="2"/>
                <w:sz w:val="18"/>
                <w:szCs w:val="18"/>
                <w:lang w:val="en-US" w:eastAsia="zh-CN" w:bidi="ar-SA"/>
              </w:rPr>
            </w:pPr>
            <w:r>
              <w:rPr>
                <w:rFonts w:hint="eastAsia" w:ascii="宋体" w:hAnsi="宋体"/>
                <w:sz w:val="18"/>
                <w:szCs w:val="18"/>
              </w:rPr>
              <w:t>±5</w:t>
            </w:r>
          </w:p>
        </w:tc>
        <w:tc>
          <w:tcPr>
            <w:tcW w:w="4297" w:type="dxa"/>
            <w:tcBorders>
              <w:top w:val="single" w:color="auto" w:sz="4" w:space="0"/>
              <w:left w:val="single" w:color="auto" w:sz="4" w:space="0"/>
              <w:bottom w:val="single" w:color="auto" w:sz="4" w:space="0"/>
              <w:right w:val="single" w:color="auto" w:sz="12" w:space="0"/>
            </w:tcBorders>
            <w:vAlign w:val="center"/>
          </w:tcPr>
          <w:p>
            <w:pPr>
              <w:autoSpaceDE w:val="0"/>
              <w:spacing w:line="240" w:lineRule="auto"/>
              <w:ind w:firstLine="14" w:firstLineChars="8"/>
              <w:jc w:val="center"/>
              <w:rPr>
                <w:rFonts w:hint="eastAsia" w:ascii="宋体" w:hAnsi="宋体" w:eastAsia="宋体" w:cs="Times New Roman"/>
                <w:kern w:val="2"/>
                <w:sz w:val="18"/>
                <w:szCs w:val="18"/>
                <w:lang w:val="en-US" w:eastAsia="zh-CN" w:bidi="ar-SA"/>
              </w:rPr>
            </w:pPr>
            <w:r>
              <w:rPr>
                <w:rFonts w:hint="eastAsia" w:ascii="宋体" w:hAnsi="宋体"/>
                <w:sz w:val="18"/>
                <w:szCs w:val="18"/>
              </w:rPr>
              <w:t>用尺量测纵横两个方向尺寸，取其中最大值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9" w:type="dxa"/>
            <w:vMerge w:val="restart"/>
            <w:tcBorders>
              <w:top w:val="single" w:color="auto" w:sz="4" w:space="0"/>
              <w:left w:val="single" w:color="auto" w:sz="12" w:space="0"/>
              <w:right w:val="single" w:color="auto" w:sz="4" w:space="0"/>
            </w:tcBorders>
            <w:vAlign w:val="center"/>
          </w:tcPr>
          <w:p>
            <w:pPr>
              <w:widowControl/>
              <w:spacing w:line="240" w:lineRule="auto"/>
              <w:jc w:val="center"/>
              <w:rPr>
                <w:rFonts w:hint="default" w:ascii="宋体" w:hAnsi="宋体" w:eastAsia="宋体"/>
                <w:sz w:val="18"/>
                <w:szCs w:val="18"/>
                <w:lang w:val="en-US" w:eastAsia="zh-CN"/>
              </w:rPr>
            </w:pPr>
            <w:r>
              <w:rPr>
                <w:rFonts w:hint="eastAsia" w:ascii="宋体" w:hAnsi="宋体"/>
                <w:sz w:val="18"/>
                <w:szCs w:val="18"/>
                <w:lang w:val="en-US" w:eastAsia="zh-CN"/>
              </w:rPr>
              <w:t>10</w:t>
            </w:r>
          </w:p>
        </w:tc>
        <w:tc>
          <w:tcPr>
            <w:tcW w:w="828" w:type="dxa"/>
            <w:vMerge w:val="restart"/>
            <w:tcBorders>
              <w:top w:val="single" w:color="auto" w:sz="4" w:space="0"/>
              <w:left w:val="single" w:color="auto" w:sz="4" w:space="0"/>
              <w:right w:val="single" w:color="auto" w:sz="4" w:space="0"/>
            </w:tcBorders>
            <w:vAlign w:val="center"/>
          </w:tcPr>
          <w:p>
            <w:pPr>
              <w:widowControl/>
              <w:spacing w:line="240" w:lineRule="auto"/>
              <w:jc w:val="center"/>
              <w:rPr>
                <w:rFonts w:ascii="宋体" w:hAnsi="宋体"/>
                <w:sz w:val="18"/>
                <w:szCs w:val="18"/>
              </w:rPr>
            </w:pPr>
            <w:r>
              <w:rPr>
                <w:rFonts w:hint="eastAsia" w:ascii="宋体" w:hAnsi="宋体"/>
                <w:sz w:val="18"/>
                <w:szCs w:val="18"/>
              </w:rPr>
              <w:t>预留插筋</w:t>
            </w:r>
          </w:p>
        </w:tc>
        <w:tc>
          <w:tcPr>
            <w:tcW w:w="2410" w:type="dxa"/>
            <w:gridSpan w:val="2"/>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hint="eastAsia" w:ascii="宋体" w:hAnsi="宋体" w:eastAsia="宋体" w:cs="Times New Roman"/>
                <w:kern w:val="2"/>
                <w:sz w:val="18"/>
                <w:szCs w:val="18"/>
                <w:lang w:val="en-US" w:eastAsia="zh-CN" w:bidi="ar-SA"/>
              </w:rPr>
            </w:pPr>
            <w:r>
              <w:rPr>
                <w:rFonts w:hint="eastAsia" w:ascii="宋体" w:hAnsi="宋体"/>
                <w:sz w:val="18"/>
                <w:szCs w:val="18"/>
              </w:rPr>
              <w:t>中心线位置偏移</w:t>
            </w:r>
          </w:p>
        </w:tc>
        <w:tc>
          <w:tcPr>
            <w:tcW w:w="1559"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hint="eastAsia" w:ascii="宋体" w:hAnsi="宋体" w:eastAsia="宋体" w:cs="Times New Roman"/>
                <w:kern w:val="2"/>
                <w:sz w:val="18"/>
                <w:szCs w:val="18"/>
                <w:lang w:val="en-US" w:eastAsia="zh-CN" w:bidi="ar-SA"/>
              </w:rPr>
            </w:pPr>
            <w:r>
              <w:rPr>
                <w:rFonts w:hint="eastAsia" w:ascii="宋体" w:hAnsi="宋体"/>
                <w:sz w:val="18"/>
                <w:szCs w:val="18"/>
              </w:rPr>
              <w:t>3</w:t>
            </w:r>
          </w:p>
        </w:tc>
        <w:tc>
          <w:tcPr>
            <w:tcW w:w="4297" w:type="dxa"/>
            <w:tcBorders>
              <w:top w:val="single" w:color="auto" w:sz="4" w:space="0"/>
              <w:left w:val="single" w:color="auto" w:sz="4" w:space="0"/>
              <w:bottom w:val="single" w:color="auto" w:sz="4" w:space="0"/>
              <w:right w:val="single" w:color="auto" w:sz="12" w:space="0"/>
            </w:tcBorders>
            <w:vAlign w:val="center"/>
          </w:tcPr>
          <w:p>
            <w:pPr>
              <w:autoSpaceDE w:val="0"/>
              <w:spacing w:line="240" w:lineRule="auto"/>
              <w:ind w:firstLine="14" w:firstLineChars="8"/>
              <w:jc w:val="center"/>
              <w:rPr>
                <w:rFonts w:hint="eastAsia" w:ascii="宋体" w:hAnsi="宋体" w:eastAsia="宋体" w:cs="Times New Roman"/>
                <w:kern w:val="2"/>
                <w:sz w:val="18"/>
                <w:szCs w:val="18"/>
                <w:lang w:val="en-US" w:eastAsia="zh-CN" w:bidi="ar-SA"/>
              </w:rPr>
            </w:pPr>
            <w:r>
              <w:rPr>
                <w:rFonts w:hint="eastAsia" w:ascii="宋体" w:hAnsi="宋体"/>
                <w:sz w:val="18"/>
                <w:szCs w:val="18"/>
              </w:rPr>
              <w:t>用尺量测纵横两个方向的中心线位置，取其中较大值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9" w:type="dxa"/>
            <w:vMerge w:val="continue"/>
            <w:tcBorders>
              <w:left w:val="single" w:color="auto" w:sz="12" w:space="0"/>
              <w:bottom w:val="single" w:color="auto" w:sz="4" w:space="0"/>
              <w:right w:val="single" w:color="auto" w:sz="4" w:space="0"/>
            </w:tcBorders>
            <w:vAlign w:val="center"/>
          </w:tcPr>
          <w:p>
            <w:pPr>
              <w:widowControl/>
              <w:spacing w:line="240" w:lineRule="auto"/>
              <w:jc w:val="center"/>
              <w:rPr>
                <w:rFonts w:ascii="宋体" w:hAnsi="宋体"/>
                <w:sz w:val="18"/>
                <w:szCs w:val="18"/>
              </w:rPr>
            </w:pPr>
          </w:p>
        </w:tc>
        <w:tc>
          <w:tcPr>
            <w:tcW w:w="828" w:type="dxa"/>
            <w:vMerge w:val="continue"/>
            <w:tcBorders>
              <w:left w:val="single" w:color="auto" w:sz="4" w:space="0"/>
              <w:bottom w:val="single" w:color="auto" w:sz="4" w:space="0"/>
              <w:right w:val="single" w:color="auto" w:sz="4" w:space="0"/>
            </w:tcBorders>
            <w:vAlign w:val="center"/>
          </w:tcPr>
          <w:p>
            <w:pPr>
              <w:widowControl/>
              <w:spacing w:line="240" w:lineRule="auto"/>
              <w:jc w:val="center"/>
              <w:rPr>
                <w:rFonts w:ascii="宋体" w:hAnsi="宋体"/>
                <w:sz w:val="18"/>
                <w:szCs w:val="18"/>
              </w:rPr>
            </w:pPr>
          </w:p>
        </w:tc>
        <w:tc>
          <w:tcPr>
            <w:tcW w:w="2410" w:type="dxa"/>
            <w:gridSpan w:val="2"/>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hint="eastAsia" w:ascii="宋体" w:hAnsi="宋体" w:eastAsia="宋体" w:cs="Times New Roman"/>
                <w:kern w:val="2"/>
                <w:sz w:val="18"/>
                <w:szCs w:val="18"/>
                <w:lang w:val="en-US" w:eastAsia="zh-CN" w:bidi="ar-SA"/>
              </w:rPr>
            </w:pPr>
            <w:r>
              <w:rPr>
                <w:rFonts w:hint="eastAsia" w:ascii="宋体" w:hAnsi="宋体"/>
                <w:sz w:val="18"/>
                <w:szCs w:val="18"/>
              </w:rPr>
              <w:t>外露长度</w:t>
            </w:r>
          </w:p>
        </w:tc>
        <w:tc>
          <w:tcPr>
            <w:tcW w:w="1559"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hint="eastAsia" w:ascii="宋体" w:hAnsi="宋体" w:eastAsia="宋体" w:cs="Times New Roman"/>
                <w:kern w:val="2"/>
                <w:sz w:val="18"/>
                <w:szCs w:val="18"/>
                <w:lang w:val="en-US" w:eastAsia="zh-CN" w:bidi="ar-SA"/>
              </w:rPr>
            </w:pPr>
            <w:r>
              <w:rPr>
                <w:rFonts w:hint="eastAsia" w:ascii="宋体" w:hAnsi="宋体"/>
                <w:sz w:val="18"/>
                <w:szCs w:val="18"/>
              </w:rPr>
              <w:t>±5</w:t>
            </w:r>
          </w:p>
        </w:tc>
        <w:tc>
          <w:tcPr>
            <w:tcW w:w="4297" w:type="dxa"/>
            <w:tcBorders>
              <w:top w:val="single" w:color="auto" w:sz="4" w:space="0"/>
              <w:left w:val="single" w:color="auto" w:sz="4" w:space="0"/>
              <w:bottom w:val="single" w:color="auto" w:sz="4" w:space="0"/>
              <w:right w:val="single" w:color="auto" w:sz="12" w:space="0"/>
            </w:tcBorders>
            <w:vAlign w:val="center"/>
          </w:tcPr>
          <w:p>
            <w:pPr>
              <w:autoSpaceDE w:val="0"/>
              <w:spacing w:line="240" w:lineRule="auto"/>
              <w:ind w:firstLine="14" w:firstLineChars="8"/>
              <w:jc w:val="center"/>
              <w:rPr>
                <w:rFonts w:hint="eastAsia" w:ascii="宋体" w:hAnsi="宋体" w:eastAsia="宋体" w:cs="Times New Roman"/>
                <w:kern w:val="2"/>
                <w:sz w:val="18"/>
                <w:szCs w:val="18"/>
                <w:lang w:val="en-US" w:eastAsia="zh-CN" w:bidi="ar-SA"/>
              </w:rPr>
            </w:pPr>
            <w:r>
              <w:rPr>
                <w:rFonts w:hint="eastAsia" w:ascii="宋体" w:hAnsi="宋体"/>
                <w:sz w:val="18"/>
                <w:szCs w:val="18"/>
              </w:rPr>
              <w:t>用尺量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9" w:type="dxa"/>
            <w:vMerge w:val="restart"/>
            <w:tcBorders>
              <w:top w:val="single" w:color="auto" w:sz="4" w:space="0"/>
              <w:left w:val="single" w:color="auto" w:sz="12" w:space="0"/>
              <w:right w:val="single" w:color="auto" w:sz="4" w:space="0"/>
            </w:tcBorders>
            <w:vAlign w:val="center"/>
          </w:tcPr>
          <w:p>
            <w:pPr>
              <w:widowControl/>
              <w:spacing w:line="240" w:lineRule="auto"/>
              <w:jc w:val="center"/>
              <w:rPr>
                <w:rFonts w:hint="default" w:ascii="宋体" w:hAnsi="宋体" w:eastAsia="宋体"/>
                <w:sz w:val="18"/>
                <w:szCs w:val="18"/>
                <w:lang w:val="en-US" w:eastAsia="zh-CN"/>
              </w:rPr>
            </w:pPr>
            <w:r>
              <w:rPr>
                <w:rFonts w:hint="eastAsia" w:ascii="宋体" w:hAnsi="宋体"/>
                <w:sz w:val="18"/>
                <w:szCs w:val="18"/>
                <w:lang w:val="en-US" w:eastAsia="zh-CN"/>
              </w:rPr>
              <w:t>11</w:t>
            </w:r>
          </w:p>
        </w:tc>
        <w:tc>
          <w:tcPr>
            <w:tcW w:w="828" w:type="dxa"/>
            <w:vMerge w:val="restart"/>
            <w:tcBorders>
              <w:top w:val="single" w:color="auto" w:sz="4" w:space="0"/>
              <w:left w:val="single" w:color="auto" w:sz="4" w:space="0"/>
              <w:right w:val="single" w:color="auto" w:sz="4" w:space="0"/>
            </w:tcBorders>
            <w:vAlign w:val="center"/>
          </w:tcPr>
          <w:p>
            <w:pPr>
              <w:widowControl/>
              <w:spacing w:line="240" w:lineRule="auto"/>
              <w:jc w:val="center"/>
              <w:rPr>
                <w:rFonts w:ascii="宋体" w:hAnsi="宋体"/>
                <w:sz w:val="18"/>
                <w:szCs w:val="18"/>
              </w:rPr>
            </w:pPr>
            <w:r>
              <w:rPr>
                <w:rFonts w:hint="eastAsia" w:ascii="宋体" w:hAnsi="宋体"/>
                <w:sz w:val="18"/>
                <w:szCs w:val="18"/>
              </w:rPr>
              <w:t>吊环</w:t>
            </w:r>
          </w:p>
        </w:tc>
        <w:tc>
          <w:tcPr>
            <w:tcW w:w="2410" w:type="dxa"/>
            <w:gridSpan w:val="2"/>
            <w:tcBorders>
              <w:top w:val="single" w:color="auto" w:sz="4" w:space="0"/>
              <w:left w:val="single" w:color="auto" w:sz="4" w:space="0"/>
              <w:bottom w:val="single" w:color="auto" w:sz="4" w:space="0"/>
              <w:right w:val="single" w:color="auto" w:sz="4" w:space="0"/>
            </w:tcBorders>
            <w:vAlign w:val="center"/>
          </w:tcPr>
          <w:p>
            <w:pPr>
              <w:autoSpaceDE w:val="0"/>
              <w:jc w:val="center"/>
              <w:rPr>
                <w:rFonts w:hint="eastAsia" w:ascii="宋体" w:hAnsi="宋体" w:eastAsia="宋体" w:cs="Times New Roman"/>
                <w:kern w:val="2"/>
                <w:sz w:val="18"/>
                <w:szCs w:val="18"/>
                <w:lang w:val="en-US" w:eastAsia="zh-CN" w:bidi="ar-SA"/>
              </w:rPr>
            </w:pPr>
            <w:r>
              <w:rPr>
                <w:rFonts w:hint="eastAsia" w:ascii="宋体" w:hAnsi="宋体"/>
                <w:sz w:val="18"/>
                <w:szCs w:val="18"/>
              </w:rPr>
              <w:t>中心线位置偏移</w:t>
            </w:r>
          </w:p>
        </w:tc>
        <w:tc>
          <w:tcPr>
            <w:tcW w:w="1559" w:type="dxa"/>
            <w:tcBorders>
              <w:top w:val="single" w:color="auto" w:sz="4" w:space="0"/>
              <w:left w:val="single" w:color="auto" w:sz="4" w:space="0"/>
              <w:bottom w:val="single" w:color="auto" w:sz="4" w:space="0"/>
              <w:right w:val="single" w:color="auto" w:sz="4" w:space="0"/>
            </w:tcBorders>
            <w:vAlign w:val="center"/>
          </w:tcPr>
          <w:p>
            <w:pPr>
              <w:autoSpaceDE w:val="0"/>
              <w:jc w:val="center"/>
              <w:rPr>
                <w:rFonts w:hint="eastAsia" w:ascii="宋体" w:hAnsi="宋体" w:eastAsia="宋体" w:cs="Times New Roman"/>
                <w:kern w:val="2"/>
                <w:sz w:val="18"/>
                <w:szCs w:val="18"/>
                <w:lang w:val="en-US" w:eastAsia="zh-CN" w:bidi="ar-SA"/>
              </w:rPr>
            </w:pPr>
            <w:r>
              <w:rPr>
                <w:rFonts w:hint="eastAsia" w:ascii="宋体" w:hAnsi="宋体"/>
                <w:sz w:val="18"/>
                <w:szCs w:val="18"/>
              </w:rPr>
              <w:t>10</w:t>
            </w:r>
          </w:p>
        </w:tc>
        <w:tc>
          <w:tcPr>
            <w:tcW w:w="4297" w:type="dxa"/>
            <w:tcBorders>
              <w:top w:val="single" w:color="auto" w:sz="4" w:space="0"/>
              <w:left w:val="single" w:color="auto" w:sz="4" w:space="0"/>
              <w:bottom w:val="single" w:color="auto" w:sz="4" w:space="0"/>
              <w:right w:val="single" w:color="auto" w:sz="12" w:space="0"/>
            </w:tcBorders>
            <w:vAlign w:val="center"/>
          </w:tcPr>
          <w:p>
            <w:pPr>
              <w:autoSpaceDE w:val="0"/>
              <w:spacing w:line="240" w:lineRule="auto"/>
              <w:ind w:firstLine="14" w:firstLineChars="8"/>
              <w:jc w:val="center"/>
              <w:rPr>
                <w:rFonts w:hint="eastAsia" w:ascii="宋体" w:hAnsi="宋体" w:eastAsia="宋体" w:cs="Times New Roman"/>
                <w:kern w:val="2"/>
                <w:sz w:val="18"/>
                <w:szCs w:val="18"/>
                <w:lang w:val="en-US" w:eastAsia="zh-CN" w:bidi="ar-SA"/>
              </w:rPr>
            </w:pPr>
            <w:r>
              <w:rPr>
                <w:rFonts w:hint="eastAsia" w:ascii="宋体" w:hAnsi="宋体"/>
                <w:sz w:val="18"/>
                <w:szCs w:val="18"/>
              </w:rPr>
              <w:t>用尺量测纵横两个方向的中心线位置，取其中较大值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9" w:type="dxa"/>
            <w:vMerge w:val="continue"/>
            <w:tcBorders>
              <w:left w:val="single" w:color="auto" w:sz="12" w:space="0"/>
              <w:bottom w:val="single" w:color="auto" w:sz="4" w:space="0"/>
              <w:right w:val="single" w:color="auto" w:sz="4" w:space="0"/>
            </w:tcBorders>
            <w:vAlign w:val="center"/>
          </w:tcPr>
          <w:p>
            <w:pPr>
              <w:widowControl/>
              <w:spacing w:line="240" w:lineRule="auto"/>
              <w:jc w:val="center"/>
              <w:rPr>
                <w:rFonts w:ascii="宋体" w:hAnsi="宋体"/>
                <w:sz w:val="18"/>
                <w:szCs w:val="18"/>
              </w:rPr>
            </w:pPr>
          </w:p>
        </w:tc>
        <w:tc>
          <w:tcPr>
            <w:tcW w:w="828" w:type="dxa"/>
            <w:vMerge w:val="continue"/>
            <w:tcBorders>
              <w:left w:val="single" w:color="auto" w:sz="4" w:space="0"/>
              <w:bottom w:val="single" w:color="auto" w:sz="4" w:space="0"/>
              <w:right w:val="single" w:color="auto" w:sz="4" w:space="0"/>
            </w:tcBorders>
            <w:vAlign w:val="center"/>
          </w:tcPr>
          <w:p>
            <w:pPr>
              <w:widowControl/>
              <w:spacing w:line="240" w:lineRule="auto"/>
              <w:jc w:val="center"/>
              <w:rPr>
                <w:rFonts w:ascii="宋体" w:hAnsi="宋体"/>
                <w:sz w:val="18"/>
                <w:szCs w:val="18"/>
              </w:rPr>
            </w:pPr>
          </w:p>
        </w:tc>
        <w:tc>
          <w:tcPr>
            <w:tcW w:w="2410" w:type="dxa"/>
            <w:gridSpan w:val="2"/>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hint="eastAsia" w:ascii="宋体" w:hAnsi="宋体" w:eastAsia="宋体" w:cs="Times New Roman"/>
                <w:kern w:val="2"/>
                <w:sz w:val="18"/>
                <w:szCs w:val="18"/>
                <w:lang w:val="en-US" w:eastAsia="zh-CN" w:bidi="ar-SA"/>
              </w:rPr>
            </w:pPr>
            <w:r>
              <w:rPr>
                <w:rFonts w:hint="eastAsia" w:ascii="宋体" w:hAnsi="宋体"/>
                <w:sz w:val="18"/>
                <w:szCs w:val="18"/>
              </w:rPr>
              <w:t>留出高度</w:t>
            </w:r>
          </w:p>
        </w:tc>
        <w:tc>
          <w:tcPr>
            <w:tcW w:w="1559"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hint="eastAsia" w:ascii="宋体" w:hAnsi="宋体" w:eastAsia="宋体" w:cs="Times New Roman"/>
                <w:kern w:val="2"/>
                <w:sz w:val="18"/>
                <w:szCs w:val="18"/>
                <w:lang w:val="en-US" w:eastAsia="zh-CN" w:bidi="ar-SA"/>
              </w:rPr>
            </w:pPr>
            <w:r>
              <w:rPr>
                <w:rFonts w:hint="eastAsia" w:ascii="宋体" w:hAnsi="宋体"/>
                <w:sz w:val="18"/>
                <w:szCs w:val="18"/>
              </w:rPr>
              <w:t>0，-10</w:t>
            </w:r>
          </w:p>
        </w:tc>
        <w:tc>
          <w:tcPr>
            <w:tcW w:w="4297" w:type="dxa"/>
            <w:tcBorders>
              <w:top w:val="single" w:color="auto" w:sz="4" w:space="0"/>
              <w:left w:val="single" w:color="auto" w:sz="4" w:space="0"/>
              <w:bottom w:val="single" w:color="auto" w:sz="4" w:space="0"/>
              <w:right w:val="single" w:color="auto" w:sz="12" w:space="0"/>
            </w:tcBorders>
            <w:vAlign w:val="center"/>
          </w:tcPr>
          <w:p>
            <w:pPr>
              <w:autoSpaceDE w:val="0"/>
              <w:spacing w:line="240" w:lineRule="auto"/>
              <w:ind w:firstLine="14" w:firstLineChars="8"/>
              <w:jc w:val="center"/>
              <w:rPr>
                <w:rFonts w:hint="eastAsia" w:ascii="宋体" w:hAnsi="宋体" w:eastAsia="宋体" w:cs="Times New Roman"/>
                <w:kern w:val="2"/>
                <w:sz w:val="18"/>
                <w:szCs w:val="18"/>
                <w:lang w:val="en-US" w:eastAsia="zh-CN" w:bidi="ar-SA"/>
              </w:rPr>
            </w:pPr>
            <w:r>
              <w:rPr>
                <w:rFonts w:hint="eastAsia" w:ascii="宋体" w:hAnsi="宋体"/>
                <w:sz w:val="18"/>
                <w:szCs w:val="18"/>
              </w:rPr>
              <w:t>用尺量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9" w:type="dxa"/>
            <w:vMerge w:val="restart"/>
            <w:tcBorders>
              <w:top w:val="single" w:color="auto" w:sz="4" w:space="0"/>
              <w:left w:val="single" w:color="auto" w:sz="12" w:space="0"/>
              <w:right w:val="single" w:color="auto" w:sz="4" w:space="0"/>
            </w:tcBorders>
            <w:vAlign w:val="center"/>
          </w:tcPr>
          <w:p>
            <w:pPr>
              <w:widowControl/>
              <w:spacing w:line="240" w:lineRule="auto"/>
              <w:jc w:val="center"/>
              <w:rPr>
                <w:rFonts w:hint="default" w:ascii="宋体" w:hAnsi="宋体" w:eastAsia="宋体"/>
                <w:sz w:val="18"/>
                <w:szCs w:val="18"/>
                <w:lang w:val="en-US" w:eastAsia="zh-CN"/>
              </w:rPr>
            </w:pPr>
            <w:r>
              <w:rPr>
                <w:rFonts w:hint="eastAsia" w:ascii="宋体" w:hAnsi="宋体"/>
                <w:sz w:val="18"/>
                <w:szCs w:val="18"/>
                <w:lang w:val="en-US" w:eastAsia="zh-CN"/>
              </w:rPr>
              <w:t>12</w:t>
            </w:r>
          </w:p>
        </w:tc>
        <w:tc>
          <w:tcPr>
            <w:tcW w:w="828" w:type="dxa"/>
            <w:vMerge w:val="restart"/>
            <w:tcBorders>
              <w:top w:val="single" w:color="auto" w:sz="4" w:space="0"/>
              <w:left w:val="single" w:color="auto" w:sz="4" w:space="0"/>
              <w:right w:val="single" w:color="auto" w:sz="4" w:space="0"/>
            </w:tcBorders>
            <w:vAlign w:val="center"/>
          </w:tcPr>
          <w:p>
            <w:pPr>
              <w:widowControl/>
              <w:spacing w:line="240" w:lineRule="auto"/>
              <w:jc w:val="center"/>
              <w:rPr>
                <w:rFonts w:ascii="宋体" w:hAnsi="宋体"/>
                <w:sz w:val="18"/>
                <w:szCs w:val="18"/>
              </w:rPr>
            </w:pPr>
            <w:r>
              <w:rPr>
                <w:rFonts w:hint="eastAsia" w:ascii="宋体" w:hAnsi="宋体"/>
                <w:sz w:val="18"/>
                <w:szCs w:val="18"/>
              </w:rPr>
              <w:t>键槽</w:t>
            </w:r>
          </w:p>
        </w:tc>
        <w:tc>
          <w:tcPr>
            <w:tcW w:w="2410" w:type="dxa"/>
            <w:gridSpan w:val="2"/>
            <w:tcBorders>
              <w:top w:val="single" w:color="auto" w:sz="4" w:space="0"/>
              <w:left w:val="single" w:color="auto" w:sz="4" w:space="0"/>
              <w:bottom w:val="single" w:color="auto" w:sz="4" w:space="0"/>
              <w:right w:val="single" w:color="auto" w:sz="4" w:space="0"/>
            </w:tcBorders>
            <w:vAlign w:val="center"/>
          </w:tcPr>
          <w:p>
            <w:pPr>
              <w:autoSpaceDE w:val="0"/>
              <w:jc w:val="center"/>
              <w:rPr>
                <w:rFonts w:hint="eastAsia" w:ascii="宋体" w:hAnsi="宋体" w:eastAsia="宋体" w:cs="Times New Roman"/>
                <w:kern w:val="2"/>
                <w:sz w:val="18"/>
                <w:szCs w:val="18"/>
                <w:lang w:val="en-US" w:eastAsia="zh-CN" w:bidi="ar-SA"/>
              </w:rPr>
            </w:pPr>
            <w:r>
              <w:rPr>
                <w:rFonts w:hint="eastAsia" w:ascii="宋体" w:hAnsi="宋体"/>
                <w:sz w:val="18"/>
                <w:szCs w:val="18"/>
              </w:rPr>
              <w:t>中心线位置偏移</w:t>
            </w:r>
          </w:p>
        </w:tc>
        <w:tc>
          <w:tcPr>
            <w:tcW w:w="1559" w:type="dxa"/>
            <w:tcBorders>
              <w:top w:val="single" w:color="auto" w:sz="4" w:space="0"/>
              <w:left w:val="single" w:color="auto" w:sz="4" w:space="0"/>
              <w:bottom w:val="single" w:color="auto" w:sz="4" w:space="0"/>
              <w:right w:val="single" w:color="auto" w:sz="4" w:space="0"/>
            </w:tcBorders>
            <w:vAlign w:val="center"/>
          </w:tcPr>
          <w:p>
            <w:pPr>
              <w:autoSpaceDE w:val="0"/>
              <w:jc w:val="center"/>
              <w:rPr>
                <w:rFonts w:hint="eastAsia" w:ascii="宋体" w:hAnsi="宋体" w:eastAsia="宋体" w:cs="Times New Roman"/>
                <w:kern w:val="2"/>
                <w:sz w:val="18"/>
                <w:szCs w:val="18"/>
                <w:lang w:val="en-US" w:eastAsia="zh-CN" w:bidi="ar-SA"/>
              </w:rPr>
            </w:pPr>
            <w:r>
              <w:rPr>
                <w:rFonts w:hint="eastAsia" w:ascii="宋体" w:hAnsi="宋体"/>
                <w:sz w:val="18"/>
                <w:szCs w:val="18"/>
              </w:rPr>
              <w:t>5</w:t>
            </w:r>
          </w:p>
        </w:tc>
        <w:tc>
          <w:tcPr>
            <w:tcW w:w="4297" w:type="dxa"/>
            <w:tcBorders>
              <w:top w:val="single" w:color="auto" w:sz="4" w:space="0"/>
              <w:left w:val="single" w:color="auto" w:sz="4" w:space="0"/>
              <w:bottom w:val="single" w:color="auto" w:sz="4" w:space="0"/>
              <w:right w:val="single" w:color="auto" w:sz="12" w:space="0"/>
            </w:tcBorders>
            <w:vAlign w:val="center"/>
          </w:tcPr>
          <w:p>
            <w:pPr>
              <w:autoSpaceDE w:val="0"/>
              <w:spacing w:line="240" w:lineRule="auto"/>
              <w:ind w:firstLine="14" w:firstLineChars="8"/>
              <w:jc w:val="center"/>
              <w:rPr>
                <w:rFonts w:hint="eastAsia" w:ascii="宋体" w:hAnsi="宋体" w:eastAsia="宋体" w:cs="Times New Roman"/>
                <w:kern w:val="2"/>
                <w:sz w:val="18"/>
                <w:szCs w:val="18"/>
                <w:lang w:val="en-US" w:eastAsia="zh-CN" w:bidi="ar-SA"/>
              </w:rPr>
            </w:pPr>
            <w:r>
              <w:rPr>
                <w:rFonts w:hint="eastAsia" w:ascii="宋体" w:hAnsi="宋体"/>
                <w:sz w:val="18"/>
                <w:szCs w:val="18"/>
              </w:rPr>
              <w:t>用尺量测纵横两个方向的中心线位置，取其中较大值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9" w:type="dxa"/>
            <w:vMerge w:val="continue"/>
            <w:tcBorders>
              <w:left w:val="single" w:color="auto" w:sz="12" w:space="0"/>
              <w:right w:val="single" w:color="auto" w:sz="4" w:space="0"/>
            </w:tcBorders>
            <w:vAlign w:val="center"/>
          </w:tcPr>
          <w:p>
            <w:pPr>
              <w:widowControl/>
              <w:spacing w:line="240" w:lineRule="auto"/>
              <w:jc w:val="center"/>
              <w:rPr>
                <w:rFonts w:ascii="宋体" w:hAnsi="宋体"/>
                <w:sz w:val="18"/>
                <w:szCs w:val="18"/>
              </w:rPr>
            </w:pPr>
          </w:p>
        </w:tc>
        <w:tc>
          <w:tcPr>
            <w:tcW w:w="828" w:type="dxa"/>
            <w:vMerge w:val="continue"/>
            <w:tcBorders>
              <w:left w:val="single" w:color="auto" w:sz="4" w:space="0"/>
              <w:right w:val="single" w:color="auto" w:sz="4" w:space="0"/>
            </w:tcBorders>
            <w:vAlign w:val="center"/>
          </w:tcPr>
          <w:p>
            <w:pPr>
              <w:widowControl/>
              <w:spacing w:line="240" w:lineRule="auto"/>
              <w:jc w:val="center"/>
              <w:rPr>
                <w:rFonts w:ascii="宋体" w:hAnsi="宋体"/>
                <w:sz w:val="18"/>
                <w:szCs w:val="18"/>
              </w:rPr>
            </w:pPr>
          </w:p>
        </w:tc>
        <w:tc>
          <w:tcPr>
            <w:tcW w:w="2410" w:type="dxa"/>
            <w:gridSpan w:val="2"/>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hint="eastAsia" w:ascii="宋体" w:hAnsi="宋体" w:eastAsia="宋体" w:cs="Times New Roman"/>
                <w:kern w:val="2"/>
                <w:sz w:val="18"/>
                <w:szCs w:val="18"/>
                <w:lang w:val="en-US" w:eastAsia="zh-CN" w:bidi="ar-SA"/>
              </w:rPr>
            </w:pPr>
            <w:r>
              <w:rPr>
                <w:rFonts w:hint="eastAsia" w:ascii="宋体" w:hAnsi="宋体"/>
                <w:sz w:val="18"/>
                <w:szCs w:val="18"/>
              </w:rPr>
              <w:t>长度、宽度</w:t>
            </w:r>
          </w:p>
        </w:tc>
        <w:tc>
          <w:tcPr>
            <w:tcW w:w="1559"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hint="eastAsia" w:ascii="宋体" w:hAnsi="宋体" w:eastAsia="宋体" w:cs="Times New Roman"/>
                <w:kern w:val="2"/>
                <w:sz w:val="18"/>
                <w:szCs w:val="18"/>
                <w:lang w:val="en-US" w:eastAsia="zh-CN" w:bidi="ar-SA"/>
              </w:rPr>
            </w:pPr>
            <w:r>
              <w:rPr>
                <w:rFonts w:hint="eastAsia" w:ascii="宋体" w:hAnsi="宋体"/>
                <w:sz w:val="18"/>
                <w:szCs w:val="18"/>
              </w:rPr>
              <w:t>±5</w:t>
            </w:r>
          </w:p>
        </w:tc>
        <w:tc>
          <w:tcPr>
            <w:tcW w:w="4297" w:type="dxa"/>
            <w:tcBorders>
              <w:top w:val="single" w:color="auto" w:sz="4" w:space="0"/>
              <w:left w:val="single" w:color="auto" w:sz="4" w:space="0"/>
              <w:bottom w:val="single" w:color="auto" w:sz="4" w:space="0"/>
              <w:right w:val="single" w:color="auto" w:sz="12" w:space="0"/>
            </w:tcBorders>
            <w:vAlign w:val="center"/>
          </w:tcPr>
          <w:p>
            <w:pPr>
              <w:autoSpaceDE w:val="0"/>
              <w:spacing w:line="240" w:lineRule="auto"/>
              <w:ind w:firstLine="14" w:firstLineChars="8"/>
              <w:jc w:val="center"/>
              <w:rPr>
                <w:rFonts w:hint="eastAsia" w:ascii="宋体" w:hAnsi="宋体" w:eastAsia="宋体" w:cs="Times New Roman"/>
                <w:kern w:val="2"/>
                <w:sz w:val="18"/>
                <w:szCs w:val="18"/>
                <w:lang w:val="en-US" w:eastAsia="zh-CN" w:bidi="ar-SA"/>
              </w:rPr>
            </w:pPr>
            <w:r>
              <w:rPr>
                <w:rFonts w:hint="eastAsia" w:ascii="宋体" w:hAnsi="宋体"/>
                <w:sz w:val="18"/>
                <w:szCs w:val="18"/>
              </w:rPr>
              <w:t>用尺量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9" w:type="dxa"/>
            <w:vMerge w:val="continue"/>
            <w:tcBorders>
              <w:left w:val="single" w:color="auto" w:sz="12" w:space="0"/>
              <w:bottom w:val="single" w:color="auto" w:sz="4" w:space="0"/>
              <w:right w:val="single" w:color="auto" w:sz="4" w:space="0"/>
            </w:tcBorders>
            <w:vAlign w:val="center"/>
          </w:tcPr>
          <w:p>
            <w:pPr>
              <w:widowControl/>
              <w:spacing w:line="240" w:lineRule="auto"/>
              <w:jc w:val="center"/>
              <w:rPr>
                <w:rFonts w:ascii="宋体" w:hAnsi="宋体"/>
                <w:sz w:val="18"/>
                <w:szCs w:val="18"/>
              </w:rPr>
            </w:pPr>
          </w:p>
        </w:tc>
        <w:tc>
          <w:tcPr>
            <w:tcW w:w="828" w:type="dxa"/>
            <w:vMerge w:val="continue"/>
            <w:tcBorders>
              <w:left w:val="single" w:color="auto" w:sz="4" w:space="0"/>
              <w:bottom w:val="single" w:color="auto" w:sz="4" w:space="0"/>
              <w:right w:val="single" w:color="auto" w:sz="4" w:space="0"/>
            </w:tcBorders>
            <w:vAlign w:val="center"/>
          </w:tcPr>
          <w:p>
            <w:pPr>
              <w:widowControl/>
              <w:spacing w:line="240" w:lineRule="auto"/>
              <w:jc w:val="center"/>
              <w:rPr>
                <w:rFonts w:ascii="宋体" w:hAnsi="宋体"/>
                <w:sz w:val="18"/>
                <w:szCs w:val="18"/>
              </w:rPr>
            </w:pPr>
          </w:p>
        </w:tc>
        <w:tc>
          <w:tcPr>
            <w:tcW w:w="2410" w:type="dxa"/>
            <w:gridSpan w:val="2"/>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hint="eastAsia" w:ascii="宋体" w:hAnsi="宋体" w:eastAsia="宋体" w:cs="Times New Roman"/>
                <w:kern w:val="2"/>
                <w:sz w:val="18"/>
                <w:szCs w:val="18"/>
                <w:lang w:val="en-US" w:eastAsia="zh-CN" w:bidi="ar-SA"/>
              </w:rPr>
            </w:pPr>
            <w:r>
              <w:rPr>
                <w:rFonts w:hint="eastAsia" w:ascii="宋体" w:hAnsi="宋体"/>
                <w:sz w:val="18"/>
                <w:szCs w:val="18"/>
              </w:rPr>
              <w:t>深度</w:t>
            </w:r>
          </w:p>
        </w:tc>
        <w:tc>
          <w:tcPr>
            <w:tcW w:w="1559"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hint="eastAsia" w:ascii="宋体" w:hAnsi="宋体" w:eastAsia="宋体" w:cs="Times New Roman"/>
                <w:kern w:val="2"/>
                <w:sz w:val="18"/>
                <w:szCs w:val="18"/>
                <w:lang w:val="en-US" w:eastAsia="zh-CN" w:bidi="ar-SA"/>
              </w:rPr>
            </w:pPr>
            <w:r>
              <w:rPr>
                <w:rFonts w:hint="eastAsia" w:ascii="宋体" w:hAnsi="宋体"/>
                <w:sz w:val="18"/>
                <w:szCs w:val="18"/>
              </w:rPr>
              <w:t>±5</w:t>
            </w:r>
          </w:p>
        </w:tc>
        <w:tc>
          <w:tcPr>
            <w:tcW w:w="4297" w:type="dxa"/>
            <w:tcBorders>
              <w:top w:val="single" w:color="auto" w:sz="4" w:space="0"/>
              <w:left w:val="single" w:color="auto" w:sz="4" w:space="0"/>
              <w:bottom w:val="single" w:color="auto" w:sz="4" w:space="0"/>
              <w:right w:val="single" w:color="auto" w:sz="12" w:space="0"/>
            </w:tcBorders>
            <w:vAlign w:val="center"/>
          </w:tcPr>
          <w:p>
            <w:pPr>
              <w:autoSpaceDE w:val="0"/>
              <w:spacing w:line="240" w:lineRule="auto"/>
              <w:ind w:firstLine="14" w:firstLineChars="8"/>
              <w:jc w:val="center"/>
              <w:rPr>
                <w:rFonts w:hint="eastAsia" w:ascii="宋体" w:hAnsi="宋体" w:eastAsia="宋体" w:cs="Times New Roman"/>
                <w:kern w:val="2"/>
                <w:sz w:val="18"/>
                <w:szCs w:val="18"/>
                <w:lang w:val="en-US" w:eastAsia="zh-CN" w:bidi="ar-SA"/>
              </w:rPr>
            </w:pPr>
            <w:r>
              <w:rPr>
                <w:rFonts w:hint="eastAsia" w:ascii="宋体" w:hAnsi="宋体"/>
                <w:sz w:val="18"/>
                <w:szCs w:val="18"/>
              </w:rPr>
              <w:t>用尺量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9" w:type="dxa"/>
            <w:vMerge w:val="restart"/>
            <w:tcBorders>
              <w:top w:val="single" w:color="auto" w:sz="4" w:space="0"/>
              <w:left w:val="single" w:color="auto" w:sz="12" w:space="0"/>
              <w:right w:val="single" w:color="auto" w:sz="4" w:space="0"/>
            </w:tcBorders>
            <w:vAlign w:val="center"/>
          </w:tcPr>
          <w:p>
            <w:pPr>
              <w:widowControl/>
              <w:spacing w:line="240" w:lineRule="auto"/>
              <w:jc w:val="center"/>
              <w:rPr>
                <w:rFonts w:hint="default" w:ascii="宋体" w:hAnsi="宋体" w:eastAsia="宋体"/>
                <w:sz w:val="18"/>
                <w:szCs w:val="18"/>
                <w:lang w:val="en-US" w:eastAsia="zh-CN"/>
              </w:rPr>
            </w:pPr>
            <w:r>
              <w:rPr>
                <w:rFonts w:hint="eastAsia" w:ascii="宋体" w:hAnsi="宋体"/>
                <w:sz w:val="18"/>
                <w:szCs w:val="18"/>
                <w:lang w:val="en-US" w:eastAsia="zh-CN"/>
              </w:rPr>
              <w:t>13</w:t>
            </w:r>
          </w:p>
        </w:tc>
        <w:tc>
          <w:tcPr>
            <w:tcW w:w="828" w:type="dxa"/>
            <w:vMerge w:val="restart"/>
            <w:tcBorders>
              <w:top w:val="single" w:color="auto" w:sz="4" w:space="0"/>
              <w:left w:val="single" w:color="auto" w:sz="4" w:space="0"/>
              <w:right w:val="single" w:color="auto" w:sz="4" w:space="0"/>
            </w:tcBorders>
            <w:vAlign w:val="center"/>
          </w:tcPr>
          <w:p>
            <w:pPr>
              <w:widowControl/>
              <w:spacing w:line="240" w:lineRule="auto"/>
              <w:jc w:val="center"/>
              <w:rPr>
                <w:rFonts w:ascii="宋体" w:hAnsi="宋体"/>
                <w:sz w:val="18"/>
                <w:szCs w:val="18"/>
              </w:rPr>
            </w:pPr>
            <w:r>
              <w:rPr>
                <w:rFonts w:hint="eastAsia" w:ascii="宋体" w:hAnsi="宋体"/>
                <w:sz w:val="18"/>
                <w:szCs w:val="18"/>
              </w:rPr>
              <w:t>灌浆套筒及连接钢筋</w:t>
            </w:r>
          </w:p>
        </w:tc>
        <w:tc>
          <w:tcPr>
            <w:tcW w:w="2410" w:type="dxa"/>
            <w:gridSpan w:val="2"/>
            <w:tcBorders>
              <w:top w:val="single" w:color="auto" w:sz="4" w:space="0"/>
              <w:left w:val="single" w:color="auto" w:sz="4" w:space="0"/>
              <w:bottom w:val="single" w:color="auto" w:sz="4" w:space="0"/>
              <w:right w:val="single" w:color="auto" w:sz="4" w:space="0"/>
            </w:tcBorders>
            <w:vAlign w:val="center"/>
          </w:tcPr>
          <w:p>
            <w:pPr>
              <w:autoSpaceDE w:val="0"/>
              <w:jc w:val="center"/>
              <w:rPr>
                <w:rFonts w:hint="eastAsia" w:ascii="宋体" w:hAnsi="宋体" w:eastAsia="宋体" w:cs="Times New Roman"/>
                <w:kern w:val="2"/>
                <w:sz w:val="18"/>
                <w:szCs w:val="18"/>
                <w:lang w:val="en-US" w:eastAsia="zh-CN" w:bidi="ar-SA"/>
              </w:rPr>
            </w:pPr>
            <w:r>
              <w:rPr>
                <w:rFonts w:hint="eastAsia" w:ascii="宋体" w:hAnsi="宋体"/>
                <w:sz w:val="18"/>
                <w:szCs w:val="18"/>
              </w:rPr>
              <w:t>灌浆套筒中心线位置</w:t>
            </w:r>
          </w:p>
        </w:tc>
        <w:tc>
          <w:tcPr>
            <w:tcW w:w="1559" w:type="dxa"/>
            <w:tcBorders>
              <w:top w:val="single" w:color="auto" w:sz="4" w:space="0"/>
              <w:left w:val="single" w:color="auto" w:sz="4" w:space="0"/>
              <w:bottom w:val="single" w:color="auto" w:sz="4" w:space="0"/>
              <w:right w:val="single" w:color="auto" w:sz="4" w:space="0"/>
            </w:tcBorders>
            <w:vAlign w:val="center"/>
          </w:tcPr>
          <w:p>
            <w:pPr>
              <w:autoSpaceDE w:val="0"/>
              <w:jc w:val="center"/>
              <w:rPr>
                <w:rFonts w:hint="eastAsia" w:ascii="宋体" w:hAnsi="宋体" w:eastAsia="宋体" w:cs="Times New Roman"/>
                <w:kern w:val="2"/>
                <w:sz w:val="18"/>
                <w:szCs w:val="18"/>
                <w:lang w:val="en-US" w:eastAsia="zh-CN" w:bidi="ar-SA"/>
              </w:rPr>
            </w:pPr>
            <w:r>
              <w:rPr>
                <w:rFonts w:hint="eastAsia" w:ascii="宋体" w:hAnsi="宋体"/>
                <w:sz w:val="18"/>
                <w:szCs w:val="18"/>
              </w:rPr>
              <w:t>2</w:t>
            </w:r>
          </w:p>
        </w:tc>
        <w:tc>
          <w:tcPr>
            <w:tcW w:w="4297" w:type="dxa"/>
            <w:tcBorders>
              <w:top w:val="single" w:color="auto" w:sz="4" w:space="0"/>
              <w:left w:val="single" w:color="auto" w:sz="4" w:space="0"/>
              <w:bottom w:val="single" w:color="auto" w:sz="4" w:space="0"/>
              <w:right w:val="single" w:color="auto" w:sz="12" w:space="0"/>
            </w:tcBorders>
            <w:vAlign w:val="center"/>
          </w:tcPr>
          <w:p>
            <w:pPr>
              <w:autoSpaceDE w:val="0"/>
              <w:spacing w:line="240" w:lineRule="auto"/>
              <w:ind w:firstLine="14" w:firstLineChars="8"/>
              <w:jc w:val="center"/>
              <w:rPr>
                <w:rFonts w:hint="eastAsia" w:ascii="宋体" w:hAnsi="宋体" w:eastAsia="宋体" w:cs="Times New Roman"/>
                <w:kern w:val="2"/>
                <w:sz w:val="18"/>
                <w:szCs w:val="18"/>
                <w:lang w:val="en-US" w:eastAsia="zh-CN" w:bidi="ar-SA"/>
              </w:rPr>
            </w:pPr>
            <w:r>
              <w:rPr>
                <w:rFonts w:hint="eastAsia" w:ascii="宋体" w:hAnsi="宋体"/>
                <w:sz w:val="18"/>
                <w:szCs w:val="18"/>
              </w:rPr>
              <w:t>用尺量测纵横两个方向的中心线位置，取其中较大值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9" w:type="dxa"/>
            <w:vMerge w:val="continue"/>
            <w:tcBorders>
              <w:left w:val="single" w:color="auto" w:sz="12" w:space="0"/>
              <w:right w:val="single" w:color="auto" w:sz="4" w:space="0"/>
            </w:tcBorders>
            <w:vAlign w:val="center"/>
          </w:tcPr>
          <w:p>
            <w:pPr>
              <w:widowControl/>
              <w:spacing w:line="240" w:lineRule="auto"/>
              <w:jc w:val="center"/>
              <w:rPr>
                <w:rFonts w:ascii="宋体" w:hAnsi="宋体"/>
                <w:sz w:val="18"/>
                <w:szCs w:val="18"/>
              </w:rPr>
            </w:pPr>
          </w:p>
        </w:tc>
        <w:tc>
          <w:tcPr>
            <w:tcW w:w="828" w:type="dxa"/>
            <w:vMerge w:val="continue"/>
            <w:tcBorders>
              <w:left w:val="single" w:color="auto" w:sz="4" w:space="0"/>
              <w:right w:val="single" w:color="auto" w:sz="4" w:space="0"/>
            </w:tcBorders>
            <w:vAlign w:val="center"/>
          </w:tcPr>
          <w:p>
            <w:pPr>
              <w:widowControl/>
              <w:spacing w:line="240" w:lineRule="auto"/>
              <w:jc w:val="center"/>
              <w:rPr>
                <w:rFonts w:ascii="宋体" w:hAnsi="宋体"/>
                <w:sz w:val="18"/>
                <w:szCs w:val="18"/>
              </w:rPr>
            </w:pPr>
          </w:p>
        </w:tc>
        <w:tc>
          <w:tcPr>
            <w:tcW w:w="2410" w:type="dxa"/>
            <w:gridSpan w:val="2"/>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hint="eastAsia" w:ascii="宋体" w:hAnsi="宋体" w:eastAsia="宋体" w:cs="Times New Roman"/>
                <w:kern w:val="2"/>
                <w:sz w:val="18"/>
                <w:szCs w:val="18"/>
                <w:lang w:val="en-US" w:eastAsia="zh-CN" w:bidi="ar-SA"/>
              </w:rPr>
            </w:pPr>
            <w:r>
              <w:rPr>
                <w:rFonts w:hint="eastAsia" w:ascii="宋体" w:hAnsi="宋体"/>
                <w:sz w:val="18"/>
                <w:szCs w:val="18"/>
              </w:rPr>
              <w:t>连接钢筋中心线位置</w:t>
            </w:r>
          </w:p>
        </w:tc>
        <w:tc>
          <w:tcPr>
            <w:tcW w:w="1559"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hint="eastAsia" w:ascii="宋体" w:hAnsi="宋体" w:eastAsia="宋体" w:cs="Times New Roman"/>
                <w:kern w:val="2"/>
                <w:sz w:val="18"/>
                <w:szCs w:val="18"/>
                <w:lang w:val="en-US" w:eastAsia="zh-CN" w:bidi="ar-SA"/>
              </w:rPr>
            </w:pPr>
            <w:r>
              <w:rPr>
                <w:rFonts w:hint="eastAsia" w:ascii="宋体" w:hAnsi="宋体"/>
                <w:sz w:val="18"/>
                <w:szCs w:val="18"/>
              </w:rPr>
              <w:t>2</w:t>
            </w:r>
          </w:p>
        </w:tc>
        <w:tc>
          <w:tcPr>
            <w:tcW w:w="4297" w:type="dxa"/>
            <w:tcBorders>
              <w:top w:val="single" w:color="auto" w:sz="4" w:space="0"/>
              <w:left w:val="single" w:color="auto" w:sz="4" w:space="0"/>
              <w:bottom w:val="single" w:color="auto" w:sz="4" w:space="0"/>
              <w:right w:val="single" w:color="auto" w:sz="12" w:space="0"/>
            </w:tcBorders>
            <w:vAlign w:val="center"/>
          </w:tcPr>
          <w:p>
            <w:pPr>
              <w:autoSpaceDE w:val="0"/>
              <w:spacing w:line="240" w:lineRule="auto"/>
              <w:ind w:firstLine="14" w:firstLineChars="8"/>
              <w:jc w:val="center"/>
              <w:rPr>
                <w:rFonts w:hint="eastAsia" w:ascii="宋体" w:hAnsi="宋体" w:eastAsia="宋体" w:cs="Times New Roman"/>
                <w:kern w:val="2"/>
                <w:sz w:val="18"/>
                <w:szCs w:val="18"/>
                <w:lang w:val="en-US" w:eastAsia="zh-CN" w:bidi="ar-SA"/>
              </w:rPr>
            </w:pPr>
            <w:r>
              <w:rPr>
                <w:rFonts w:hint="eastAsia" w:ascii="宋体" w:hAnsi="宋体"/>
                <w:sz w:val="18"/>
                <w:szCs w:val="18"/>
              </w:rPr>
              <w:t>用尺量测纵横两个方向的中心线位置，取其中较大值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9" w:type="dxa"/>
            <w:vMerge w:val="continue"/>
            <w:tcBorders>
              <w:left w:val="single" w:color="auto" w:sz="12" w:space="0"/>
              <w:bottom w:val="single" w:color="auto" w:sz="12" w:space="0"/>
              <w:right w:val="single" w:color="auto" w:sz="4" w:space="0"/>
            </w:tcBorders>
            <w:vAlign w:val="center"/>
          </w:tcPr>
          <w:p>
            <w:pPr>
              <w:widowControl/>
              <w:spacing w:line="240" w:lineRule="auto"/>
              <w:jc w:val="center"/>
              <w:rPr>
                <w:rFonts w:ascii="宋体" w:hAnsi="宋体"/>
                <w:sz w:val="18"/>
                <w:szCs w:val="18"/>
              </w:rPr>
            </w:pPr>
          </w:p>
        </w:tc>
        <w:tc>
          <w:tcPr>
            <w:tcW w:w="828" w:type="dxa"/>
            <w:vMerge w:val="continue"/>
            <w:tcBorders>
              <w:left w:val="single" w:color="auto" w:sz="4" w:space="0"/>
              <w:bottom w:val="single" w:color="auto" w:sz="12" w:space="0"/>
              <w:right w:val="single" w:color="auto" w:sz="4" w:space="0"/>
            </w:tcBorders>
            <w:vAlign w:val="center"/>
          </w:tcPr>
          <w:p>
            <w:pPr>
              <w:widowControl/>
              <w:spacing w:line="240" w:lineRule="auto"/>
              <w:jc w:val="center"/>
              <w:rPr>
                <w:rFonts w:ascii="宋体" w:hAnsi="宋体"/>
                <w:sz w:val="18"/>
                <w:szCs w:val="18"/>
              </w:rPr>
            </w:pPr>
          </w:p>
        </w:tc>
        <w:tc>
          <w:tcPr>
            <w:tcW w:w="2410" w:type="dxa"/>
            <w:gridSpan w:val="2"/>
            <w:tcBorders>
              <w:top w:val="single" w:color="auto" w:sz="4" w:space="0"/>
              <w:left w:val="single" w:color="auto" w:sz="4" w:space="0"/>
              <w:bottom w:val="single" w:color="auto" w:sz="12" w:space="0"/>
              <w:right w:val="single" w:color="auto" w:sz="4" w:space="0"/>
            </w:tcBorders>
            <w:vAlign w:val="center"/>
          </w:tcPr>
          <w:p>
            <w:pPr>
              <w:autoSpaceDE w:val="0"/>
              <w:spacing w:line="240" w:lineRule="auto"/>
              <w:jc w:val="center"/>
              <w:rPr>
                <w:rFonts w:hint="eastAsia" w:ascii="宋体" w:hAnsi="宋体" w:eastAsia="宋体" w:cs="Times New Roman"/>
                <w:kern w:val="2"/>
                <w:sz w:val="18"/>
                <w:szCs w:val="18"/>
                <w:lang w:val="en-US" w:eastAsia="zh-CN" w:bidi="ar-SA"/>
              </w:rPr>
            </w:pPr>
            <w:r>
              <w:rPr>
                <w:rFonts w:hint="eastAsia" w:ascii="宋体" w:hAnsi="宋体"/>
                <w:sz w:val="18"/>
                <w:szCs w:val="18"/>
              </w:rPr>
              <w:t>连接钢筋外露长度</w:t>
            </w:r>
          </w:p>
        </w:tc>
        <w:tc>
          <w:tcPr>
            <w:tcW w:w="1559" w:type="dxa"/>
            <w:tcBorders>
              <w:top w:val="single" w:color="auto" w:sz="4" w:space="0"/>
              <w:left w:val="single" w:color="auto" w:sz="4" w:space="0"/>
              <w:bottom w:val="single" w:color="auto" w:sz="12" w:space="0"/>
              <w:right w:val="single" w:color="auto" w:sz="4" w:space="0"/>
            </w:tcBorders>
            <w:vAlign w:val="center"/>
          </w:tcPr>
          <w:p>
            <w:pPr>
              <w:autoSpaceDE w:val="0"/>
              <w:spacing w:line="240" w:lineRule="auto"/>
              <w:jc w:val="center"/>
              <w:rPr>
                <w:rFonts w:hint="eastAsia" w:ascii="宋体" w:hAnsi="宋体" w:eastAsia="宋体" w:cs="Times New Roman"/>
                <w:kern w:val="2"/>
                <w:sz w:val="18"/>
                <w:szCs w:val="18"/>
                <w:lang w:val="en-US" w:eastAsia="zh-CN" w:bidi="ar-SA"/>
              </w:rPr>
            </w:pPr>
            <w:r>
              <w:rPr>
                <w:rFonts w:hint="eastAsia" w:ascii="宋体" w:hAnsi="宋体"/>
                <w:sz w:val="18"/>
                <w:szCs w:val="18"/>
              </w:rPr>
              <w:t>+10，0</w:t>
            </w:r>
          </w:p>
        </w:tc>
        <w:tc>
          <w:tcPr>
            <w:tcW w:w="4297" w:type="dxa"/>
            <w:tcBorders>
              <w:top w:val="single" w:color="auto" w:sz="4" w:space="0"/>
              <w:left w:val="single" w:color="auto" w:sz="4" w:space="0"/>
              <w:bottom w:val="single" w:color="auto" w:sz="12" w:space="0"/>
              <w:right w:val="single" w:color="auto" w:sz="12" w:space="0"/>
            </w:tcBorders>
            <w:vAlign w:val="center"/>
          </w:tcPr>
          <w:p>
            <w:pPr>
              <w:autoSpaceDE w:val="0"/>
              <w:spacing w:line="240" w:lineRule="auto"/>
              <w:ind w:firstLine="14" w:firstLineChars="8"/>
              <w:jc w:val="center"/>
              <w:rPr>
                <w:rFonts w:hint="eastAsia" w:ascii="宋体" w:hAnsi="宋体" w:eastAsia="宋体" w:cs="Times New Roman"/>
                <w:kern w:val="2"/>
                <w:sz w:val="18"/>
                <w:szCs w:val="18"/>
                <w:lang w:val="en-US" w:eastAsia="zh-CN" w:bidi="ar-SA"/>
              </w:rPr>
            </w:pPr>
            <w:r>
              <w:rPr>
                <w:rFonts w:hint="eastAsia" w:ascii="宋体" w:hAnsi="宋体"/>
                <w:sz w:val="18"/>
                <w:szCs w:val="18"/>
              </w:rPr>
              <w:t>用尺量</w:t>
            </w:r>
          </w:p>
        </w:tc>
      </w:tr>
    </w:tbl>
    <w:p>
      <w:pPr>
        <w:pStyle w:val="58"/>
        <w:spacing w:before="156" w:beforeLines="50" w:after="156" w:afterLines="50"/>
        <w:ind w:firstLine="0" w:firstLineChars="0"/>
        <w:jc w:val="center"/>
        <w:rPr>
          <w:rFonts w:hint="eastAsia" w:ascii="黑体" w:hAnsi="黑体" w:eastAsia="黑体"/>
        </w:rPr>
      </w:pPr>
    </w:p>
    <w:p>
      <w:pPr>
        <w:pStyle w:val="58"/>
        <w:ind w:firstLine="420"/>
        <w:sectPr>
          <w:pgSz w:w="11906" w:h="16838"/>
          <w:pgMar w:top="567" w:right="1134" w:bottom="1134" w:left="1134" w:header="1418" w:footer="1134" w:gutter="284"/>
          <w:pgNumType w:start="1"/>
          <w:cols w:space="425" w:num="1"/>
          <w:formProt w:val="0"/>
          <w:docGrid w:type="lines" w:linePitch="312" w:charSpace="0"/>
        </w:sectPr>
      </w:pPr>
    </w:p>
    <w:bookmarkEnd w:id="24"/>
    <w:p>
      <w:pPr>
        <w:pStyle w:val="200"/>
      </w:pPr>
      <w:bookmarkStart w:id="146" w:name="BookMark5"/>
    </w:p>
    <w:p>
      <w:pPr>
        <w:pStyle w:val="201"/>
      </w:pPr>
    </w:p>
    <w:p>
      <w:pPr>
        <w:pStyle w:val="201"/>
        <w:rPr>
          <w:kern w:val="2"/>
          <w:sz w:val="21"/>
          <w:szCs w:val="21"/>
        </w:rPr>
      </w:pPr>
      <w:r>
        <w:rPr>
          <w:rFonts w:hint="eastAsia"/>
        </w:rPr>
        <w:t>续表7.2.9-1</w:t>
      </w:r>
    </w:p>
    <w:p>
      <w:pPr>
        <w:pStyle w:val="58"/>
        <w:spacing w:before="156" w:beforeLines="50" w:after="156" w:afterLines="50"/>
        <w:ind w:firstLine="0" w:firstLineChars="0"/>
        <w:jc w:val="center"/>
        <w:rPr>
          <w:rFonts w:ascii="黑体" w:hAnsi="黑体" w:eastAsia="黑体"/>
        </w:rPr>
      </w:pPr>
      <w:r>
        <w:rPr>
          <w:rFonts w:hint="eastAsia" w:ascii="黑体" w:hAnsi="黑体" w:eastAsia="黑体"/>
        </w:rPr>
        <w:t>表</w:t>
      </w:r>
      <w:r>
        <w:rPr>
          <w:rFonts w:ascii="黑体" w:hAnsi="黑体" w:eastAsia="黑体"/>
        </w:rPr>
        <w:t>12</w:t>
      </w:r>
      <w:r>
        <w:rPr>
          <w:rFonts w:hint="eastAsia" w:ascii="黑体" w:hAnsi="黑体" w:eastAsia="黑体"/>
        </w:rPr>
        <w:t xml:space="preserve"> 预制墙板类构件外形尺寸允许偏差及检验方法</w:t>
      </w:r>
    </w:p>
    <w:tbl>
      <w:tblPr>
        <w:tblStyle w:val="27"/>
        <w:tblW w:w="10022"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67"/>
        <w:gridCol w:w="4"/>
        <w:gridCol w:w="943"/>
        <w:gridCol w:w="988"/>
        <w:gridCol w:w="284"/>
        <w:gridCol w:w="1231"/>
        <w:gridCol w:w="1511"/>
        <w:gridCol w:w="439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67" w:type="dxa"/>
            <w:tcBorders>
              <w:top w:val="single" w:color="auto" w:sz="12" w:space="0"/>
              <w:left w:val="single" w:color="auto" w:sz="12" w:space="0"/>
              <w:bottom w:val="single" w:color="auto" w:sz="12"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项次</w:t>
            </w:r>
          </w:p>
        </w:tc>
        <w:tc>
          <w:tcPr>
            <w:tcW w:w="3450" w:type="dxa"/>
            <w:gridSpan w:val="5"/>
            <w:tcBorders>
              <w:top w:val="single" w:color="auto" w:sz="12" w:space="0"/>
              <w:left w:val="single" w:color="auto" w:sz="4" w:space="0"/>
              <w:bottom w:val="single" w:color="auto" w:sz="12"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检查项目</w:t>
            </w:r>
          </w:p>
        </w:tc>
        <w:tc>
          <w:tcPr>
            <w:tcW w:w="1511" w:type="dxa"/>
            <w:tcBorders>
              <w:top w:val="single" w:color="auto" w:sz="12" w:space="0"/>
              <w:left w:val="single" w:color="auto" w:sz="4" w:space="0"/>
              <w:bottom w:val="single" w:color="auto" w:sz="12"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允许偏差（mm）</w:t>
            </w:r>
          </w:p>
        </w:tc>
        <w:tc>
          <w:tcPr>
            <w:tcW w:w="4394" w:type="dxa"/>
            <w:tcBorders>
              <w:top w:val="single" w:color="auto" w:sz="12" w:space="0"/>
              <w:left w:val="single" w:color="auto" w:sz="4" w:space="0"/>
              <w:bottom w:val="single" w:color="auto" w:sz="12" w:space="0"/>
              <w:right w:val="single" w:color="auto" w:sz="12" w:space="0"/>
            </w:tcBorders>
            <w:vAlign w:val="center"/>
          </w:tcPr>
          <w:p>
            <w:pPr>
              <w:autoSpaceDE w:val="0"/>
              <w:spacing w:line="240" w:lineRule="auto"/>
              <w:jc w:val="center"/>
              <w:rPr>
                <w:rFonts w:ascii="宋体" w:hAnsi="宋体"/>
                <w:sz w:val="18"/>
                <w:szCs w:val="18"/>
              </w:rPr>
            </w:pPr>
            <w:r>
              <w:rPr>
                <w:rFonts w:hint="eastAsia" w:ascii="宋体" w:hAnsi="宋体"/>
                <w:sz w:val="18"/>
                <w:szCs w:val="18"/>
              </w:rPr>
              <w:t>检验方法</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67" w:type="dxa"/>
            <w:tcBorders>
              <w:top w:val="single" w:color="auto" w:sz="12" w:space="0"/>
              <w:left w:val="single" w:color="auto" w:sz="12"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1</w:t>
            </w:r>
          </w:p>
        </w:tc>
        <w:tc>
          <w:tcPr>
            <w:tcW w:w="947" w:type="dxa"/>
            <w:gridSpan w:val="2"/>
            <w:vMerge w:val="restart"/>
            <w:tcBorders>
              <w:top w:val="single" w:color="auto" w:sz="12"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规格尺寸</w:t>
            </w:r>
          </w:p>
        </w:tc>
        <w:tc>
          <w:tcPr>
            <w:tcW w:w="2503" w:type="dxa"/>
            <w:gridSpan w:val="3"/>
            <w:tcBorders>
              <w:top w:val="single" w:color="auto" w:sz="12"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高度</w:t>
            </w:r>
          </w:p>
        </w:tc>
        <w:tc>
          <w:tcPr>
            <w:tcW w:w="1511" w:type="dxa"/>
            <w:tcBorders>
              <w:top w:val="single" w:color="auto" w:sz="12"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±4</w:t>
            </w:r>
          </w:p>
        </w:tc>
        <w:tc>
          <w:tcPr>
            <w:tcW w:w="4394" w:type="dxa"/>
            <w:tcBorders>
              <w:top w:val="single" w:color="auto" w:sz="12" w:space="0"/>
              <w:left w:val="single" w:color="auto" w:sz="4" w:space="0"/>
              <w:bottom w:val="single" w:color="auto" w:sz="4" w:space="0"/>
              <w:right w:val="single" w:color="auto" w:sz="12" w:space="0"/>
            </w:tcBorders>
            <w:vAlign w:val="center"/>
          </w:tcPr>
          <w:p>
            <w:pPr>
              <w:autoSpaceDE w:val="0"/>
              <w:spacing w:line="240" w:lineRule="auto"/>
              <w:ind w:firstLine="12" w:firstLineChars="7"/>
              <w:jc w:val="center"/>
              <w:rPr>
                <w:rFonts w:ascii="宋体" w:hAnsi="宋体"/>
                <w:sz w:val="18"/>
                <w:szCs w:val="18"/>
              </w:rPr>
            </w:pPr>
            <w:r>
              <w:rPr>
                <w:rFonts w:hint="eastAsia" w:ascii="宋体" w:hAnsi="宋体"/>
                <w:sz w:val="18"/>
                <w:szCs w:val="18"/>
              </w:rPr>
              <w:t>用尺量两端及中间部，取其中偏差绝对值较大值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67" w:type="dxa"/>
            <w:tcBorders>
              <w:top w:val="single" w:color="auto" w:sz="4" w:space="0"/>
              <w:left w:val="single" w:color="auto" w:sz="12"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2</w:t>
            </w:r>
          </w:p>
        </w:tc>
        <w:tc>
          <w:tcPr>
            <w:tcW w:w="947" w:type="dxa"/>
            <w:gridSpan w:val="2"/>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2503" w:type="dxa"/>
            <w:gridSpan w:val="3"/>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宽度</w:t>
            </w:r>
          </w:p>
        </w:tc>
        <w:tc>
          <w:tcPr>
            <w:tcW w:w="1511"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±4</w:t>
            </w:r>
          </w:p>
        </w:tc>
        <w:tc>
          <w:tcPr>
            <w:tcW w:w="4394" w:type="dxa"/>
            <w:tcBorders>
              <w:top w:val="single" w:color="auto" w:sz="4" w:space="0"/>
              <w:left w:val="single" w:color="auto" w:sz="4" w:space="0"/>
              <w:bottom w:val="single" w:color="auto" w:sz="4" w:space="0"/>
              <w:right w:val="single" w:color="auto" w:sz="12" w:space="0"/>
            </w:tcBorders>
            <w:vAlign w:val="center"/>
          </w:tcPr>
          <w:p>
            <w:pPr>
              <w:autoSpaceDE w:val="0"/>
              <w:spacing w:line="240" w:lineRule="auto"/>
              <w:ind w:firstLine="12" w:firstLineChars="7"/>
              <w:jc w:val="center"/>
              <w:rPr>
                <w:rFonts w:ascii="宋体" w:hAnsi="宋体"/>
                <w:sz w:val="18"/>
                <w:szCs w:val="18"/>
              </w:rPr>
            </w:pPr>
            <w:r>
              <w:rPr>
                <w:rFonts w:hint="eastAsia" w:ascii="宋体" w:hAnsi="宋体"/>
                <w:sz w:val="18"/>
                <w:szCs w:val="18"/>
              </w:rPr>
              <w:t>用尺量两端及中间部，取其中偏差绝对值较大值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67" w:type="dxa"/>
            <w:tcBorders>
              <w:top w:val="single" w:color="auto" w:sz="4" w:space="0"/>
              <w:left w:val="single" w:color="auto" w:sz="12"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3</w:t>
            </w:r>
          </w:p>
        </w:tc>
        <w:tc>
          <w:tcPr>
            <w:tcW w:w="947" w:type="dxa"/>
            <w:gridSpan w:val="2"/>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规格尺寸</w:t>
            </w:r>
          </w:p>
        </w:tc>
        <w:tc>
          <w:tcPr>
            <w:tcW w:w="2503" w:type="dxa"/>
            <w:gridSpan w:val="3"/>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厚度</w:t>
            </w:r>
          </w:p>
        </w:tc>
        <w:tc>
          <w:tcPr>
            <w:tcW w:w="1511"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±3</w:t>
            </w:r>
          </w:p>
        </w:tc>
        <w:tc>
          <w:tcPr>
            <w:tcW w:w="4394" w:type="dxa"/>
            <w:tcBorders>
              <w:top w:val="single" w:color="auto" w:sz="4" w:space="0"/>
              <w:left w:val="single" w:color="auto" w:sz="4" w:space="0"/>
              <w:bottom w:val="single" w:color="auto" w:sz="4" w:space="0"/>
              <w:right w:val="single" w:color="auto" w:sz="12" w:space="0"/>
            </w:tcBorders>
            <w:vAlign w:val="center"/>
          </w:tcPr>
          <w:p>
            <w:pPr>
              <w:autoSpaceDE w:val="0"/>
              <w:spacing w:line="240" w:lineRule="auto"/>
              <w:ind w:firstLine="12" w:firstLineChars="7"/>
              <w:jc w:val="center"/>
              <w:rPr>
                <w:rFonts w:ascii="宋体" w:hAnsi="宋体"/>
                <w:sz w:val="18"/>
                <w:szCs w:val="18"/>
              </w:rPr>
            </w:pPr>
            <w:r>
              <w:rPr>
                <w:rFonts w:hint="eastAsia" w:ascii="宋体" w:hAnsi="宋体"/>
                <w:sz w:val="18"/>
                <w:szCs w:val="18"/>
              </w:rPr>
              <w:t>用尺量板四角和四边中部位置共8处，取其中偏差绝对值较大值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67" w:type="dxa"/>
            <w:tcBorders>
              <w:top w:val="single" w:color="auto" w:sz="4" w:space="0"/>
              <w:left w:val="single" w:color="auto" w:sz="12"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4</w:t>
            </w:r>
          </w:p>
        </w:tc>
        <w:tc>
          <w:tcPr>
            <w:tcW w:w="3450" w:type="dxa"/>
            <w:gridSpan w:val="5"/>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对角线差</w:t>
            </w:r>
          </w:p>
        </w:tc>
        <w:tc>
          <w:tcPr>
            <w:tcW w:w="1511"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5</w:t>
            </w:r>
          </w:p>
        </w:tc>
        <w:tc>
          <w:tcPr>
            <w:tcW w:w="4394" w:type="dxa"/>
            <w:tcBorders>
              <w:top w:val="single" w:color="auto" w:sz="4" w:space="0"/>
              <w:left w:val="single" w:color="auto" w:sz="4" w:space="0"/>
              <w:bottom w:val="single" w:color="auto" w:sz="4" w:space="0"/>
              <w:right w:val="single" w:color="auto" w:sz="12" w:space="0"/>
            </w:tcBorders>
            <w:vAlign w:val="center"/>
          </w:tcPr>
          <w:p>
            <w:pPr>
              <w:autoSpaceDE w:val="0"/>
              <w:spacing w:line="240" w:lineRule="auto"/>
              <w:ind w:firstLine="12" w:firstLineChars="7"/>
              <w:jc w:val="center"/>
              <w:rPr>
                <w:rFonts w:ascii="宋体" w:hAnsi="宋体"/>
                <w:sz w:val="18"/>
                <w:szCs w:val="18"/>
              </w:rPr>
            </w:pPr>
            <w:r>
              <w:rPr>
                <w:rFonts w:hint="eastAsia" w:ascii="宋体" w:hAnsi="宋体"/>
                <w:sz w:val="18"/>
                <w:szCs w:val="18"/>
              </w:rPr>
              <w:t>在构件表面，用尺量测两对角线的长度，取其绝对值的差值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67" w:type="dxa"/>
            <w:vMerge w:val="restart"/>
            <w:tcBorders>
              <w:top w:val="single" w:color="auto" w:sz="4" w:space="0"/>
              <w:left w:val="single" w:color="auto" w:sz="12"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5</w:t>
            </w:r>
          </w:p>
        </w:tc>
        <w:tc>
          <w:tcPr>
            <w:tcW w:w="947" w:type="dxa"/>
            <w:gridSpan w:val="2"/>
            <w:vMerge w:val="restart"/>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外形</w:t>
            </w:r>
          </w:p>
        </w:tc>
        <w:tc>
          <w:tcPr>
            <w:tcW w:w="1272" w:type="dxa"/>
            <w:gridSpan w:val="2"/>
            <w:vMerge w:val="restart"/>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表面平整度</w:t>
            </w:r>
          </w:p>
        </w:tc>
        <w:tc>
          <w:tcPr>
            <w:tcW w:w="1231"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内表面</w:t>
            </w:r>
          </w:p>
        </w:tc>
        <w:tc>
          <w:tcPr>
            <w:tcW w:w="1511"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4</w:t>
            </w:r>
          </w:p>
        </w:tc>
        <w:tc>
          <w:tcPr>
            <w:tcW w:w="4394" w:type="dxa"/>
            <w:vMerge w:val="restart"/>
            <w:tcBorders>
              <w:top w:val="single" w:color="auto" w:sz="4" w:space="0"/>
              <w:left w:val="single" w:color="auto" w:sz="4" w:space="0"/>
              <w:bottom w:val="single" w:color="auto" w:sz="4" w:space="0"/>
              <w:right w:val="single" w:color="auto" w:sz="12" w:space="0"/>
            </w:tcBorders>
            <w:vAlign w:val="center"/>
          </w:tcPr>
          <w:p>
            <w:pPr>
              <w:autoSpaceDE w:val="0"/>
              <w:spacing w:line="240" w:lineRule="auto"/>
              <w:ind w:firstLine="12" w:firstLineChars="7"/>
              <w:jc w:val="center"/>
              <w:rPr>
                <w:rFonts w:ascii="宋体" w:hAnsi="宋体"/>
                <w:sz w:val="18"/>
                <w:szCs w:val="18"/>
              </w:rPr>
            </w:pPr>
            <w:r>
              <w:rPr>
                <w:rFonts w:hint="eastAsia" w:ascii="宋体" w:hAnsi="宋体"/>
                <w:sz w:val="18"/>
                <w:szCs w:val="18"/>
              </w:rPr>
              <w:t>用2m靠尺安放在构件表面上，用楔形塞尺量测靠尺与表面之间的最大缝隙</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67" w:type="dxa"/>
            <w:vMerge w:val="continue"/>
            <w:tcBorders>
              <w:top w:val="single" w:color="auto" w:sz="4" w:space="0"/>
              <w:left w:val="single" w:color="auto" w:sz="12"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947" w:type="dxa"/>
            <w:gridSpan w:val="2"/>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1272" w:type="dxa"/>
            <w:gridSpan w:val="2"/>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1231"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外表面</w:t>
            </w:r>
          </w:p>
        </w:tc>
        <w:tc>
          <w:tcPr>
            <w:tcW w:w="1511"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3</w:t>
            </w:r>
          </w:p>
        </w:tc>
        <w:tc>
          <w:tcPr>
            <w:tcW w:w="4394" w:type="dxa"/>
            <w:vMerge w:val="continue"/>
            <w:tcBorders>
              <w:top w:val="single" w:color="auto" w:sz="4" w:space="0"/>
              <w:left w:val="single" w:color="auto" w:sz="4" w:space="0"/>
              <w:bottom w:val="single" w:color="auto" w:sz="4" w:space="0"/>
              <w:right w:val="single" w:color="auto" w:sz="12" w:space="0"/>
            </w:tcBorders>
            <w:vAlign w:val="center"/>
          </w:tcPr>
          <w:p>
            <w:pPr>
              <w:widowControl/>
              <w:spacing w:line="240" w:lineRule="auto"/>
              <w:jc w:val="left"/>
              <w:rPr>
                <w:rFonts w:ascii="宋体" w:hAnsi="宋体"/>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67" w:type="dxa"/>
            <w:tcBorders>
              <w:top w:val="single" w:color="auto" w:sz="4" w:space="0"/>
              <w:left w:val="single" w:color="auto" w:sz="12"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6</w:t>
            </w:r>
          </w:p>
        </w:tc>
        <w:tc>
          <w:tcPr>
            <w:tcW w:w="947" w:type="dxa"/>
            <w:gridSpan w:val="2"/>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2503" w:type="dxa"/>
            <w:gridSpan w:val="3"/>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侧向弯曲</w:t>
            </w:r>
          </w:p>
        </w:tc>
        <w:tc>
          <w:tcPr>
            <w:tcW w:w="1511"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i/>
                <w:iCs/>
                <w:sz w:val="18"/>
                <w:szCs w:val="18"/>
              </w:rPr>
              <w:t>L</w:t>
            </w:r>
            <w:r>
              <w:rPr>
                <w:rFonts w:hint="eastAsia" w:ascii="宋体" w:hAnsi="宋体"/>
                <w:sz w:val="18"/>
                <w:szCs w:val="18"/>
              </w:rPr>
              <w:t>/1000且≤20mm</w:t>
            </w:r>
          </w:p>
        </w:tc>
        <w:tc>
          <w:tcPr>
            <w:tcW w:w="4394" w:type="dxa"/>
            <w:tcBorders>
              <w:top w:val="single" w:color="auto" w:sz="4" w:space="0"/>
              <w:left w:val="single" w:color="auto" w:sz="4" w:space="0"/>
              <w:bottom w:val="single" w:color="auto" w:sz="4" w:space="0"/>
              <w:right w:val="single" w:color="auto" w:sz="12" w:space="0"/>
            </w:tcBorders>
            <w:vAlign w:val="center"/>
          </w:tcPr>
          <w:p>
            <w:pPr>
              <w:autoSpaceDE w:val="0"/>
              <w:spacing w:line="240" w:lineRule="auto"/>
              <w:ind w:firstLine="12" w:firstLineChars="7"/>
              <w:jc w:val="center"/>
              <w:rPr>
                <w:rFonts w:ascii="宋体" w:hAnsi="宋体"/>
                <w:sz w:val="18"/>
                <w:szCs w:val="18"/>
              </w:rPr>
            </w:pPr>
            <w:r>
              <w:rPr>
                <w:rFonts w:hint="eastAsia" w:ascii="宋体" w:hAnsi="宋体"/>
                <w:sz w:val="18"/>
                <w:szCs w:val="18"/>
              </w:rPr>
              <w:t>拉线，钢尺量最大弯曲处</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67" w:type="dxa"/>
            <w:tcBorders>
              <w:top w:val="single" w:color="auto" w:sz="4" w:space="0"/>
              <w:left w:val="single" w:color="auto" w:sz="12"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7</w:t>
            </w:r>
          </w:p>
        </w:tc>
        <w:tc>
          <w:tcPr>
            <w:tcW w:w="947" w:type="dxa"/>
            <w:gridSpan w:val="2"/>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2503" w:type="dxa"/>
            <w:gridSpan w:val="3"/>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扭翘</w:t>
            </w:r>
          </w:p>
        </w:tc>
        <w:tc>
          <w:tcPr>
            <w:tcW w:w="1511"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i/>
                <w:iCs/>
                <w:sz w:val="18"/>
                <w:szCs w:val="18"/>
              </w:rPr>
            </w:pPr>
            <w:r>
              <w:rPr>
                <w:rFonts w:hint="eastAsia" w:ascii="宋体" w:hAnsi="宋体"/>
                <w:i/>
                <w:iCs/>
                <w:sz w:val="18"/>
                <w:szCs w:val="18"/>
              </w:rPr>
              <w:t>L</w:t>
            </w:r>
            <w:r>
              <w:rPr>
                <w:rFonts w:hint="eastAsia" w:ascii="宋体" w:hAnsi="宋体"/>
                <w:sz w:val="18"/>
                <w:szCs w:val="18"/>
              </w:rPr>
              <w:t>/1000</w:t>
            </w:r>
          </w:p>
        </w:tc>
        <w:tc>
          <w:tcPr>
            <w:tcW w:w="4394" w:type="dxa"/>
            <w:tcBorders>
              <w:top w:val="single" w:color="auto" w:sz="4" w:space="0"/>
              <w:left w:val="single" w:color="auto" w:sz="4" w:space="0"/>
              <w:bottom w:val="single" w:color="auto" w:sz="4" w:space="0"/>
              <w:right w:val="single" w:color="auto" w:sz="12" w:space="0"/>
            </w:tcBorders>
            <w:vAlign w:val="center"/>
          </w:tcPr>
          <w:p>
            <w:pPr>
              <w:autoSpaceDE w:val="0"/>
              <w:spacing w:line="240" w:lineRule="auto"/>
              <w:ind w:firstLine="12" w:firstLineChars="7"/>
              <w:jc w:val="center"/>
              <w:rPr>
                <w:rFonts w:ascii="宋体" w:hAnsi="宋体"/>
                <w:sz w:val="18"/>
                <w:szCs w:val="18"/>
              </w:rPr>
            </w:pPr>
            <w:r>
              <w:rPr>
                <w:rFonts w:hint="eastAsia" w:ascii="宋体" w:hAnsi="宋体"/>
                <w:sz w:val="18"/>
                <w:szCs w:val="18"/>
              </w:rPr>
              <w:t>四对角拉两条线，量测两线交点之间的距离，其值的2倍为扭翘值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67" w:type="dxa"/>
            <w:vMerge w:val="restart"/>
            <w:tcBorders>
              <w:top w:val="single" w:color="auto" w:sz="4" w:space="0"/>
              <w:left w:val="single" w:color="auto" w:sz="12"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8</w:t>
            </w:r>
          </w:p>
        </w:tc>
        <w:tc>
          <w:tcPr>
            <w:tcW w:w="947" w:type="dxa"/>
            <w:gridSpan w:val="2"/>
            <w:vMerge w:val="restart"/>
            <w:tcBorders>
              <w:top w:val="single" w:color="auto" w:sz="4" w:space="0"/>
              <w:left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预埋部件</w:t>
            </w:r>
          </w:p>
          <w:p>
            <w:pPr>
              <w:widowControl/>
              <w:spacing w:line="240" w:lineRule="auto"/>
              <w:jc w:val="left"/>
              <w:rPr>
                <w:rFonts w:ascii="宋体" w:hAnsi="宋体"/>
                <w:sz w:val="18"/>
                <w:szCs w:val="18"/>
              </w:rPr>
            </w:pPr>
          </w:p>
        </w:tc>
        <w:tc>
          <w:tcPr>
            <w:tcW w:w="988" w:type="dxa"/>
            <w:vMerge w:val="restart"/>
            <w:tcBorders>
              <w:top w:val="single" w:color="auto" w:sz="4" w:space="0"/>
              <w:left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预埋钢板</w:t>
            </w:r>
          </w:p>
        </w:tc>
        <w:tc>
          <w:tcPr>
            <w:tcW w:w="1515" w:type="dxa"/>
            <w:gridSpan w:val="2"/>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中心线位置偏移</w:t>
            </w:r>
          </w:p>
        </w:tc>
        <w:tc>
          <w:tcPr>
            <w:tcW w:w="1511"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5</w:t>
            </w:r>
          </w:p>
        </w:tc>
        <w:tc>
          <w:tcPr>
            <w:tcW w:w="4394" w:type="dxa"/>
            <w:tcBorders>
              <w:top w:val="single" w:color="auto" w:sz="4" w:space="0"/>
              <w:left w:val="single" w:color="auto" w:sz="4" w:space="0"/>
              <w:bottom w:val="single" w:color="auto" w:sz="4" w:space="0"/>
              <w:right w:val="single" w:color="auto" w:sz="12" w:space="0"/>
            </w:tcBorders>
            <w:vAlign w:val="center"/>
          </w:tcPr>
          <w:p>
            <w:pPr>
              <w:autoSpaceDE w:val="0"/>
              <w:spacing w:line="240" w:lineRule="auto"/>
              <w:ind w:firstLine="12" w:firstLineChars="7"/>
              <w:jc w:val="center"/>
              <w:rPr>
                <w:rFonts w:ascii="宋体" w:hAnsi="宋体"/>
                <w:sz w:val="18"/>
                <w:szCs w:val="18"/>
              </w:rPr>
            </w:pPr>
            <w:r>
              <w:rPr>
                <w:rFonts w:hint="eastAsia" w:ascii="宋体" w:hAnsi="宋体"/>
                <w:sz w:val="18"/>
                <w:szCs w:val="18"/>
              </w:rPr>
              <w:t>用尺量测纵横两个方向的中心线位置，取其中较大值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67" w:type="dxa"/>
            <w:vMerge w:val="continue"/>
            <w:tcBorders>
              <w:left w:val="single" w:color="auto" w:sz="12" w:space="0"/>
              <w:bottom w:val="single" w:color="auto" w:sz="4" w:space="0"/>
              <w:right w:val="single" w:color="auto" w:sz="4" w:space="0"/>
            </w:tcBorders>
            <w:vAlign w:val="center"/>
          </w:tcPr>
          <w:p>
            <w:pPr>
              <w:autoSpaceDE w:val="0"/>
              <w:spacing w:line="240" w:lineRule="auto"/>
              <w:jc w:val="center"/>
              <w:rPr>
                <w:rFonts w:ascii="宋体" w:hAnsi="宋体"/>
                <w:sz w:val="18"/>
                <w:szCs w:val="18"/>
              </w:rPr>
            </w:pPr>
          </w:p>
        </w:tc>
        <w:tc>
          <w:tcPr>
            <w:tcW w:w="947" w:type="dxa"/>
            <w:gridSpan w:val="2"/>
            <w:vMerge w:val="continue"/>
            <w:tcBorders>
              <w:left w:val="single" w:color="auto" w:sz="4" w:space="0"/>
              <w:right w:val="single" w:color="auto" w:sz="4" w:space="0"/>
            </w:tcBorders>
            <w:vAlign w:val="center"/>
          </w:tcPr>
          <w:p>
            <w:pPr>
              <w:widowControl/>
              <w:spacing w:line="240" w:lineRule="auto"/>
              <w:jc w:val="left"/>
              <w:rPr>
                <w:rFonts w:ascii="宋体" w:hAnsi="宋体"/>
                <w:sz w:val="18"/>
                <w:szCs w:val="18"/>
              </w:rPr>
            </w:pPr>
          </w:p>
        </w:tc>
        <w:tc>
          <w:tcPr>
            <w:tcW w:w="988" w:type="dxa"/>
            <w:vMerge w:val="continue"/>
            <w:tcBorders>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p>
        </w:tc>
        <w:tc>
          <w:tcPr>
            <w:tcW w:w="1515" w:type="dxa"/>
            <w:gridSpan w:val="2"/>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平面高差</w:t>
            </w:r>
          </w:p>
        </w:tc>
        <w:tc>
          <w:tcPr>
            <w:tcW w:w="1511"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0，-5</w:t>
            </w:r>
          </w:p>
        </w:tc>
        <w:tc>
          <w:tcPr>
            <w:tcW w:w="4394" w:type="dxa"/>
            <w:tcBorders>
              <w:top w:val="single" w:color="auto" w:sz="4" w:space="0"/>
              <w:left w:val="single" w:color="auto" w:sz="4" w:space="0"/>
              <w:bottom w:val="single" w:color="auto" w:sz="4" w:space="0"/>
              <w:right w:val="single" w:color="auto" w:sz="12" w:space="0"/>
            </w:tcBorders>
            <w:vAlign w:val="center"/>
          </w:tcPr>
          <w:p>
            <w:pPr>
              <w:autoSpaceDE w:val="0"/>
              <w:spacing w:line="240" w:lineRule="auto"/>
              <w:ind w:firstLine="12" w:firstLineChars="7"/>
              <w:jc w:val="center"/>
              <w:rPr>
                <w:rFonts w:ascii="宋体" w:hAnsi="宋体"/>
                <w:sz w:val="18"/>
                <w:szCs w:val="18"/>
              </w:rPr>
            </w:pPr>
            <w:r>
              <w:rPr>
                <w:rFonts w:hint="eastAsia" w:ascii="宋体" w:hAnsi="宋体"/>
                <w:sz w:val="18"/>
                <w:szCs w:val="18"/>
              </w:rPr>
              <w:t>用尺紧靠在预埋件上，用楔形塞尺量测预埋件平面与混凝土面的最大缝隙</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67" w:type="dxa"/>
            <w:vMerge w:val="restart"/>
            <w:tcBorders>
              <w:top w:val="single" w:color="auto" w:sz="4" w:space="0"/>
              <w:left w:val="single" w:color="auto" w:sz="12"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9</w:t>
            </w:r>
          </w:p>
        </w:tc>
        <w:tc>
          <w:tcPr>
            <w:tcW w:w="947" w:type="dxa"/>
            <w:gridSpan w:val="2"/>
            <w:vMerge w:val="continue"/>
            <w:tcBorders>
              <w:left w:val="single" w:color="auto" w:sz="4" w:space="0"/>
              <w:right w:val="single" w:color="auto" w:sz="4" w:space="0"/>
            </w:tcBorders>
            <w:vAlign w:val="center"/>
          </w:tcPr>
          <w:p>
            <w:pPr>
              <w:widowControl/>
              <w:spacing w:line="240" w:lineRule="auto"/>
              <w:jc w:val="left"/>
              <w:rPr>
                <w:rFonts w:ascii="宋体" w:hAnsi="宋体"/>
                <w:sz w:val="18"/>
                <w:szCs w:val="18"/>
              </w:rPr>
            </w:pPr>
          </w:p>
        </w:tc>
        <w:tc>
          <w:tcPr>
            <w:tcW w:w="988" w:type="dxa"/>
            <w:vMerge w:val="restart"/>
            <w:tcBorders>
              <w:top w:val="single" w:color="auto" w:sz="4" w:space="0"/>
              <w:left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预埋螺栓</w:t>
            </w:r>
          </w:p>
        </w:tc>
        <w:tc>
          <w:tcPr>
            <w:tcW w:w="1515" w:type="dxa"/>
            <w:gridSpan w:val="2"/>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中心线位置偏移</w:t>
            </w:r>
          </w:p>
        </w:tc>
        <w:tc>
          <w:tcPr>
            <w:tcW w:w="1511"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2</w:t>
            </w:r>
          </w:p>
        </w:tc>
        <w:tc>
          <w:tcPr>
            <w:tcW w:w="4394" w:type="dxa"/>
            <w:tcBorders>
              <w:top w:val="single" w:color="auto" w:sz="4" w:space="0"/>
              <w:left w:val="single" w:color="auto" w:sz="4" w:space="0"/>
              <w:bottom w:val="single" w:color="auto" w:sz="4" w:space="0"/>
              <w:right w:val="single" w:color="auto" w:sz="12" w:space="0"/>
            </w:tcBorders>
            <w:vAlign w:val="center"/>
          </w:tcPr>
          <w:p>
            <w:pPr>
              <w:autoSpaceDE w:val="0"/>
              <w:spacing w:line="240" w:lineRule="auto"/>
              <w:ind w:firstLine="12" w:firstLineChars="7"/>
              <w:jc w:val="center"/>
              <w:rPr>
                <w:rFonts w:ascii="宋体" w:hAnsi="宋体"/>
                <w:sz w:val="18"/>
                <w:szCs w:val="18"/>
              </w:rPr>
            </w:pPr>
            <w:r>
              <w:rPr>
                <w:rFonts w:hint="eastAsia" w:ascii="宋体" w:hAnsi="宋体"/>
                <w:sz w:val="18"/>
                <w:szCs w:val="18"/>
              </w:rPr>
              <w:t>用尺量测纵横两个方向的中心线位置，取其中较大值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67" w:type="dxa"/>
            <w:vMerge w:val="continue"/>
            <w:tcBorders>
              <w:left w:val="single" w:color="auto" w:sz="12" w:space="0"/>
              <w:right w:val="single" w:color="auto" w:sz="4" w:space="0"/>
            </w:tcBorders>
            <w:vAlign w:val="center"/>
          </w:tcPr>
          <w:p>
            <w:pPr>
              <w:autoSpaceDE w:val="0"/>
              <w:spacing w:line="240" w:lineRule="auto"/>
              <w:jc w:val="center"/>
              <w:rPr>
                <w:rFonts w:ascii="宋体" w:hAnsi="宋体"/>
                <w:sz w:val="18"/>
                <w:szCs w:val="18"/>
              </w:rPr>
            </w:pPr>
          </w:p>
        </w:tc>
        <w:tc>
          <w:tcPr>
            <w:tcW w:w="947" w:type="dxa"/>
            <w:gridSpan w:val="2"/>
            <w:vMerge w:val="continue"/>
            <w:tcBorders>
              <w:left w:val="single" w:color="auto" w:sz="4" w:space="0"/>
              <w:right w:val="single" w:color="auto" w:sz="4" w:space="0"/>
            </w:tcBorders>
            <w:vAlign w:val="center"/>
          </w:tcPr>
          <w:p>
            <w:pPr>
              <w:widowControl/>
              <w:spacing w:line="240" w:lineRule="auto"/>
              <w:jc w:val="left"/>
              <w:rPr>
                <w:rFonts w:ascii="宋体" w:hAnsi="宋体"/>
                <w:sz w:val="18"/>
                <w:szCs w:val="18"/>
              </w:rPr>
            </w:pPr>
          </w:p>
        </w:tc>
        <w:tc>
          <w:tcPr>
            <w:tcW w:w="988" w:type="dxa"/>
            <w:vMerge w:val="continue"/>
            <w:tcBorders>
              <w:left w:val="single" w:color="auto" w:sz="4" w:space="0"/>
              <w:right w:val="single" w:color="auto" w:sz="4" w:space="0"/>
            </w:tcBorders>
            <w:vAlign w:val="center"/>
          </w:tcPr>
          <w:p>
            <w:pPr>
              <w:autoSpaceDE w:val="0"/>
              <w:spacing w:line="240" w:lineRule="auto"/>
              <w:jc w:val="center"/>
              <w:rPr>
                <w:rFonts w:ascii="宋体" w:hAnsi="宋体"/>
                <w:sz w:val="18"/>
                <w:szCs w:val="18"/>
              </w:rPr>
            </w:pPr>
          </w:p>
        </w:tc>
        <w:tc>
          <w:tcPr>
            <w:tcW w:w="1515" w:type="dxa"/>
            <w:gridSpan w:val="2"/>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外露长度</w:t>
            </w:r>
          </w:p>
        </w:tc>
        <w:tc>
          <w:tcPr>
            <w:tcW w:w="1511"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+10，-5</w:t>
            </w:r>
          </w:p>
        </w:tc>
        <w:tc>
          <w:tcPr>
            <w:tcW w:w="4394" w:type="dxa"/>
            <w:tcBorders>
              <w:top w:val="single" w:color="auto" w:sz="4" w:space="0"/>
              <w:left w:val="single" w:color="auto" w:sz="4" w:space="0"/>
              <w:bottom w:val="single" w:color="auto" w:sz="4" w:space="0"/>
              <w:right w:val="single" w:color="auto" w:sz="12" w:space="0"/>
            </w:tcBorders>
            <w:vAlign w:val="center"/>
          </w:tcPr>
          <w:p>
            <w:pPr>
              <w:autoSpaceDE w:val="0"/>
              <w:spacing w:line="240" w:lineRule="auto"/>
              <w:ind w:firstLine="12" w:firstLineChars="7"/>
              <w:jc w:val="center"/>
              <w:rPr>
                <w:rFonts w:ascii="宋体" w:hAnsi="宋体"/>
                <w:sz w:val="18"/>
                <w:szCs w:val="18"/>
              </w:rPr>
            </w:pPr>
            <w:r>
              <w:rPr>
                <w:rFonts w:hint="eastAsia" w:ascii="宋体" w:hAnsi="宋体"/>
                <w:sz w:val="18"/>
                <w:szCs w:val="18"/>
              </w:rPr>
              <w:t>用尺量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67" w:type="dxa"/>
            <w:vMerge w:val="restart"/>
            <w:tcBorders>
              <w:left w:val="single" w:color="auto" w:sz="12"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1</w:t>
            </w:r>
            <w:r>
              <w:rPr>
                <w:rFonts w:ascii="宋体" w:hAnsi="宋体"/>
                <w:sz w:val="18"/>
                <w:szCs w:val="18"/>
              </w:rPr>
              <w:t>0</w:t>
            </w:r>
          </w:p>
        </w:tc>
        <w:tc>
          <w:tcPr>
            <w:tcW w:w="947" w:type="dxa"/>
            <w:gridSpan w:val="2"/>
            <w:vMerge w:val="restart"/>
            <w:tcBorders>
              <w:left w:val="single" w:color="auto" w:sz="4" w:space="0"/>
              <w:right w:val="single" w:color="auto" w:sz="4" w:space="0"/>
            </w:tcBorders>
            <w:vAlign w:val="center"/>
          </w:tcPr>
          <w:p>
            <w:pPr>
              <w:widowControl/>
              <w:spacing w:line="240" w:lineRule="auto"/>
              <w:jc w:val="left"/>
              <w:rPr>
                <w:rFonts w:ascii="宋体" w:hAnsi="宋体"/>
                <w:sz w:val="18"/>
                <w:szCs w:val="18"/>
              </w:rPr>
            </w:pPr>
            <w:r>
              <w:rPr>
                <w:rFonts w:hint="eastAsia" w:ascii="宋体" w:hAnsi="宋体"/>
                <w:sz w:val="18"/>
                <w:szCs w:val="18"/>
              </w:rPr>
              <w:t>预留孔</w:t>
            </w:r>
          </w:p>
        </w:tc>
        <w:tc>
          <w:tcPr>
            <w:tcW w:w="2503" w:type="dxa"/>
            <w:gridSpan w:val="3"/>
            <w:tcBorders>
              <w:left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中心线位置偏移</w:t>
            </w:r>
          </w:p>
        </w:tc>
        <w:tc>
          <w:tcPr>
            <w:tcW w:w="1511"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5</w:t>
            </w:r>
          </w:p>
        </w:tc>
        <w:tc>
          <w:tcPr>
            <w:tcW w:w="4394" w:type="dxa"/>
            <w:tcBorders>
              <w:top w:val="single" w:color="auto" w:sz="4" w:space="0"/>
              <w:left w:val="single" w:color="auto" w:sz="4" w:space="0"/>
              <w:bottom w:val="single" w:color="auto" w:sz="4" w:space="0"/>
              <w:right w:val="single" w:color="auto" w:sz="12" w:space="0"/>
            </w:tcBorders>
            <w:vAlign w:val="center"/>
          </w:tcPr>
          <w:p>
            <w:pPr>
              <w:autoSpaceDE w:val="0"/>
              <w:spacing w:line="240" w:lineRule="auto"/>
              <w:ind w:firstLine="12" w:firstLineChars="7"/>
              <w:jc w:val="center"/>
              <w:rPr>
                <w:rFonts w:ascii="宋体" w:hAnsi="宋体"/>
                <w:sz w:val="18"/>
                <w:szCs w:val="18"/>
              </w:rPr>
            </w:pPr>
            <w:r>
              <w:rPr>
                <w:rFonts w:hint="eastAsia" w:ascii="宋体" w:hAnsi="宋体"/>
                <w:sz w:val="18"/>
                <w:szCs w:val="18"/>
              </w:rPr>
              <w:t>用尺量测纵横两个方向的中心线位置，取其中较大值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667" w:type="dxa"/>
            <w:vMerge w:val="continue"/>
            <w:tcBorders>
              <w:left w:val="single" w:color="auto" w:sz="12" w:space="0"/>
              <w:bottom w:val="single" w:color="auto" w:sz="4" w:space="0"/>
              <w:right w:val="single" w:color="auto" w:sz="4" w:space="0"/>
            </w:tcBorders>
            <w:vAlign w:val="center"/>
          </w:tcPr>
          <w:p>
            <w:pPr>
              <w:autoSpaceDE w:val="0"/>
              <w:spacing w:line="240" w:lineRule="auto"/>
              <w:jc w:val="center"/>
              <w:rPr>
                <w:rFonts w:ascii="宋体" w:hAnsi="宋体"/>
                <w:sz w:val="18"/>
                <w:szCs w:val="18"/>
              </w:rPr>
            </w:pPr>
          </w:p>
        </w:tc>
        <w:tc>
          <w:tcPr>
            <w:tcW w:w="947" w:type="dxa"/>
            <w:gridSpan w:val="2"/>
            <w:vMerge w:val="continue"/>
            <w:tcBorders>
              <w:left w:val="single" w:color="auto" w:sz="4"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2503" w:type="dxa"/>
            <w:gridSpan w:val="3"/>
            <w:tcBorders>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孔尺寸</w:t>
            </w:r>
          </w:p>
        </w:tc>
        <w:tc>
          <w:tcPr>
            <w:tcW w:w="1511"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±5</w:t>
            </w:r>
          </w:p>
        </w:tc>
        <w:tc>
          <w:tcPr>
            <w:tcW w:w="4394" w:type="dxa"/>
            <w:tcBorders>
              <w:top w:val="single" w:color="auto" w:sz="4" w:space="0"/>
              <w:left w:val="single" w:color="auto" w:sz="4" w:space="0"/>
              <w:bottom w:val="single" w:color="auto" w:sz="4" w:space="0"/>
              <w:right w:val="single" w:color="auto" w:sz="12" w:space="0"/>
            </w:tcBorders>
            <w:vAlign w:val="center"/>
          </w:tcPr>
          <w:p>
            <w:pPr>
              <w:autoSpaceDE w:val="0"/>
              <w:spacing w:line="240" w:lineRule="auto"/>
              <w:ind w:firstLine="12" w:firstLineChars="7"/>
              <w:jc w:val="center"/>
              <w:rPr>
                <w:rFonts w:ascii="宋体" w:hAnsi="宋体"/>
                <w:sz w:val="18"/>
                <w:szCs w:val="18"/>
              </w:rPr>
            </w:pPr>
            <w:r>
              <w:rPr>
                <w:rFonts w:hint="eastAsia" w:ascii="宋体" w:hAnsi="宋体"/>
                <w:sz w:val="18"/>
                <w:szCs w:val="18"/>
              </w:rPr>
              <w:t>用尺量测纵横两个方向尺寸，取其中最大值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wAfter w:w="0" w:type="auto"/>
          <w:trHeight w:val="340" w:hRule="atLeast"/>
          <w:jc w:val="center"/>
        </w:trPr>
        <w:tc>
          <w:tcPr>
            <w:tcW w:w="671" w:type="dxa"/>
            <w:gridSpan w:val="2"/>
            <w:vMerge w:val="restart"/>
            <w:tcBorders>
              <w:top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11</w:t>
            </w:r>
          </w:p>
        </w:tc>
        <w:tc>
          <w:tcPr>
            <w:tcW w:w="943" w:type="dxa"/>
            <w:vMerge w:val="restart"/>
            <w:tcBorders>
              <w:top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预留洞</w:t>
            </w:r>
          </w:p>
        </w:tc>
        <w:tc>
          <w:tcPr>
            <w:tcW w:w="2503" w:type="dxa"/>
            <w:gridSpan w:val="3"/>
            <w:tcBorders>
              <w:top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中心线位置偏移</w:t>
            </w:r>
          </w:p>
        </w:tc>
        <w:tc>
          <w:tcPr>
            <w:tcW w:w="1511" w:type="dxa"/>
            <w:tcBorders>
              <w:top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5</w:t>
            </w:r>
          </w:p>
        </w:tc>
        <w:tc>
          <w:tcPr>
            <w:tcW w:w="4394" w:type="dxa"/>
            <w:tcBorders>
              <w:top w:val="single" w:color="auto" w:sz="4" w:space="0"/>
            </w:tcBorders>
            <w:vAlign w:val="center"/>
          </w:tcPr>
          <w:p>
            <w:pPr>
              <w:autoSpaceDE w:val="0"/>
              <w:spacing w:line="240" w:lineRule="auto"/>
              <w:ind w:firstLine="12" w:firstLineChars="7"/>
              <w:jc w:val="center"/>
              <w:rPr>
                <w:rFonts w:ascii="宋体" w:hAnsi="宋体"/>
                <w:sz w:val="18"/>
                <w:szCs w:val="18"/>
              </w:rPr>
            </w:pPr>
            <w:r>
              <w:rPr>
                <w:rFonts w:hint="eastAsia" w:ascii="宋体" w:hAnsi="宋体"/>
                <w:sz w:val="18"/>
                <w:szCs w:val="18"/>
              </w:rPr>
              <w:t>用尺量测纵横两个方向的中心线位置，取其中较大值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wAfter w:w="0" w:type="auto"/>
          <w:trHeight w:val="340" w:hRule="atLeast"/>
          <w:jc w:val="center"/>
        </w:trPr>
        <w:tc>
          <w:tcPr>
            <w:tcW w:w="671" w:type="dxa"/>
            <w:gridSpan w:val="2"/>
            <w:vMerge w:val="continue"/>
            <w:vAlign w:val="center"/>
          </w:tcPr>
          <w:p>
            <w:pPr>
              <w:widowControl/>
              <w:spacing w:line="240" w:lineRule="auto"/>
              <w:jc w:val="left"/>
              <w:rPr>
                <w:rFonts w:ascii="宋体" w:hAnsi="宋体"/>
                <w:sz w:val="18"/>
                <w:szCs w:val="18"/>
              </w:rPr>
            </w:pPr>
          </w:p>
        </w:tc>
        <w:tc>
          <w:tcPr>
            <w:tcW w:w="943" w:type="dxa"/>
            <w:vMerge w:val="continue"/>
            <w:vAlign w:val="center"/>
          </w:tcPr>
          <w:p>
            <w:pPr>
              <w:widowControl/>
              <w:spacing w:line="240" w:lineRule="auto"/>
              <w:jc w:val="left"/>
              <w:rPr>
                <w:rFonts w:ascii="宋体" w:hAnsi="宋体"/>
                <w:sz w:val="18"/>
                <w:szCs w:val="18"/>
              </w:rPr>
            </w:pPr>
          </w:p>
        </w:tc>
        <w:tc>
          <w:tcPr>
            <w:tcW w:w="2503" w:type="dxa"/>
            <w:gridSpan w:val="3"/>
            <w:vAlign w:val="center"/>
          </w:tcPr>
          <w:p>
            <w:pPr>
              <w:autoSpaceDE w:val="0"/>
              <w:spacing w:line="240" w:lineRule="auto"/>
              <w:jc w:val="center"/>
              <w:rPr>
                <w:rFonts w:ascii="宋体" w:hAnsi="宋体"/>
                <w:sz w:val="18"/>
                <w:szCs w:val="18"/>
              </w:rPr>
            </w:pPr>
            <w:r>
              <w:rPr>
                <w:rFonts w:hint="eastAsia" w:ascii="宋体" w:hAnsi="宋体"/>
                <w:sz w:val="18"/>
                <w:szCs w:val="18"/>
              </w:rPr>
              <w:t>洞口尺寸、深度</w:t>
            </w:r>
          </w:p>
        </w:tc>
        <w:tc>
          <w:tcPr>
            <w:tcW w:w="1511" w:type="dxa"/>
            <w:vAlign w:val="center"/>
          </w:tcPr>
          <w:p>
            <w:pPr>
              <w:autoSpaceDE w:val="0"/>
              <w:spacing w:line="240" w:lineRule="auto"/>
              <w:jc w:val="center"/>
              <w:rPr>
                <w:rFonts w:ascii="宋体" w:hAnsi="宋体"/>
                <w:sz w:val="18"/>
                <w:szCs w:val="18"/>
              </w:rPr>
            </w:pPr>
            <w:r>
              <w:rPr>
                <w:rFonts w:hint="eastAsia" w:ascii="宋体" w:hAnsi="宋体"/>
                <w:sz w:val="18"/>
                <w:szCs w:val="18"/>
              </w:rPr>
              <w:t>±5</w:t>
            </w:r>
          </w:p>
        </w:tc>
        <w:tc>
          <w:tcPr>
            <w:tcW w:w="4394" w:type="dxa"/>
            <w:vAlign w:val="center"/>
          </w:tcPr>
          <w:p>
            <w:pPr>
              <w:autoSpaceDE w:val="0"/>
              <w:spacing w:line="240" w:lineRule="auto"/>
              <w:ind w:firstLine="12" w:firstLineChars="7"/>
              <w:jc w:val="center"/>
              <w:rPr>
                <w:rFonts w:ascii="宋体" w:hAnsi="宋体"/>
                <w:sz w:val="18"/>
                <w:szCs w:val="18"/>
              </w:rPr>
            </w:pPr>
            <w:r>
              <w:rPr>
                <w:rFonts w:hint="eastAsia" w:ascii="宋体" w:hAnsi="宋体"/>
                <w:sz w:val="18"/>
                <w:szCs w:val="18"/>
              </w:rPr>
              <w:t>用尺量测纵横两个方向尺寸，取其中最大值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wAfter w:w="0" w:type="auto"/>
          <w:trHeight w:val="340" w:hRule="atLeast"/>
          <w:jc w:val="center"/>
        </w:trPr>
        <w:tc>
          <w:tcPr>
            <w:tcW w:w="671" w:type="dxa"/>
            <w:gridSpan w:val="2"/>
            <w:vMerge w:val="restart"/>
            <w:vAlign w:val="center"/>
          </w:tcPr>
          <w:p>
            <w:pPr>
              <w:autoSpaceDE w:val="0"/>
              <w:spacing w:line="240" w:lineRule="auto"/>
              <w:jc w:val="center"/>
              <w:rPr>
                <w:rFonts w:ascii="宋体" w:hAnsi="宋体"/>
                <w:sz w:val="18"/>
                <w:szCs w:val="18"/>
              </w:rPr>
            </w:pPr>
            <w:r>
              <w:rPr>
                <w:rFonts w:hint="eastAsia" w:ascii="宋体" w:hAnsi="宋体"/>
                <w:sz w:val="18"/>
                <w:szCs w:val="18"/>
              </w:rPr>
              <w:t>12</w:t>
            </w:r>
          </w:p>
        </w:tc>
        <w:tc>
          <w:tcPr>
            <w:tcW w:w="943" w:type="dxa"/>
            <w:vMerge w:val="restart"/>
            <w:vAlign w:val="center"/>
          </w:tcPr>
          <w:p>
            <w:pPr>
              <w:autoSpaceDE w:val="0"/>
              <w:spacing w:line="240" w:lineRule="auto"/>
              <w:jc w:val="center"/>
              <w:rPr>
                <w:rFonts w:ascii="宋体" w:hAnsi="宋体"/>
                <w:sz w:val="18"/>
                <w:szCs w:val="18"/>
              </w:rPr>
            </w:pPr>
            <w:r>
              <w:rPr>
                <w:rFonts w:hint="eastAsia" w:ascii="宋体" w:hAnsi="宋体"/>
                <w:sz w:val="18"/>
                <w:szCs w:val="18"/>
              </w:rPr>
              <w:t>预留插筋</w:t>
            </w:r>
          </w:p>
        </w:tc>
        <w:tc>
          <w:tcPr>
            <w:tcW w:w="2503" w:type="dxa"/>
            <w:gridSpan w:val="3"/>
            <w:vAlign w:val="center"/>
          </w:tcPr>
          <w:p>
            <w:pPr>
              <w:autoSpaceDE w:val="0"/>
              <w:spacing w:line="240" w:lineRule="auto"/>
              <w:jc w:val="center"/>
              <w:rPr>
                <w:rFonts w:ascii="宋体" w:hAnsi="宋体"/>
                <w:sz w:val="18"/>
                <w:szCs w:val="18"/>
              </w:rPr>
            </w:pPr>
            <w:r>
              <w:rPr>
                <w:rFonts w:hint="eastAsia" w:ascii="宋体" w:hAnsi="宋体"/>
                <w:sz w:val="18"/>
                <w:szCs w:val="18"/>
              </w:rPr>
              <w:t>中心线位置偏移</w:t>
            </w:r>
          </w:p>
        </w:tc>
        <w:tc>
          <w:tcPr>
            <w:tcW w:w="1511" w:type="dxa"/>
            <w:vAlign w:val="center"/>
          </w:tcPr>
          <w:p>
            <w:pPr>
              <w:autoSpaceDE w:val="0"/>
              <w:spacing w:line="240" w:lineRule="auto"/>
              <w:jc w:val="center"/>
              <w:rPr>
                <w:rFonts w:ascii="宋体" w:hAnsi="宋体"/>
                <w:sz w:val="18"/>
                <w:szCs w:val="18"/>
              </w:rPr>
            </w:pPr>
            <w:r>
              <w:rPr>
                <w:rFonts w:hint="eastAsia" w:ascii="宋体" w:hAnsi="宋体"/>
                <w:sz w:val="18"/>
                <w:szCs w:val="18"/>
              </w:rPr>
              <w:t>3</w:t>
            </w:r>
          </w:p>
        </w:tc>
        <w:tc>
          <w:tcPr>
            <w:tcW w:w="4394" w:type="dxa"/>
            <w:vAlign w:val="center"/>
          </w:tcPr>
          <w:p>
            <w:pPr>
              <w:autoSpaceDE w:val="0"/>
              <w:spacing w:line="240" w:lineRule="auto"/>
              <w:ind w:firstLine="12" w:firstLineChars="7"/>
              <w:jc w:val="center"/>
              <w:rPr>
                <w:rFonts w:ascii="宋体" w:hAnsi="宋体"/>
                <w:sz w:val="18"/>
                <w:szCs w:val="18"/>
              </w:rPr>
            </w:pPr>
            <w:r>
              <w:rPr>
                <w:rFonts w:hint="eastAsia" w:ascii="宋体" w:hAnsi="宋体"/>
                <w:sz w:val="18"/>
                <w:szCs w:val="18"/>
              </w:rPr>
              <w:t>用尺量测纵横两个方向的中心线位置，取其中较大值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wAfter w:w="0" w:type="auto"/>
          <w:trHeight w:val="340" w:hRule="atLeast"/>
          <w:jc w:val="center"/>
        </w:trPr>
        <w:tc>
          <w:tcPr>
            <w:tcW w:w="671" w:type="dxa"/>
            <w:gridSpan w:val="2"/>
            <w:vMerge w:val="continue"/>
            <w:vAlign w:val="center"/>
          </w:tcPr>
          <w:p>
            <w:pPr>
              <w:widowControl/>
              <w:spacing w:line="240" w:lineRule="auto"/>
              <w:jc w:val="left"/>
              <w:rPr>
                <w:rFonts w:ascii="宋体" w:hAnsi="宋体"/>
                <w:sz w:val="18"/>
                <w:szCs w:val="18"/>
              </w:rPr>
            </w:pPr>
          </w:p>
        </w:tc>
        <w:tc>
          <w:tcPr>
            <w:tcW w:w="943" w:type="dxa"/>
            <w:vMerge w:val="continue"/>
            <w:vAlign w:val="center"/>
          </w:tcPr>
          <w:p>
            <w:pPr>
              <w:widowControl/>
              <w:spacing w:line="240" w:lineRule="auto"/>
              <w:jc w:val="left"/>
              <w:rPr>
                <w:rFonts w:ascii="宋体" w:hAnsi="宋体"/>
                <w:sz w:val="18"/>
                <w:szCs w:val="18"/>
              </w:rPr>
            </w:pPr>
          </w:p>
        </w:tc>
        <w:tc>
          <w:tcPr>
            <w:tcW w:w="2503" w:type="dxa"/>
            <w:gridSpan w:val="3"/>
            <w:vAlign w:val="center"/>
          </w:tcPr>
          <w:p>
            <w:pPr>
              <w:autoSpaceDE w:val="0"/>
              <w:spacing w:line="240" w:lineRule="auto"/>
              <w:jc w:val="center"/>
              <w:rPr>
                <w:rFonts w:ascii="宋体" w:hAnsi="宋体"/>
                <w:sz w:val="18"/>
                <w:szCs w:val="18"/>
              </w:rPr>
            </w:pPr>
            <w:r>
              <w:rPr>
                <w:rFonts w:hint="eastAsia" w:ascii="宋体" w:hAnsi="宋体"/>
                <w:sz w:val="18"/>
                <w:szCs w:val="18"/>
              </w:rPr>
              <w:t>外露长度</w:t>
            </w:r>
          </w:p>
        </w:tc>
        <w:tc>
          <w:tcPr>
            <w:tcW w:w="1511" w:type="dxa"/>
            <w:vAlign w:val="center"/>
          </w:tcPr>
          <w:p>
            <w:pPr>
              <w:autoSpaceDE w:val="0"/>
              <w:spacing w:line="240" w:lineRule="auto"/>
              <w:jc w:val="center"/>
              <w:rPr>
                <w:rFonts w:ascii="宋体" w:hAnsi="宋体"/>
                <w:sz w:val="18"/>
                <w:szCs w:val="18"/>
              </w:rPr>
            </w:pPr>
            <w:r>
              <w:rPr>
                <w:rFonts w:hint="eastAsia" w:ascii="宋体" w:hAnsi="宋体"/>
                <w:sz w:val="18"/>
                <w:szCs w:val="18"/>
              </w:rPr>
              <w:t>±5</w:t>
            </w:r>
          </w:p>
        </w:tc>
        <w:tc>
          <w:tcPr>
            <w:tcW w:w="4394" w:type="dxa"/>
            <w:vAlign w:val="center"/>
          </w:tcPr>
          <w:p>
            <w:pPr>
              <w:autoSpaceDE w:val="0"/>
              <w:spacing w:line="240" w:lineRule="auto"/>
              <w:ind w:firstLine="12" w:firstLineChars="7"/>
              <w:jc w:val="center"/>
              <w:rPr>
                <w:rFonts w:ascii="宋体" w:hAnsi="宋体"/>
                <w:sz w:val="18"/>
                <w:szCs w:val="18"/>
              </w:rPr>
            </w:pPr>
            <w:r>
              <w:rPr>
                <w:rFonts w:hint="eastAsia" w:ascii="宋体" w:hAnsi="宋体"/>
                <w:sz w:val="18"/>
                <w:szCs w:val="18"/>
              </w:rPr>
              <w:t>用尺量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wAfter w:w="0" w:type="auto"/>
          <w:trHeight w:val="340" w:hRule="atLeast"/>
          <w:jc w:val="center"/>
        </w:trPr>
        <w:tc>
          <w:tcPr>
            <w:tcW w:w="671" w:type="dxa"/>
            <w:gridSpan w:val="2"/>
            <w:vMerge w:val="restart"/>
            <w:vAlign w:val="center"/>
          </w:tcPr>
          <w:p>
            <w:pPr>
              <w:autoSpaceDE w:val="0"/>
              <w:spacing w:line="240" w:lineRule="auto"/>
              <w:jc w:val="center"/>
              <w:rPr>
                <w:rFonts w:ascii="宋体" w:hAnsi="宋体"/>
                <w:sz w:val="18"/>
                <w:szCs w:val="18"/>
              </w:rPr>
            </w:pPr>
            <w:r>
              <w:rPr>
                <w:rFonts w:hint="eastAsia" w:ascii="宋体" w:hAnsi="宋体"/>
                <w:sz w:val="18"/>
                <w:szCs w:val="18"/>
              </w:rPr>
              <w:t>13</w:t>
            </w:r>
          </w:p>
        </w:tc>
        <w:tc>
          <w:tcPr>
            <w:tcW w:w="943" w:type="dxa"/>
            <w:vMerge w:val="restart"/>
            <w:vAlign w:val="center"/>
          </w:tcPr>
          <w:p>
            <w:pPr>
              <w:autoSpaceDE w:val="0"/>
              <w:spacing w:line="240" w:lineRule="auto"/>
              <w:jc w:val="center"/>
              <w:rPr>
                <w:rFonts w:ascii="宋体" w:hAnsi="宋体"/>
                <w:sz w:val="18"/>
                <w:szCs w:val="18"/>
              </w:rPr>
            </w:pPr>
            <w:r>
              <w:rPr>
                <w:rFonts w:hint="eastAsia" w:ascii="宋体" w:hAnsi="宋体"/>
                <w:sz w:val="18"/>
                <w:szCs w:val="18"/>
              </w:rPr>
              <w:t>吊环</w:t>
            </w:r>
          </w:p>
        </w:tc>
        <w:tc>
          <w:tcPr>
            <w:tcW w:w="2503" w:type="dxa"/>
            <w:gridSpan w:val="3"/>
            <w:vAlign w:val="center"/>
          </w:tcPr>
          <w:p>
            <w:pPr>
              <w:autoSpaceDE w:val="0"/>
              <w:spacing w:line="240" w:lineRule="auto"/>
              <w:jc w:val="center"/>
              <w:rPr>
                <w:rFonts w:ascii="宋体" w:hAnsi="宋体"/>
                <w:sz w:val="18"/>
                <w:szCs w:val="18"/>
              </w:rPr>
            </w:pPr>
            <w:r>
              <w:rPr>
                <w:rFonts w:hint="eastAsia" w:ascii="宋体" w:hAnsi="宋体"/>
                <w:sz w:val="18"/>
                <w:szCs w:val="18"/>
              </w:rPr>
              <w:t>中心线位置偏移</w:t>
            </w:r>
          </w:p>
        </w:tc>
        <w:tc>
          <w:tcPr>
            <w:tcW w:w="1511" w:type="dxa"/>
            <w:vAlign w:val="center"/>
          </w:tcPr>
          <w:p>
            <w:pPr>
              <w:autoSpaceDE w:val="0"/>
              <w:spacing w:line="240" w:lineRule="auto"/>
              <w:jc w:val="center"/>
              <w:rPr>
                <w:rFonts w:ascii="宋体" w:hAnsi="宋体"/>
                <w:sz w:val="18"/>
                <w:szCs w:val="18"/>
              </w:rPr>
            </w:pPr>
            <w:r>
              <w:rPr>
                <w:rFonts w:hint="eastAsia" w:ascii="宋体" w:hAnsi="宋体"/>
                <w:sz w:val="18"/>
                <w:szCs w:val="18"/>
              </w:rPr>
              <w:t>10</w:t>
            </w:r>
          </w:p>
        </w:tc>
        <w:tc>
          <w:tcPr>
            <w:tcW w:w="4394" w:type="dxa"/>
            <w:vAlign w:val="center"/>
          </w:tcPr>
          <w:p>
            <w:pPr>
              <w:autoSpaceDE w:val="0"/>
              <w:spacing w:line="240" w:lineRule="auto"/>
              <w:ind w:firstLine="12" w:firstLineChars="7"/>
              <w:jc w:val="center"/>
              <w:rPr>
                <w:rFonts w:ascii="宋体" w:hAnsi="宋体"/>
                <w:sz w:val="18"/>
                <w:szCs w:val="18"/>
              </w:rPr>
            </w:pPr>
            <w:r>
              <w:rPr>
                <w:rFonts w:hint="eastAsia" w:ascii="宋体" w:hAnsi="宋体"/>
                <w:sz w:val="18"/>
                <w:szCs w:val="18"/>
              </w:rPr>
              <w:t>用尺量测纵横两个方向的中心线位置，取其中较大值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wAfter w:w="0" w:type="auto"/>
          <w:trHeight w:val="340" w:hRule="atLeast"/>
          <w:jc w:val="center"/>
        </w:trPr>
        <w:tc>
          <w:tcPr>
            <w:tcW w:w="671" w:type="dxa"/>
            <w:gridSpan w:val="2"/>
            <w:vMerge w:val="continue"/>
            <w:vAlign w:val="center"/>
          </w:tcPr>
          <w:p>
            <w:pPr>
              <w:widowControl/>
              <w:spacing w:line="240" w:lineRule="auto"/>
              <w:jc w:val="left"/>
              <w:rPr>
                <w:rFonts w:ascii="宋体" w:hAnsi="宋体"/>
                <w:sz w:val="18"/>
                <w:szCs w:val="18"/>
              </w:rPr>
            </w:pPr>
          </w:p>
        </w:tc>
        <w:tc>
          <w:tcPr>
            <w:tcW w:w="943" w:type="dxa"/>
            <w:vMerge w:val="continue"/>
            <w:vAlign w:val="center"/>
          </w:tcPr>
          <w:p>
            <w:pPr>
              <w:widowControl/>
              <w:spacing w:line="240" w:lineRule="auto"/>
              <w:jc w:val="left"/>
              <w:rPr>
                <w:rFonts w:ascii="宋体" w:hAnsi="宋体"/>
                <w:sz w:val="18"/>
                <w:szCs w:val="18"/>
              </w:rPr>
            </w:pPr>
          </w:p>
        </w:tc>
        <w:tc>
          <w:tcPr>
            <w:tcW w:w="2503" w:type="dxa"/>
            <w:gridSpan w:val="3"/>
            <w:vAlign w:val="center"/>
          </w:tcPr>
          <w:p>
            <w:pPr>
              <w:autoSpaceDE w:val="0"/>
              <w:spacing w:line="240" w:lineRule="auto"/>
              <w:jc w:val="center"/>
              <w:rPr>
                <w:rFonts w:ascii="宋体" w:hAnsi="宋体"/>
                <w:sz w:val="18"/>
                <w:szCs w:val="18"/>
              </w:rPr>
            </w:pPr>
            <w:r>
              <w:rPr>
                <w:rFonts w:hint="eastAsia" w:ascii="宋体" w:hAnsi="宋体"/>
                <w:sz w:val="18"/>
                <w:szCs w:val="18"/>
              </w:rPr>
              <w:t>留出高度</w:t>
            </w:r>
          </w:p>
        </w:tc>
        <w:tc>
          <w:tcPr>
            <w:tcW w:w="1511" w:type="dxa"/>
            <w:vAlign w:val="center"/>
          </w:tcPr>
          <w:p>
            <w:pPr>
              <w:autoSpaceDE w:val="0"/>
              <w:spacing w:line="240" w:lineRule="auto"/>
              <w:jc w:val="center"/>
              <w:rPr>
                <w:rFonts w:ascii="宋体" w:hAnsi="宋体"/>
                <w:sz w:val="18"/>
                <w:szCs w:val="18"/>
              </w:rPr>
            </w:pPr>
            <w:r>
              <w:rPr>
                <w:rFonts w:hint="eastAsia" w:ascii="宋体" w:hAnsi="宋体"/>
                <w:sz w:val="18"/>
                <w:szCs w:val="18"/>
              </w:rPr>
              <w:t>0，-10</w:t>
            </w:r>
          </w:p>
        </w:tc>
        <w:tc>
          <w:tcPr>
            <w:tcW w:w="4394" w:type="dxa"/>
            <w:vAlign w:val="center"/>
          </w:tcPr>
          <w:p>
            <w:pPr>
              <w:autoSpaceDE w:val="0"/>
              <w:spacing w:line="240" w:lineRule="auto"/>
              <w:ind w:firstLine="12" w:firstLineChars="7"/>
              <w:jc w:val="center"/>
              <w:rPr>
                <w:rFonts w:ascii="宋体" w:hAnsi="宋体"/>
                <w:sz w:val="18"/>
                <w:szCs w:val="18"/>
              </w:rPr>
            </w:pPr>
            <w:r>
              <w:rPr>
                <w:rFonts w:hint="eastAsia" w:ascii="宋体" w:hAnsi="宋体"/>
                <w:sz w:val="18"/>
                <w:szCs w:val="18"/>
              </w:rPr>
              <w:t>用尺量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wAfter w:w="0" w:type="auto"/>
          <w:trHeight w:val="340" w:hRule="atLeast"/>
          <w:jc w:val="center"/>
        </w:trPr>
        <w:tc>
          <w:tcPr>
            <w:tcW w:w="671" w:type="dxa"/>
            <w:gridSpan w:val="2"/>
            <w:vMerge w:val="restart"/>
            <w:vAlign w:val="center"/>
          </w:tcPr>
          <w:p>
            <w:pPr>
              <w:autoSpaceDE w:val="0"/>
              <w:spacing w:line="240" w:lineRule="auto"/>
              <w:jc w:val="center"/>
              <w:rPr>
                <w:rFonts w:ascii="宋体" w:hAnsi="宋体"/>
                <w:sz w:val="18"/>
                <w:szCs w:val="18"/>
              </w:rPr>
            </w:pPr>
            <w:r>
              <w:rPr>
                <w:rFonts w:hint="eastAsia" w:ascii="宋体" w:hAnsi="宋体"/>
                <w:sz w:val="18"/>
                <w:szCs w:val="18"/>
              </w:rPr>
              <w:t>14</w:t>
            </w:r>
          </w:p>
        </w:tc>
        <w:tc>
          <w:tcPr>
            <w:tcW w:w="943" w:type="dxa"/>
            <w:vMerge w:val="restart"/>
            <w:vAlign w:val="center"/>
          </w:tcPr>
          <w:p>
            <w:pPr>
              <w:autoSpaceDE w:val="0"/>
              <w:spacing w:line="240" w:lineRule="auto"/>
              <w:jc w:val="center"/>
              <w:rPr>
                <w:rFonts w:ascii="宋体" w:hAnsi="宋体"/>
                <w:sz w:val="18"/>
                <w:szCs w:val="18"/>
              </w:rPr>
            </w:pPr>
            <w:r>
              <w:rPr>
                <w:rFonts w:hint="eastAsia" w:ascii="宋体" w:hAnsi="宋体"/>
                <w:sz w:val="18"/>
                <w:szCs w:val="18"/>
              </w:rPr>
              <w:t>键槽</w:t>
            </w:r>
          </w:p>
        </w:tc>
        <w:tc>
          <w:tcPr>
            <w:tcW w:w="2503" w:type="dxa"/>
            <w:gridSpan w:val="3"/>
            <w:vAlign w:val="center"/>
          </w:tcPr>
          <w:p>
            <w:pPr>
              <w:autoSpaceDE w:val="0"/>
              <w:spacing w:line="240" w:lineRule="auto"/>
              <w:jc w:val="center"/>
              <w:rPr>
                <w:rFonts w:ascii="宋体" w:hAnsi="宋体"/>
                <w:sz w:val="18"/>
                <w:szCs w:val="18"/>
              </w:rPr>
            </w:pPr>
            <w:r>
              <w:rPr>
                <w:rFonts w:hint="eastAsia" w:ascii="宋体" w:hAnsi="宋体"/>
                <w:sz w:val="18"/>
                <w:szCs w:val="18"/>
              </w:rPr>
              <w:t>中心线位置偏移</w:t>
            </w:r>
          </w:p>
        </w:tc>
        <w:tc>
          <w:tcPr>
            <w:tcW w:w="1511" w:type="dxa"/>
            <w:vAlign w:val="center"/>
          </w:tcPr>
          <w:p>
            <w:pPr>
              <w:autoSpaceDE w:val="0"/>
              <w:spacing w:line="240" w:lineRule="auto"/>
              <w:jc w:val="center"/>
              <w:rPr>
                <w:rFonts w:ascii="宋体" w:hAnsi="宋体"/>
                <w:sz w:val="18"/>
                <w:szCs w:val="18"/>
              </w:rPr>
            </w:pPr>
            <w:r>
              <w:rPr>
                <w:rFonts w:hint="eastAsia" w:ascii="宋体" w:hAnsi="宋体"/>
                <w:sz w:val="18"/>
                <w:szCs w:val="18"/>
              </w:rPr>
              <w:t>5</w:t>
            </w:r>
          </w:p>
        </w:tc>
        <w:tc>
          <w:tcPr>
            <w:tcW w:w="4394" w:type="dxa"/>
            <w:vAlign w:val="center"/>
          </w:tcPr>
          <w:p>
            <w:pPr>
              <w:autoSpaceDE w:val="0"/>
              <w:spacing w:line="240" w:lineRule="auto"/>
              <w:ind w:firstLine="12" w:firstLineChars="7"/>
              <w:jc w:val="center"/>
              <w:rPr>
                <w:rFonts w:ascii="宋体" w:hAnsi="宋体"/>
                <w:sz w:val="18"/>
                <w:szCs w:val="18"/>
              </w:rPr>
            </w:pPr>
            <w:r>
              <w:rPr>
                <w:rFonts w:hint="eastAsia" w:ascii="宋体" w:hAnsi="宋体"/>
                <w:sz w:val="18"/>
                <w:szCs w:val="18"/>
              </w:rPr>
              <w:t>用尺量测纵横两个方向的中心线位置，取其中较大值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wAfter w:w="0" w:type="auto"/>
          <w:trHeight w:val="340" w:hRule="atLeast"/>
          <w:jc w:val="center"/>
        </w:trPr>
        <w:tc>
          <w:tcPr>
            <w:tcW w:w="671" w:type="dxa"/>
            <w:gridSpan w:val="2"/>
            <w:vMerge w:val="continue"/>
            <w:vAlign w:val="center"/>
          </w:tcPr>
          <w:p>
            <w:pPr>
              <w:widowControl/>
              <w:spacing w:line="240" w:lineRule="auto"/>
              <w:jc w:val="left"/>
              <w:rPr>
                <w:rFonts w:ascii="宋体" w:hAnsi="宋体"/>
                <w:sz w:val="18"/>
                <w:szCs w:val="18"/>
              </w:rPr>
            </w:pPr>
          </w:p>
        </w:tc>
        <w:tc>
          <w:tcPr>
            <w:tcW w:w="943" w:type="dxa"/>
            <w:vMerge w:val="continue"/>
            <w:vAlign w:val="center"/>
          </w:tcPr>
          <w:p>
            <w:pPr>
              <w:widowControl/>
              <w:spacing w:line="240" w:lineRule="auto"/>
              <w:jc w:val="left"/>
              <w:rPr>
                <w:rFonts w:ascii="宋体" w:hAnsi="宋体"/>
                <w:sz w:val="18"/>
                <w:szCs w:val="18"/>
              </w:rPr>
            </w:pPr>
          </w:p>
        </w:tc>
        <w:tc>
          <w:tcPr>
            <w:tcW w:w="2503" w:type="dxa"/>
            <w:gridSpan w:val="3"/>
            <w:vAlign w:val="center"/>
          </w:tcPr>
          <w:p>
            <w:pPr>
              <w:autoSpaceDE w:val="0"/>
              <w:spacing w:line="240" w:lineRule="auto"/>
              <w:jc w:val="center"/>
              <w:rPr>
                <w:rFonts w:ascii="宋体" w:hAnsi="宋体"/>
                <w:sz w:val="18"/>
                <w:szCs w:val="18"/>
              </w:rPr>
            </w:pPr>
            <w:r>
              <w:rPr>
                <w:rFonts w:hint="eastAsia" w:ascii="宋体" w:hAnsi="宋体"/>
                <w:sz w:val="18"/>
                <w:szCs w:val="18"/>
              </w:rPr>
              <w:t>长度、宽度</w:t>
            </w:r>
          </w:p>
        </w:tc>
        <w:tc>
          <w:tcPr>
            <w:tcW w:w="1511" w:type="dxa"/>
            <w:vAlign w:val="center"/>
          </w:tcPr>
          <w:p>
            <w:pPr>
              <w:autoSpaceDE w:val="0"/>
              <w:spacing w:line="240" w:lineRule="auto"/>
              <w:jc w:val="center"/>
              <w:rPr>
                <w:rFonts w:ascii="宋体" w:hAnsi="宋体"/>
                <w:sz w:val="18"/>
                <w:szCs w:val="18"/>
              </w:rPr>
            </w:pPr>
            <w:r>
              <w:rPr>
                <w:rFonts w:hint="eastAsia" w:ascii="宋体" w:hAnsi="宋体"/>
                <w:sz w:val="18"/>
                <w:szCs w:val="18"/>
              </w:rPr>
              <w:t>±5</w:t>
            </w:r>
          </w:p>
        </w:tc>
        <w:tc>
          <w:tcPr>
            <w:tcW w:w="4394" w:type="dxa"/>
            <w:vAlign w:val="center"/>
          </w:tcPr>
          <w:p>
            <w:pPr>
              <w:autoSpaceDE w:val="0"/>
              <w:spacing w:line="240" w:lineRule="auto"/>
              <w:ind w:firstLine="12" w:firstLineChars="7"/>
              <w:jc w:val="center"/>
              <w:rPr>
                <w:rFonts w:ascii="宋体" w:hAnsi="宋体"/>
                <w:sz w:val="18"/>
                <w:szCs w:val="18"/>
              </w:rPr>
            </w:pPr>
            <w:r>
              <w:rPr>
                <w:rFonts w:hint="eastAsia" w:ascii="宋体" w:hAnsi="宋体"/>
                <w:sz w:val="18"/>
                <w:szCs w:val="18"/>
              </w:rPr>
              <w:t>用尺量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wAfter w:w="0" w:type="auto"/>
          <w:trHeight w:val="340" w:hRule="atLeast"/>
          <w:jc w:val="center"/>
        </w:trPr>
        <w:tc>
          <w:tcPr>
            <w:tcW w:w="671" w:type="dxa"/>
            <w:gridSpan w:val="2"/>
            <w:vMerge w:val="continue"/>
            <w:vAlign w:val="center"/>
          </w:tcPr>
          <w:p>
            <w:pPr>
              <w:widowControl/>
              <w:spacing w:line="240" w:lineRule="auto"/>
              <w:jc w:val="left"/>
              <w:rPr>
                <w:rFonts w:ascii="宋体" w:hAnsi="宋体"/>
                <w:sz w:val="18"/>
                <w:szCs w:val="18"/>
              </w:rPr>
            </w:pPr>
          </w:p>
        </w:tc>
        <w:tc>
          <w:tcPr>
            <w:tcW w:w="943" w:type="dxa"/>
            <w:vMerge w:val="continue"/>
            <w:vAlign w:val="center"/>
          </w:tcPr>
          <w:p>
            <w:pPr>
              <w:widowControl/>
              <w:spacing w:line="240" w:lineRule="auto"/>
              <w:jc w:val="left"/>
              <w:rPr>
                <w:rFonts w:ascii="宋体" w:hAnsi="宋体"/>
                <w:sz w:val="18"/>
                <w:szCs w:val="18"/>
              </w:rPr>
            </w:pPr>
          </w:p>
        </w:tc>
        <w:tc>
          <w:tcPr>
            <w:tcW w:w="2503" w:type="dxa"/>
            <w:gridSpan w:val="3"/>
            <w:vAlign w:val="center"/>
          </w:tcPr>
          <w:p>
            <w:pPr>
              <w:autoSpaceDE w:val="0"/>
              <w:spacing w:line="240" w:lineRule="auto"/>
              <w:jc w:val="center"/>
              <w:rPr>
                <w:rFonts w:ascii="宋体" w:hAnsi="宋体"/>
                <w:sz w:val="18"/>
                <w:szCs w:val="18"/>
              </w:rPr>
            </w:pPr>
            <w:r>
              <w:rPr>
                <w:rFonts w:hint="eastAsia" w:ascii="宋体" w:hAnsi="宋体"/>
                <w:sz w:val="18"/>
                <w:szCs w:val="18"/>
              </w:rPr>
              <w:t>深度</w:t>
            </w:r>
          </w:p>
        </w:tc>
        <w:tc>
          <w:tcPr>
            <w:tcW w:w="1511" w:type="dxa"/>
            <w:vAlign w:val="center"/>
          </w:tcPr>
          <w:p>
            <w:pPr>
              <w:autoSpaceDE w:val="0"/>
              <w:spacing w:line="240" w:lineRule="auto"/>
              <w:jc w:val="center"/>
              <w:rPr>
                <w:rFonts w:ascii="宋体" w:hAnsi="宋体"/>
                <w:sz w:val="18"/>
                <w:szCs w:val="18"/>
              </w:rPr>
            </w:pPr>
            <w:r>
              <w:rPr>
                <w:rFonts w:hint="eastAsia" w:ascii="宋体" w:hAnsi="宋体"/>
                <w:sz w:val="18"/>
                <w:szCs w:val="18"/>
              </w:rPr>
              <w:t>±5</w:t>
            </w:r>
          </w:p>
        </w:tc>
        <w:tc>
          <w:tcPr>
            <w:tcW w:w="4394" w:type="dxa"/>
            <w:vAlign w:val="center"/>
          </w:tcPr>
          <w:p>
            <w:pPr>
              <w:autoSpaceDE w:val="0"/>
              <w:spacing w:line="240" w:lineRule="auto"/>
              <w:ind w:firstLine="12" w:firstLineChars="7"/>
              <w:jc w:val="center"/>
              <w:rPr>
                <w:rFonts w:ascii="宋体" w:hAnsi="宋体"/>
                <w:sz w:val="18"/>
                <w:szCs w:val="18"/>
              </w:rPr>
            </w:pPr>
            <w:r>
              <w:rPr>
                <w:rFonts w:hint="eastAsia" w:ascii="宋体" w:hAnsi="宋体"/>
                <w:sz w:val="18"/>
                <w:szCs w:val="18"/>
              </w:rPr>
              <w:t>用尺量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wAfter w:w="0" w:type="auto"/>
          <w:trHeight w:val="340" w:hRule="atLeast"/>
          <w:jc w:val="center"/>
        </w:trPr>
        <w:tc>
          <w:tcPr>
            <w:tcW w:w="671" w:type="dxa"/>
            <w:gridSpan w:val="2"/>
            <w:vMerge w:val="restart"/>
            <w:vAlign w:val="center"/>
          </w:tcPr>
          <w:p>
            <w:pPr>
              <w:autoSpaceDE w:val="0"/>
              <w:spacing w:line="240" w:lineRule="auto"/>
              <w:jc w:val="center"/>
              <w:rPr>
                <w:rFonts w:ascii="宋体" w:hAnsi="宋体"/>
                <w:sz w:val="18"/>
                <w:szCs w:val="18"/>
              </w:rPr>
            </w:pPr>
            <w:r>
              <w:rPr>
                <w:rFonts w:hint="eastAsia" w:ascii="宋体" w:hAnsi="宋体"/>
                <w:sz w:val="18"/>
                <w:szCs w:val="18"/>
              </w:rPr>
              <w:t>15</w:t>
            </w:r>
          </w:p>
        </w:tc>
        <w:tc>
          <w:tcPr>
            <w:tcW w:w="943" w:type="dxa"/>
            <w:vMerge w:val="restart"/>
            <w:vAlign w:val="center"/>
          </w:tcPr>
          <w:p>
            <w:pPr>
              <w:autoSpaceDE w:val="0"/>
              <w:spacing w:line="240" w:lineRule="auto"/>
              <w:jc w:val="center"/>
              <w:rPr>
                <w:rFonts w:ascii="宋体" w:hAnsi="宋体"/>
                <w:sz w:val="18"/>
                <w:szCs w:val="18"/>
              </w:rPr>
            </w:pPr>
            <w:r>
              <w:rPr>
                <w:rFonts w:hint="eastAsia" w:ascii="宋体" w:hAnsi="宋体"/>
                <w:sz w:val="18"/>
                <w:szCs w:val="18"/>
              </w:rPr>
              <w:t>预留金属波纹管及连接钢筋</w:t>
            </w:r>
          </w:p>
        </w:tc>
        <w:tc>
          <w:tcPr>
            <w:tcW w:w="2503" w:type="dxa"/>
            <w:gridSpan w:val="3"/>
            <w:vAlign w:val="center"/>
          </w:tcPr>
          <w:p>
            <w:pPr>
              <w:autoSpaceDE w:val="0"/>
              <w:spacing w:line="240" w:lineRule="auto"/>
              <w:jc w:val="center"/>
              <w:rPr>
                <w:rFonts w:ascii="宋体" w:hAnsi="宋体"/>
                <w:sz w:val="18"/>
                <w:szCs w:val="18"/>
              </w:rPr>
            </w:pPr>
            <w:r>
              <w:rPr>
                <w:rFonts w:hint="eastAsia" w:ascii="宋体" w:hAnsi="宋体"/>
                <w:sz w:val="18"/>
                <w:szCs w:val="18"/>
              </w:rPr>
              <w:t>金属波纹管中心线位置</w:t>
            </w:r>
          </w:p>
        </w:tc>
        <w:tc>
          <w:tcPr>
            <w:tcW w:w="1511" w:type="dxa"/>
            <w:vAlign w:val="center"/>
          </w:tcPr>
          <w:p>
            <w:pPr>
              <w:autoSpaceDE w:val="0"/>
              <w:spacing w:line="240" w:lineRule="auto"/>
              <w:jc w:val="center"/>
              <w:rPr>
                <w:rFonts w:ascii="宋体" w:hAnsi="宋体"/>
                <w:sz w:val="18"/>
                <w:szCs w:val="18"/>
              </w:rPr>
            </w:pPr>
            <w:r>
              <w:rPr>
                <w:rFonts w:hint="eastAsia" w:ascii="宋体" w:hAnsi="宋体"/>
                <w:sz w:val="18"/>
                <w:szCs w:val="18"/>
              </w:rPr>
              <w:t>2</w:t>
            </w:r>
          </w:p>
        </w:tc>
        <w:tc>
          <w:tcPr>
            <w:tcW w:w="4394" w:type="dxa"/>
            <w:vAlign w:val="center"/>
          </w:tcPr>
          <w:p>
            <w:pPr>
              <w:autoSpaceDE w:val="0"/>
              <w:spacing w:line="240" w:lineRule="auto"/>
              <w:ind w:firstLine="12" w:firstLineChars="7"/>
              <w:jc w:val="center"/>
              <w:rPr>
                <w:rFonts w:ascii="宋体" w:hAnsi="宋体"/>
                <w:sz w:val="18"/>
                <w:szCs w:val="18"/>
              </w:rPr>
            </w:pPr>
            <w:r>
              <w:rPr>
                <w:rFonts w:hint="eastAsia" w:ascii="宋体" w:hAnsi="宋体"/>
                <w:sz w:val="18"/>
                <w:szCs w:val="18"/>
              </w:rPr>
              <w:t>用尺量测纵横两个方向的中心线位置，取其中较大值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wAfter w:w="0" w:type="auto"/>
          <w:trHeight w:val="870" w:hRule="atLeast"/>
          <w:jc w:val="center"/>
        </w:trPr>
        <w:tc>
          <w:tcPr>
            <w:tcW w:w="671" w:type="dxa"/>
            <w:gridSpan w:val="2"/>
            <w:vMerge w:val="continue"/>
            <w:tcBorders>
              <w:bottom w:val="single" w:color="auto" w:sz="12" w:space="0"/>
            </w:tcBorders>
            <w:vAlign w:val="center"/>
          </w:tcPr>
          <w:p>
            <w:pPr>
              <w:widowControl/>
              <w:spacing w:line="240" w:lineRule="auto"/>
              <w:jc w:val="left"/>
              <w:rPr>
                <w:rFonts w:ascii="宋体" w:hAnsi="宋体"/>
                <w:sz w:val="18"/>
                <w:szCs w:val="18"/>
              </w:rPr>
            </w:pPr>
          </w:p>
        </w:tc>
        <w:tc>
          <w:tcPr>
            <w:tcW w:w="943" w:type="dxa"/>
            <w:vMerge w:val="continue"/>
            <w:tcBorders>
              <w:bottom w:val="single" w:color="auto" w:sz="12" w:space="0"/>
            </w:tcBorders>
            <w:vAlign w:val="center"/>
          </w:tcPr>
          <w:p>
            <w:pPr>
              <w:widowControl/>
              <w:spacing w:line="240" w:lineRule="auto"/>
              <w:jc w:val="left"/>
              <w:rPr>
                <w:rFonts w:ascii="宋体" w:hAnsi="宋体"/>
                <w:sz w:val="18"/>
                <w:szCs w:val="18"/>
              </w:rPr>
            </w:pPr>
          </w:p>
        </w:tc>
        <w:tc>
          <w:tcPr>
            <w:tcW w:w="2503" w:type="dxa"/>
            <w:gridSpan w:val="3"/>
            <w:tcBorders>
              <w:bottom w:val="single" w:color="auto" w:sz="12" w:space="0"/>
            </w:tcBorders>
            <w:vAlign w:val="center"/>
          </w:tcPr>
          <w:p>
            <w:pPr>
              <w:autoSpaceDE w:val="0"/>
              <w:spacing w:line="240" w:lineRule="auto"/>
              <w:jc w:val="center"/>
              <w:rPr>
                <w:rFonts w:ascii="宋体" w:hAnsi="宋体"/>
                <w:sz w:val="18"/>
                <w:szCs w:val="18"/>
              </w:rPr>
            </w:pPr>
            <w:r>
              <w:rPr>
                <w:rFonts w:hint="eastAsia" w:ascii="宋体" w:hAnsi="宋体"/>
                <w:sz w:val="18"/>
                <w:szCs w:val="18"/>
              </w:rPr>
              <w:t>连接钢筋外露长度</w:t>
            </w:r>
          </w:p>
        </w:tc>
        <w:tc>
          <w:tcPr>
            <w:tcW w:w="1511" w:type="dxa"/>
            <w:tcBorders>
              <w:bottom w:val="single" w:color="auto" w:sz="12" w:space="0"/>
            </w:tcBorders>
            <w:vAlign w:val="center"/>
          </w:tcPr>
          <w:p>
            <w:pPr>
              <w:autoSpaceDE w:val="0"/>
              <w:spacing w:line="240" w:lineRule="auto"/>
              <w:jc w:val="center"/>
              <w:rPr>
                <w:rFonts w:ascii="宋体" w:hAnsi="宋体"/>
                <w:sz w:val="18"/>
                <w:szCs w:val="18"/>
              </w:rPr>
            </w:pPr>
            <w:r>
              <w:rPr>
                <w:rFonts w:hint="eastAsia" w:ascii="宋体" w:hAnsi="宋体"/>
                <w:sz w:val="18"/>
                <w:szCs w:val="18"/>
              </w:rPr>
              <w:t>+10，0</w:t>
            </w:r>
          </w:p>
        </w:tc>
        <w:tc>
          <w:tcPr>
            <w:tcW w:w="4394" w:type="dxa"/>
            <w:tcBorders>
              <w:bottom w:val="single" w:color="auto" w:sz="12" w:space="0"/>
            </w:tcBorders>
            <w:vAlign w:val="center"/>
          </w:tcPr>
          <w:p>
            <w:pPr>
              <w:autoSpaceDE w:val="0"/>
              <w:spacing w:line="240" w:lineRule="auto"/>
              <w:ind w:firstLine="12" w:firstLineChars="7"/>
              <w:jc w:val="center"/>
              <w:rPr>
                <w:rFonts w:ascii="宋体" w:hAnsi="宋体"/>
                <w:sz w:val="18"/>
                <w:szCs w:val="18"/>
              </w:rPr>
            </w:pPr>
            <w:r>
              <w:rPr>
                <w:rFonts w:hint="eastAsia" w:ascii="宋体" w:hAnsi="宋体"/>
                <w:sz w:val="18"/>
                <w:szCs w:val="18"/>
              </w:rPr>
              <w:t>用尺量</w:t>
            </w:r>
          </w:p>
        </w:tc>
      </w:tr>
    </w:tbl>
    <w:p>
      <w:pPr>
        <w:pStyle w:val="58"/>
        <w:ind w:firstLine="0" w:firstLineChars="0"/>
      </w:pPr>
    </w:p>
    <w:p>
      <w:pPr>
        <w:pStyle w:val="58"/>
        <w:ind w:firstLine="0" w:firstLineChars="0"/>
      </w:pPr>
    </w:p>
    <w:p>
      <w:pPr>
        <w:pStyle w:val="58"/>
        <w:ind w:firstLine="0" w:firstLineChars="0"/>
      </w:pPr>
    </w:p>
    <w:p>
      <w:pPr>
        <w:pStyle w:val="58"/>
        <w:ind w:firstLine="0" w:firstLineChars="0"/>
      </w:pPr>
    </w:p>
    <w:p>
      <w:pPr>
        <w:pStyle w:val="58"/>
        <w:ind w:firstLine="0" w:firstLineChars="0"/>
      </w:pPr>
    </w:p>
    <w:p>
      <w:pPr>
        <w:pStyle w:val="58"/>
        <w:ind w:firstLine="0" w:firstLineChars="0"/>
      </w:pPr>
    </w:p>
    <w:p>
      <w:pPr>
        <w:pStyle w:val="58"/>
        <w:spacing w:before="156" w:beforeLines="50" w:after="156" w:afterLines="50"/>
        <w:ind w:firstLine="0" w:firstLineChars="0"/>
        <w:jc w:val="center"/>
        <w:rPr>
          <w:rFonts w:ascii="黑体" w:hAnsi="黑体" w:eastAsia="黑体"/>
        </w:rPr>
      </w:pPr>
      <w:r>
        <w:rPr>
          <w:rFonts w:hint="eastAsia" w:ascii="黑体" w:hAnsi="黑体" w:eastAsia="黑体"/>
        </w:rPr>
        <w:t>表</w:t>
      </w:r>
      <w:r>
        <w:rPr>
          <w:rFonts w:ascii="黑体" w:hAnsi="黑体" w:eastAsia="黑体"/>
        </w:rPr>
        <w:t>1</w:t>
      </w:r>
      <w:r>
        <w:rPr>
          <w:rFonts w:hint="eastAsia" w:ascii="黑体" w:hAnsi="黑体" w:eastAsia="黑体"/>
        </w:rPr>
        <w:t>3 预制楼板类构件外形尺寸允许偏差及检验方法</w:t>
      </w:r>
    </w:p>
    <w:tbl>
      <w:tblPr>
        <w:tblStyle w:val="27"/>
        <w:tblW w:w="10117"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18"/>
        <w:gridCol w:w="7"/>
        <w:gridCol w:w="562"/>
        <w:gridCol w:w="992"/>
        <w:gridCol w:w="2172"/>
        <w:gridCol w:w="1418"/>
        <w:gridCol w:w="434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25" w:type="dxa"/>
            <w:gridSpan w:val="2"/>
            <w:tcBorders>
              <w:top w:val="single" w:color="auto" w:sz="12" w:space="0"/>
              <w:left w:val="single" w:color="auto" w:sz="12" w:space="0"/>
              <w:bottom w:val="single" w:color="auto" w:sz="12"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项次</w:t>
            </w:r>
          </w:p>
        </w:tc>
        <w:tc>
          <w:tcPr>
            <w:tcW w:w="3726" w:type="dxa"/>
            <w:gridSpan w:val="3"/>
            <w:tcBorders>
              <w:top w:val="single" w:color="auto" w:sz="12" w:space="0"/>
              <w:left w:val="single" w:color="auto" w:sz="4" w:space="0"/>
              <w:bottom w:val="single" w:color="auto" w:sz="12"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检查项目</w:t>
            </w:r>
          </w:p>
        </w:tc>
        <w:tc>
          <w:tcPr>
            <w:tcW w:w="1418" w:type="dxa"/>
            <w:tcBorders>
              <w:top w:val="single" w:color="auto" w:sz="12" w:space="0"/>
              <w:left w:val="single" w:color="auto" w:sz="4" w:space="0"/>
              <w:bottom w:val="single" w:color="auto" w:sz="12"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允许偏差（mm）</w:t>
            </w:r>
          </w:p>
        </w:tc>
        <w:tc>
          <w:tcPr>
            <w:tcW w:w="4348" w:type="dxa"/>
            <w:tcBorders>
              <w:top w:val="single" w:color="auto" w:sz="12" w:space="0"/>
              <w:left w:val="single" w:color="auto" w:sz="4" w:space="0"/>
              <w:bottom w:val="single" w:color="auto" w:sz="12" w:space="0"/>
              <w:right w:val="single" w:color="auto" w:sz="12" w:space="0"/>
            </w:tcBorders>
            <w:vAlign w:val="center"/>
          </w:tcPr>
          <w:p>
            <w:pPr>
              <w:autoSpaceDE w:val="0"/>
              <w:spacing w:line="240" w:lineRule="auto"/>
              <w:jc w:val="center"/>
              <w:rPr>
                <w:rFonts w:ascii="宋体" w:hAnsi="宋体"/>
                <w:sz w:val="18"/>
                <w:szCs w:val="18"/>
              </w:rPr>
            </w:pPr>
            <w:r>
              <w:rPr>
                <w:rFonts w:hint="eastAsia" w:ascii="宋体" w:hAnsi="宋体"/>
                <w:sz w:val="18"/>
                <w:szCs w:val="18"/>
              </w:rPr>
              <w:t>检验方法</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25" w:type="dxa"/>
            <w:gridSpan w:val="2"/>
            <w:vMerge w:val="restart"/>
            <w:tcBorders>
              <w:top w:val="single" w:color="auto" w:sz="12" w:space="0"/>
              <w:left w:val="single" w:color="auto" w:sz="12"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1</w:t>
            </w:r>
          </w:p>
        </w:tc>
        <w:tc>
          <w:tcPr>
            <w:tcW w:w="562" w:type="dxa"/>
            <w:vMerge w:val="restart"/>
            <w:tcBorders>
              <w:top w:val="single" w:color="auto" w:sz="12"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规格尺寸</w:t>
            </w:r>
          </w:p>
        </w:tc>
        <w:tc>
          <w:tcPr>
            <w:tcW w:w="992" w:type="dxa"/>
            <w:vMerge w:val="restart"/>
            <w:tcBorders>
              <w:top w:val="single" w:color="auto" w:sz="12"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长度</w:t>
            </w:r>
          </w:p>
        </w:tc>
        <w:tc>
          <w:tcPr>
            <w:tcW w:w="2172" w:type="dxa"/>
            <w:tcBorders>
              <w:top w:val="single" w:color="auto" w:sz="12"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＜12m</w:t>
            </w:r>
          </w:p>
        </w:tc>
        <w:tc>
          <w:tcPr>
            <w:tcW w:w="1418" w:type="dxa"/>
            <w:tcBorders>
              <w:top w:val="single" w:color="auto" w:sz="12"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±5</w:t>
            </w:r>
          </w:p>
        </w:tc>
        <w:tc>
          <w:tcPr>
            <w:tcW w:w="4348" w:type="dxa"/>
            <w:vMerge w:val="restart"/>
            <w:tcBorders>
              <w:top w:val="single" w:color="auto" w:sz="12" w:space="0"/>
              <w:left w:val="single" w:color="auto" w:sz="4" w:space="0"/>
              <w:bottom w:val="single" w:color="auto" w:sz="4" w:space="0"/>
              <w:right w:val="single" w:color="auto" w:sz="12" w:space="0"/>
            </w:tcBorders>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用尺量两端及中间部，取其中偏差绝对值较大值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25" w:type="dxa"/>
            <w:gridSpan w:val="2"/>
            <w:vMerge w:val="continue"/>
            <w:tcBorders>
              <w:top w:val="single" w:color="auto" w:sz="4" w:space="0"/>
              <w:left w:val="single" w:color="auto" w:sz="12"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562"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992"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2172"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≥12m且＜18m</w:t>
            </w:r>
          </w:p>
        </w:tc>
        <w:tc>
          <w:tcPr>
            <w:tcW w:w="1418"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±10</w:t>
            </w:r>
          </w:p>
        </w:tc>
        <w:tc>
          <w:tcPr>
            <w:tcW w:w="4348" w:type="dxa"/>
            <w:vMerge w:val="continue"/>
            <w:tcBorders>
              <w:top w:val="single" w:color="auto" w:sz="4" w:space="0"/>
              <w:left w:val="single" w:color="auto" w:sz="4" w:space="0"/>
              <w:bottom w:val="single" w:color="auto" w:sz="4" w:space="0"/>
              <w:right w:val="single" w:color="auto" w:sz="12" w:space="0"/>
            </w:tcBorders>
            <w:vAlign w:val="center"/>
          </w:tcPr>
          <w:p>
            <w:pPr>
              <w:widowControl/>
              <w:spacing w:line="240" w:lineRule="auto"/>
              <w:jc w:val="left"/>
              <w:rPr>
                <w:rFonts w:ascii="宋体" w:hAnsi="宋体"/>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25" w:type="dxa"/>
            <w:gridSpan w:val="2"/>
            <w:vMerge w:val="continue"/>
            <w:tcBorders>
              <w:top w:val="single" w:color="auto" w:sz="4" w:space="0"/>
              <w:left w:val="single" w:color="auto" w:sz="12"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562"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992"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2172"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≥18m</w:t>
            </w:r>
          </w:p>
        </w:tc>
        <w:tc>
          <w:tcPr>
            <w:tcW w:w="1418"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±20</w:t>
            </w:r>
          </w:p>
        </w:tc>
        <w:tc>
          <w:tcPr>
            <w:tcW w:w="4348" w:type="dxa"/>
            <w:vMerge w:val="continue"/>
            <w:tcBorders>
              <w:top w:val="single" w:color="auto" w:sz="4" w:space="0"/>
              <w:left w:val="single" w:color="auto" w:sz="4" w:space="0"/>
              <w:bottom w:val="single" w:color="auto" w:sz="4" w:space="0"/>
              <w:right w:val="single" w:color="auto" w:sz="12" w:space="0"/>
            </w:tcBorders>
            <w:vAlign w:val="center"/>
          </w:tcPr>
          <w:p>
            <w:pPr>
              <w:widowControl/>
              <w:spacing w:line="240" w:lineRule="auto"/>
              <w:jc w:val="left"/>
              <w:rPr>
                <w:rFonts w:ascii="宋体" w:hAnsi="宋体"/>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25" w:type="dxa"/>
            <w:gridSpan w:val="2"/>
            <w:tcBorders>
              <w:top w:val="single" w:color="auto" w:sz="4" w:space="0"/>
              <w:left w:val="single" w:color="auto" w:sz="12"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2</w:t>
            </w:r>
          </w:p>
        </w:tc>
        <w:tc>
          <w:tcPr>
            <w:tcW w:w="562"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3164" w:type="dxa"/>
            <w:gridSpan w:val="2"/>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宽度</w:t>
            </w:r>
          </w:p>
        </w:tc>
        <w:tc>
          <w:tcPr>
            <w:tcW w:w="1418"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±5</w:t>
            </w:r>
          </w:p>
        </w:tc>
        <w:tc>
          <w:tcPr>
            <w:tcW w:w="4348" w:type="dxa"/>
            <w:tcBorders>
              <w:top w:val="single" w:color="auto" w:sz="4" w:space="0"/>
              <w:left w:val="single" w:color="auto" w:sz="4" w:space="0"/>
              <w:bottom w:val="single" w:color="auto" w:sz="4" w:space="0"/>
              <w:right w:val="single" w:color="auto" w:sz="12" w:space="0"/>
            </w:tcBorders>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用尺量两端及中间部，取其中偏差绝对值较大值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25" w:type="dxa"/>
            <w:gridSpan w:val="2"/>
            <w:tcBorders>
              <w:top w:val="single" w:color="auto" w:sz="4" w:space="0"/>
              <w:left w:val="single" w:color="auto" w:sz="12"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3</w:t>
            </w:r>
          </w:p>
        </w:tc>
        <w:tc>
          <w:tcPr>
            <w:tcW w:w="562"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3164" w:type="dxa"/>
            <w:gridSpan w:val="2"/>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厚度</w:t>
            </w:r>
          </w:p>
        </w:tc>
        <w:tc>
          <w:tcPr>
            <w:tcW w:w="1418"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±5</w:t>
            </w:r>
          </w:p>
        </w:tc>
        <w:tc>
          <w:tcPr>
            <w:tcW w:w="4348" w:type="dxa"/>
            <w:tcBorders>
              <w:top w:val="single" w:color="auto" w:sz="4" w:space="0"/>
              <w:left w:val="single" w:color="auto" w:sz="4" w:space="0"/>
              <w:bottom w:val="single" w:color="auto" w:sz="4" w:space="0"/>
              <w:right w:val="single" w:color="auto" w:sz="12" w:space="0"/>
            </w:tcBorders>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用尺量板四角和四边中部位置共8处，取其中偏差绝对值较大值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25" w:type="dxa"/>
            <w:gridSpan w:val="2"/>
            <w:tcBorders>
              <w:top w:val="single" w:color="auto" w:sz="4" w:space="0"/>
              <w:left w:val="single" w:color="auto" w:sz="12"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4</w:t>
            </w:r>
          </w:p>
        </w:tc>
        <w:tc>
          <w:tcPr>
            <w:tcW w:w="3726" w:type="dxa"/>
            <w:gridSpan w:val="3"/>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对角线差</w:t>
            </w:r>
          </w:p>
        </w:tc>
        <w:tc>
          <w:tcPr>
            <w:tcW w:w="1418"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6</w:t>
            </w:r>
          </w:p>
        </w:tc>
        <w:tc>
          <w:tcPr>
            <w:tcW w:w="4348" w:type="dxa"/>
            <w:tcBorders>
              <w:top w:val="single" w:color="auto" w:sz="4" w:space="0"/>
              <w:left w:val="single" w:color="auto" w:sz="4" w:space="0"/>
              <w:bottom w:val="single" w:color="auto" w:sz="4" w:space="0"/>
              <w:right w:val="single" w:color="auto" w:sz="12" w:space="0"/>
            </w:tcBorders>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在构件表面，用尺量测两对角线的长度，取其绝对值的差值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25" w:type="dxa"/>
            <w:gridSpan w:val="2"/>
            <w:vMerge w:val="restart"/>
            <w:tcBorders>
              <w:top w:val="single" w:color="auto" w:sz="4" w:space="0"/>
              <w:left w:val="single" w:color="auto" w:sz="12"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5</w:t>
            </w:r>
          </w:p>
        </w:tc>
        <w:tc>
          <w:tcPr>
            <w:tcW w:w="562" w:type="dxa"/>
            <w:vMerge w:val="restart"/>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外形</w:t>
            </w:r>
          </w:p>
        </w:tc>
        <w:tc>
          <w:tcPr>
            <w:tcW w:w="992" w:type="dxa"/>
            <w:vMerge w:val="restart"/>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表面</w:t>
            </w:r>
          </w:p>
          <w:p>
            <w:pPr>
              <w:autoSpaceDE w:val="0"/>
              <w:spacing w:line="240" w:lineRule="auto"/>
              <w:jc w:val="center"/>
              <w:rPr>
                <w:rFonts w:ascii="宋体" w:hAnsi="宋体"/>
                <w:sz w:val="18"/>
                <w:szCs w:val="18"/>
              </w:rPr>
            </w:pPr>
            <w:r>
              <w:rPr>
                <w:rFonts w:hint="eastAsia" w:ascii="宋体" w:hAnsi="宋体"/>
                <w:sz w:val="18"/>
                <w:szCs w:val="18"/>
              </w:rPr>
              <w:t>平整度</w:t>
            </w:r>
          </w:p>
        </w:tc>
        <w:tc>
          <w:tcPr>
            <w:tcW w:w="2172"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内表面</w:t>
            </w:r>
          </w:p>
        </w:tc>
        <w:tc>
          <w:tcPr>
            <w:tcW w:w="1418"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4</w:t>
            </w:r>
          </w:p>
        </w:tc>
        <w:tc>
          <w:tcPr>
            <w:tcW w:w="4348" w:type="dxa"/>
            <w:vMerge w:val="restart"/>
            <w:tcBorders>
              <w:top w:val="single" w:color="auto" w:sz="4" w:space="0"/>
              <w:left w:val="single" w:color="auto" w:sz="4" w:space="0"/>
              <w:bottom w:val="single" w:color="auto" w:sz="4" w:space="0"/>
              <w:right w:val="single" w:color="auto" w:sz="12" w:space="0"/>
            </w:tcBorders>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用2m靠尺安放在构件表面上，用楔形塞尺量测靠尺与表面之间的最大缝隙</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25" w:type="dxa"/>
            <w:gridSpan w:val="2"/>
            <w:vMerge w:val="continue"/>
            <w:tcBorders>
              <w:top w:val="single" w:color="auto" w:sz="4" w:space="0"/>
              <w:left w:val="single" w:color="auto" w:sz="12"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562"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992"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2172"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外表面</w:t>
            </w:r>
          </w:p>
        </w:tc>
        <w:tc>
          <w:tcPr>
            <w:tcW w:w="1418"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3</w:t>
            </w:r>
          </w:p>
        </w:tc>
        <w:tc>
          <w:tcPr>
            <w:tcW w:w="4348" w:type="dxa"/>
            <w:vMerge w:val="continue"/>
            <w:tcBorders>
              <w:top w:val="single" w:color="auto" w:sz="4" w:space="0"/>
              <w:left w:val="single" w:color="auto" w:sz="4" w:space="0"/>
              <w:bottom w:val="single" w:color="auto" w:sz="4" w:space="0"/>
              <w:right w:val="single" w:color="auto" w:sz="12" w:space="0"/>
            </w:tcBorders>
            <w:vAlign w:val="center"/>
          </w:tcPr>
          <w:p>
            <w:pPr>
              <w:widowControl/>
              <w:spacing w:line="240" w:lineRule="auto"/>
              <w:jc w:val="left"/>
              <w:rPr>
                <w:rFonts w:ascii="宋体" w:hAnsi="宋体"/>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25" w:type="dxa"/>
            <w:gridSpan w:val="2"/>
            <w:tcBorders>
              <w:top w:val="single" w:color="auto" w:sz="4" w:space="0"/>
              <w:left w:val="single" w:color="auto" w:sz="12"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6</w:t>
            </w:r>
          </w:p>
        </w:tc>
        <w:tc>
          <w:tcPr>
            <w:tcW w:w="562"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3164" w:type="dxa"/>
            <w:gridSpan w:val="2"/>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楼板侧向弯曲</w:t>
            </w:r>
          </w:p>
        </w:tc>
        <w:tc>
          <w:tcPr>
            <w:tcW w:w="1418"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i/>
                <w:iCs/>
                <w:sz w:val="18"/>
                <w:szCs w:val="18"/>
              </w:rPr>
              <w:t>L</w:t>
            </w:r>
            <w:r>
              <w:rPr>
                <w:rFonts w:hint="eastAsia" w:ascii="宋体" w:hAnsi="宋体"/>
                <w:sz w:val="18"/>
                <w:szCs w:val="18"/>
              </w:rPr>
              <w:t>/750且≤20mm</w:t>
            </w:r>
          </w:p>
        </w:tc>
        <w:tc>
          <w:tcPr>
            <w:tcW w:w="4348" w:type="dxa"/>
            <w:tcBorders>
              <w:top w:val="single" w:color="auto" w:sz="4" w:space="0"/>
              <w:left w:val="single" w:color="auto" w:sz="4" w:space="0"/>
              <w:bottom w:val="single" w:color="auto" w:sz="4" w:space="0"/>
              <w:right w:val="single" w:color="auto" w:sz="12" w:space="0"/>
            </w:tcBorders>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拉线，钢尺量最大弯曲处</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25" w:type="dxa"/>
            <w:gridSpan w:val="2"/>
            <w:tcBorders>
              <w:top w:val="single" w:color="auto" w:sz="4" w:space="0"/>
              <w:left w:val="single" w:color="auto" w:sz="12"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7</w:t>
            </w:r>
          </w:p>
        </w:tc>
        <w:tc>
          <w:tcPr>
            <w:tcW w:w="562"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3164" w:type="dxa"/>
            <w:gridSpan w:val="2"/>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扭翘</w:t>
            </w:r>
          </w:p>
        </w:tc>
        <w:tc>
          <w:tcPr>
            <w:tcW w:w="1418"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i/>
                <w:iCs/>
                <w:sz w:val="18"/>
                <w:szCs w:val="18"/>
              </w:rPr>
            </w:pPr>
            <w:r>
              <w:rPr>
                <w:rFonts w:hint="eastAsia" w:ascii="宋体" w:hAnsi="宋体"/>
                <w:i/>
                <w:iCs/>
                <w:sz w:val="18"/>
                <w:szCs w:val="18"/>
              </w:rPr>
              <w:t>L</w:t>
            </w:r>
            <w:r>
              <w:rPr>
                <w:rFonts w:hint="eastAsia" w:ascii="宋体" w:hAnsi="宋体"/>
                <w:sz w:val="18"/>
                <w:szCs w:val="18"/>
              </w:rPr>
              <w:t>/750</w:t>
            </w:r>
          </w:p>
        </w:tc>
        <w:tc>
          <w:tcPr>
            <w:tcW w:w="4348" w:type="dxa"/>
            <w:tcBorders>
              <w:top w:val="single" w:color="auto" w:sz="4" w:space="0"/>
              <w:left w:val="single" w:color="auto" w:sz="4" w:space="0"/>
              <w:bottom w:val="single" w:color="auto" w:sz="4" w:space="0"/>
              <w:right w:val="single" w:color="auto" w:sz="12" w:space="0"/>
            </w:tcBorders>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四对角拉两条线，量测两线交点之间的距离，其值的2倍为扭翘值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25" w:type="dxa"/>
            <w:gridSpan w:val="2"/>
            <w:vMerge w:val="restart"/>
            <w:tcBorders>
              <w:top w:val="single" w:color="auto" w:sz="4" w:space="0"/>
              <w:left w:val="single" w:color="auto" w:sz="12"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8</w:t>
            </w:r>
          </w:p>
        </w:tc>
        <w:tc>
          <w:tcPr>
            <w:tcW w:w="562" w:type="dxa"/>
            <w:vMerge w:val="restart"/>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预埋部件</w:t>
            </w:r>
          </w:p>
        </w:tc>
        <w:tc>
          <w:tcPr>
            <w:tcW w:w="992" w:type="dxa"/>
            <w:vMerge w:val="restart"/>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预埋钢板</w:t>
            </w:r>
          </w:p>
        </w:tc>
        <w:tc>
          <w:tcPr>
            <w:tcW w:w="2172"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中心线位置偏差</w:t>
            </w:r>
          </w:p>
        </w:tc>
        <w:tc>
          <w:tcPr>
            <w:tcW w:w="1418"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5</w:t>
            </w:r>
          </w:p>
        </w:tc>
        <w:tc>
          <w:tcPr>
            <w:tcW w:w="4348" w:type="dxa"/>
            <w:tcBorders>
              <w:top w:val="single" w:color="auto" w:sz="4" w:space="0"/>
              <w:left w:val="single" w:color="auto" w:sz="4" w:space="0"/>
              <w:bottom w:val="single" w:color="auto" w:sz="4" w:space="0"/>
              <w:right w:val="single" w:color="auto" w:sz="12" w:space="0"/>
            </w:tcBorders>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用尺量测纵横两个方向的中心线位置，取其中较大值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25" w:type="dxa"/>
            <w:gridSpan w:val="2"/>
            <w:vMerge w:val="continue"/>
            <w:tcBorders>
              <w:top w:val="single" w:color="auto" w:sz="4" w:space="0"/>
              <w:left w:val="single" w:color="auto" w:sz="12"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562"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992"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2172"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平面高差</w:t>
            </w:r>
          </w:p>
        </w:tc>
        <w:tc>
          <w:tcPr>
            <w:tcW w:w="1418"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0，-5</w:t>
            </w:r>
          </w:p>
        </w:tc>
        <w:tc>
          <w:tcPr>
            <w:tcW w:w="4348" w:type="dxa"/>
            <w:tcBorders>
              <w:top w:val="single" w:color="auto" w:sz="4" w:space="0"/>
              <w:left w:val="single" w:color="auto" w:sz="4" w:space="0"/>
              <w:bottom w:val="single" w:color="auto" w:sz="4" w:space="0"/>
              <w:right w:val="single" w:color="auto" w:sz="12" w:space="0"/>
            </w:tcBorders>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用尺紧靠在预埋件上，用楔形塞尺量测预埋件平面与混凝土面的最大缝隙</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25" w:type="dxa"/>
            <w:gridSpan w:val="2"/>
            <w:vMerge w:val="restart"/>
            <w:tcBorders>
              <w:top w:val="single" w:color="auto" w:sz="4" w:space="0"/>
              <w:left w:val="single" w:color="auto" w:sz="12"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9</w:t>
            </w:r>
          </w:p>
        </w:tc>
        <w:tc>
          <w:tcPr>
            <w:tcW w:w="562"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992" w:type="dxa"/>
            <w:vMerge w:val="restart"/>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预埋螺栓</w:t>
            </w:r>
          </w:p>
        </w:tc>
        <w:tc>
          <w:tcPr>
            <w:tcW w:w="2172"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中心线位置偏移</w:t>
            </w:r>
          </w:p>
        </w:tc>
        <w:tc>
          <w:tcPr>
            <w:tcW w:w="1418"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2</w:t>
            </w:r>
          </w:p>
        </w:tc>
        <w:tc>
          <w:tcPr>
            <w:tcW w:w="4348" w:type="dxa"/>
            <w:tcBorders>
              <w:top w:val="single" w:color="auto" w:sz="4" w:space="0"/>
              <w:left w:val="single" w:color="auto" w:sz="4" w:space="0"/>
              <w:bottom w:val="single" w:color="auto" w:sz="4" w:space="0"/>
              <w:right w:val="single" w:color="auto" w:sz="12" w:space="0"/>
            </w:tcBorders>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用尺量测纵横两个方向的中心线位置，取其中较大值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25" w:type="dxa"/>
            <w:gridSpan w:val="2"/>
            <w:vMerge w:val="continue"/>
            <w:tcBorders>
              <w:top w:val="single" w:color="auto" w:sz="4" w:space="0"/>
              <w:left w:val="single" w:color="auto" w:sz="12"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562"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992"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2172"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外露长度</w:t>
            </w:r>
          </w:p>
        </w:tc>
        <w:tc>
          <w:tcPr>
            <w:tcW w:w="1418"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+10，-5</w:t>
            </w:r>
          </w:p>
        </w:tc>
        <w:tc>
          <w:tcPr>
            <w:tcW w:w="4348" w:type="dxa"/>
            <w:tcBorders>
              <w:top w:val="single" w:color="auto" w:sz="4" w:space="0"/>
              <w:left w:val="single" w:color="auto" w:sz="4" w:space="0"/>
              <w:bottom w:val="single" w:color="auto" w:sz="4" w:space="0"/>
              <w:right w:val="single" w:color="auto" w:sz="12" w:space="0"/>
            </w:tcBorders>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用尺量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25" w:type="dxa"/>
            <w:gridSpan w:val="2"/>
            <w:vMerge w:val="restart"/>
            <w:tcBorders>
              <w:top w:val="single" w:color="auto" w:sz="4" w:space="0"/>
              <w:left w:val="single" w:color="auto" w:sz="12"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10</w:t>
            </w:r>
          </w:p>
        </w:tc>
        <w:tc>
          <w:tcPr>
            <w:tcW w:w="562"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992" w:type="dxa"/>
            <w:vMerge w:val="restart"/>
            <w:tcBorders>
              <w:top w:val="single" w:color="auto" w:sz="4" w:space="0"/>
              <w:left w:val="single" w:color="auto" w:sz="4" w:space="0"/>
              <w:bottom w:val="single" w:color="auto" w:sz="4" w:space="0"/>
              <w:right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预埋线盒、电盒</w:t>
            </w:r>
          </w:p>
        </w:tc>
        <w:tc>
          <w:tcPr>
            <w:tcW w:w="2172"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在构件平面的水平方向中心线位置偏差</w:t>
            </w:r>
          </w:p>
        </w:tc>
        <w:tc>
          <w:tcPr>
            <w:tcW w:w="1418"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10</w:t>
            </w:r>
          </w:p>
        </w:tc>
        <w:tc>
          <w:tcPr>
            <w:tcW w:w="4348" w:type="dxa"/>
            <w:tcBorders>
              <w:top w:val="single" w:color="auto" w:sz="4" w:space="0"/>
              <w:left w:val="single" w:color="auto" w:sz="4" w:space="0"/>
              <w:bottom w:val="single" w:color="auto" w:sz="4" w:space="0"/>
              <w:right w:val="single" w:color="auto" w:sz="12" w:space="0"/>
            </w:tcBorders>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用尺量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25" w:type="dxa"/>
            <w:gridSpan w:val="2"/>
            <w:vMerge w:val="continue"/>
            <w:tcBorders>
              <w:top w:val="single" w:color="auto" w:sz="4" w:space="0"/>
              <w:left w:val="single" w:color="auto" w:sz="12"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562"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992"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jc w:val="left"/>
              <w:rPr>
                <w:rFonts w:ascii="宋体" w:hAnsi="宋体"/>
                <w:sz w:val="18"/>
                <w:szCs w:val="18"/>
              </w:rPr>
            </w:pPr>
          </w:p>
        </w:tc>
        <w:tc>
          <w:tcPr>
            <w:tcW w:w="2172"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与构件表面混凝土高差</w:t>
            </w:r>
          </w:p>
        </w:tc>
        <w:tc>
          <w:tcPr>
            <w:tcW w:w="1418"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0，-5</w:t>
            </w:r>
          </w:p>
        </w:tc>
        <w:tc>
          <w:tcPr>
            <w:tcW w:w="4348" w:type="dxa"/>
            <w:tcBorders>
              <w:top w:val="single" w:color="auto" w:sz="4" w:space="0"/>
              <w:left w:val="single" w:color="auto" w:sz="4" w:space="0"/>
              <w:bottom w:val="single" w:color="auto" w:sz="4" w:space="0"/>
              <w:right w:val="single" w:color="auto" w:sz="12" w:space="0"/>
            </w:tcBorders>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用尺量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wAfter w:w="0" w:type="auto"/>
          <w:trHeight w:val="340" w:hRule="atLeast"/>
          <w:jc w:val="center"/>
        </w:trPr>
        <w:tc>
          <w:tcPr>
            <w:tcW w:w="618" w:type="dxa"/>
            <w:vMerge w:val="restart"/>
            <w:tcBorders>
              <w:top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11</w:t>
            </w:r>
          </w:p>
        </w:tc>
        <w:tc>
          <w:tcPr>
            <w:tcW w:w="1561" w:type="dxa"/>
            <w:gridSpan w:val="3"/>
            <w:vMerge w:val="restart"/>
            <w:tcBorders>
              <w:top w:val="single" w:color="auto" w:sz="4" w:space="0"/>
            </w:tcBorders>
            <w:vAlign w:val="center"/>
          </w:tcPr>
          <w:p>
            <w:pPr>
              <w:autoSpaceDE w:val="0"/>
              <w:spacing w:line="240" w:lineRule="auto"/>
              <w:jc w:val="center"/>
              <w:rPr>
                <w:rFonts w:ascii="宋体" w:hAnsi="宋体"/>
                <w:sz w:val="18"/>
                <w:szCs w:val="18"/>
              </w:rPr>
            </w:pPr>
            <w:r>
              <w:rPr>
                <w:rFonts w:hint="eastAsia" w:ascii="宋体" w:hAnsi="宋体"/>
                <w:sz w:val="18"/>
                <w:szCs w:val="18"/>
              </w:rPr>
              <w:t>预留孔</w:t>
            </w:r>
          </w:p>
        </w:tc>
        <w:tc>
          <w:tcPr>
            <w:tcW w:w="2172" w:type="dxa"/>
            <w:tcBorders>
              <w:top w:val="single" w:color="auto" w:sz="4" w:space="0"/>
            </w:tcBorders>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中心线位置偏移</w:t>
            </w:r>
          </w:p>
        </w:tc>
        <w:tc>
          <w:tcPr>
            <w:tcW w:w="1418" w:type="dxa"/>
            <w:tcBorders>
              <w:top w:val="single" w:color="auto" w:sz="4" w:space="0"/>
            </w:tcBorders>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5</w:t>
            </w:r>
          </w:p>
        </w:tc>
        <w:tc>
          <w:tcPr>
            <w:tcW w:w="4348" w:type="dxa"/>
            <w:tcBorders>
              <w:top w:val="single" w:color="auto" w:sz="4" w:space="0"/>
            </w:tcBorders>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用尺量测纵横两个方向的中心线位置，取其中较大值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wAfter w:w="0" w:type="auto"/>
          <w:trHeight w:val="340" w:hRule="atLeast"/>
          <w:jc w:val="center"/>
        </w:trPr>
        <w:tc>
          <w:tcPr>
            <w:tcW w:w="618" w:type="dxa"/>
            <w:vMerge w:val="continue"/>
            <w:vAlign w:val="center"/>
          </w:tcPr>
          <w:p>
            <w:pPr>
              <w:widowControl/>
              <w:spacing w:line="240" w:lineRule="auto"/>
              <w:jc w:val="left"/>
              <w:rPr>
                <w:rFonts w:ascii="宋体" w:hAnsi="宋体"/>
                <w:sz w:val="18"/>
                <w:szCs w:val="18"/>
              </w:rPr>
            </w:pPr>
          </w:p>
        </w:tc>
        <w:tc>
          <w:tcPr>
            <w:tcW w:w="1561" w:type="dxa"/>
            <w:gridSpan w:val="3"/>
            <w:vMerge w:val="continue"/>
            <w:vAlign w:val="center"/>
          </w:tcPr>
          <w:p>
            <w:pPr>
              <w:widowControl/>
              <w:spacing w:line="240" w:lineRule="auto"/>
              <w:jc w:val="left"/>
              <w:rPr>
                <w:rFonts w:ascii="宋体" w:hAnsi="宋体"/>
                <w:sz w:val="18"/>
                <w:szCs w:val="18"/>
              </w:rPr>
            </w:pPr>
          </w:p>
        </w:tc>
        <w:tc>
          <w:tcPr>
            <w:tcW w:w="2172" w:type="dxa"/>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孔尺寸</w:t>
            </w:r>
          </w:p>
        </w:tc>
        <w:tc>
          <w:tcPr>
            <w:tcW w:w="1418" w:type="dxa"/>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±5</w:t>
            </w:r>
          </w:p>
        </w:tc>
        <w:tc>
          <w:tcPr>
            <w:tcW w:w="4348" w:type="dxa"/>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用尺量测纵横两个方向尺寸，取其中最大值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wAfter w:w="0" w:type="auto"/>
          <w:trHeight w:val="340" w:hRule="atLeast"/>
          <w:jc w:val="center"/>
        </w:trPr>
        <w:tc>
          <w:tcPr>
            <w:tcW w:w="618" w:type="dxa"/>
            <w:vMerge w:val="restart"/>
            <w:vAlign w:val="center"/>
          </w:tcPr>
          <w:p>
            <w:pPr>
              <w:autoSpaceDE w:val="0"/>
              <w:spacing w:line="240" w:lineRule="auto"/>
              <w:jc w:val="center"/>
              <w:rPr>
                <w:rFonts w:ascii="宋体" w:hAnsi="宋体"/>
                <w:sz w:val="18"/>
                <w:szCs w:val="18"/>
              </w:rPr>
            </w:pPr>
            <w:r>
              <w:rPr>
                <w:rFonts w:hint="eastAsia" w:ascii="宋体" w:hAnsi="宋体"/>
                <w:sz w:val="18"/>
                <w:szCs w:val="18"/>
              </w:rPr>
              <w:t>12</w:t>
            </w:r>
          </w:p>
        </w:tc>
        <w:tc>
          <w:tcPr>
            <w:tcW w:w="1561" w:type="dxa"/>
            <w:gridSpan w:val="3"/>
            <w:vMerge w:val="restart"/>
            <w:vAlign w:val="center"/>
          </w:tcPr>
          <w:p>
            <w:pPr>
              <w:autoSpaceDE w:val="0"/>
              <w:spacing w:line="240" w:lineRule="auto"/>
              <w:jc w:val="center"/>
              <w:rPr>
                <w:rFonts w:ascii="宋体" w:hAnsi="宋体"/>
                <w:sz w:val="18"/>
                <w:szCs w:val="18"/>
              </w:rPr>
            </w:pPr>
            <w:r>
              <w:rPr>
                <w:rFonts w:hint="eastAsia" w:ascii="宋体" w:hAnsi="宋体"/>
                <w:sz w:val="18"/>
                <w:szCs w:val="18"/>
              </w:rPr>
              <w:t>预留洞</w:t>
            </w:r>
          </w:p>
        </w:tc>
        <w:tc>
          <w:tcPr>
            <w:tcW w:w="2172" w:type="dxa"/>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中心线位置偏移</w:t>
            </w:r>
          </w:p>
        </w:tc>
        <w:tc>
          <w:tcPr>
            <w:tcW w:w="1418" w:type="dxa"/>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5</w:t>
            </w:r>
          </w:p>
        </w:tc>
        <w:tc>
          <w:tcPr>
            <w:tcW w:w="4348" w:type="dxa"/>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用尺量测纵横两个方向的中心线位置，取其中较大值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wAfter w:w="0" w:type="auto"/>
          <w:trHeight w:val="340" w:hRule="atLeast"/>
          <w:jc w:val="center"/>
        </w:trPr>
        <w:tc>
          <w:tcPr>
            <w:tcW w:w="618" w:type="dxa"/>
            <w:vMerge w:val="continue"/>
            <w:vAlign w:val="center"/>
          </w:tcPr>
          <w:p>
            <w:pPr>
              <w:widowControl/>
              <w:spacing w:line="240" w:lineRule="auto"/>
              <w:jc w:val="left"/>
              <w:rPr>
                <w:rFonts w:ascii="宋体" w:hAnsi="宋体"/>
                <w:sz w:val="18"/>
                <w:szCs w:val="18"/>
              </w:rPr>
            </w:pPr>
          </w:p>
        </w:tc>
        <w:tc>
          <w:tcPr>
            <w:tcW w:w="1561" w:type="dxa"/>
            <w:gridSpan w:val="3"/>
            <w:vMerge w:val="continue"/>
            <w:vAlign w:val="center"/>
          </w:tcPr>
          <w:p>
            <w:pPr>
              <w:widowControl/>
              <w:spacing w:line="240" w:lineRule="auto"/>
              <w:jc w:val="left"/>
              <w:rPr>
                <w:rFonts w:ascii="宋体" w:hAnsi="宋体"/>
                <w:sz w:val="18"/>
                <w:szCs w:val="18"/>
              </w:rPr>
            </w:pPr>
          </w:p>
        </w:tc>
        <w:tc>
          <w:tcPr>
            <w:tcW w:w="2172" w:type="dxa"/>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洞口尺寸、深度</w:t>
            </w:r>
          </w:p>
        </w:tc>
        <w:tc>
          <w:tcPr>
            <w:tcW w:w="1418" w:type="dxa"/>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±5</w:t>
            </w:r>
          </w:p>
        </w:tc>
        <w:tc>
          <w:tcPr>
            <w:tcW w:w="4348" w:type="dxa"/>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用尺量测纵横两个方向尺寸，取其中最大值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wAfter w:w="0" w:type="auto"/>
          <w:trHeight w:val="340" w:hRule="atLeast"/>
          <w:jc w:val="center"/>
        </w:trPr>
        <w:tc>
          <w:tcPr>
            <w:tcW w:w="618" w:type="dxa"/>
            <w:vMerge w:val="restart"/>
            <w:vAlign w:val="center"/>
          </w:tcPr>
          <w:p>
            <w:pPr>
              <w:autoSpaceDE w:val="0"/>
              <w:spacing w:line="240" w:lineRule="auto"/>
              <w:jc w:val="center"/>
              <w:rPr>
                <w:rFonts w:ascii="宋体" w:hAnsi="宋体"/>
                <w:sz w:val="18"/>
                <w:szCs w:val="18"/>
              </w:rPr>
            </w:pPr>
            <w:r>
              <w:rPr>
                <w:rFonts w:hint="eastAsia" w:ascii="宋体" w:hAnsi="宋体"/>
                <w:sz w:val="18"/>
                <w:szCs w:val="18"/>
              </w:rPr>
              <w:t>13</w:t>
            </w:r>
          </w:p>
        </w:tc>
        <w:tc>
          <w:tcPr>
            <w:tcW w:w="1561" w:type="dxa"/>
            <w:gridSpan w:val="3"/>
            <w:vMerge w:val="restart"/>
            <w:vAlign w:val="center"/>
          </w:tcPr>
          <w:p>
            <w:pPr>
              <w:autoSpaceDE w:val="0"/>
              <w:spacing w:line="240" w:lineRule="auto"/>
              <w:jc w:val="center"/>
              <w:rPr>
                <w:rFonts w:ascii="宋体" w:hAnsi="宋体"/>
                <w:sz w:val="18"/>
                <w:szCs w:val="18"/>
              </w:rPr>
            </w:pPr>
            <w:r>
              <w:rPr>
                <w:rFonts w:hint="eastAsia" w:ascii="宋体" w:hAnsi="宋体"/>
                <w:sz w:val="18"/>
                <w:szCs w:val="18"/>
              </w:rPr>
              <w:t>预留插筋</w:t>
            </w:r>
          </w:p>
        </w:tc>
        <w:tc>
          <w:tcPr>
            <w:tcW w:w="2172" w:type="dxa"/>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中心线位置偏移</w:t>
            </w:r>
          </w:p>
        </w:tc>
        <w:tc>
          <w:tcPr>
            <w:tcW w:w="1418" w:type="dxa"/>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3</w:t>
            </w:r>
          </w:p>
        </w:tc>
        <w:tc>
          <w:tcPr>
            <w:tcW w:w="4348" w:type="dxa"/>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用尺量测纵横两个方向的中心线位置，取其中较大值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wAfter w:w="0" w:type="auto"/>
          <w:trHeight w:val="340" w:hRule="atLeast"/>
          <w:jc w:val="center"/>
        </w:trPr>
        <w:tc>
          <w:tcPr>
            <w:tcW w:w="618" w:type="dxa"/>
            <w:vMerge w:val="continue"/>
            <w:vAlign w:val="center"/>
          </w:tcPr>
          <w:p>
            <w:pPr>
              <w:widowControl/>
              <w:spacing w:line="240" w:lineRule="auto"/>
              <w:jc w:val="left"/>
              <w:rPr>
                <w:rFonts w:ascii="宋体" w:hAnsi="宋体"/>
                <w:sz w:val="18"/>
                <w:szCs w:val="18"/>
              </w:rPr>
            </w:pPr>
          </w:p>
        </w:tc>
        <w:tc>
          <w:tcPr>
            <w:tcW w:w="1561" w:type="dxa"/>
            <w:gridSpan w:val="3"/>
            <w:vMerge w:val="continue"/>
            <w:vAlign w:val="center"/>
          </w:tcPr>
          <w:p>
            <w:pPr>
              <w:widowControl/>
              <w:spacing w:line="240" w:lineRule="auto"/>
              <w:jc w:val="left"/>
              <w:rPr>
                <w:rFonts w:ascii="宋体" w:hAnsi="宋体"/>
                <w:sz w:val="18"/>
                <w:szCs w:val="18"/>
              </w:rPr>
            </w:pPr>
          </w:p>
        </w:tc>
        <w:tc>
          <w:tcPr>
            <w:tcW w:w="2172" w:type="dxa"/>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外露长度</w:t>
            </w:r>
          </w:p>
        </w:tc>
        <w:tc>
          <w:tcPr>
            <w:tcW w:w="1418" w:type="dxa"/>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±5</w:t>
            </w:r>
          </w:p>
        </w:tc>
        <w:tc>
          <w:tcPr>
            <w:tcW w:w="4348" w:type="dxa"/>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用尺量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wAfter w:w="0" w:type="auto"/>
          <w:trHeight w:val="340" w:hRule="atLeast"/>
          <w:jc w:val="center"/>
        </w:trPr>
        <w:tc>
          <w:tcPr>
            <w:tcW w:w="618" w:type="dxa"/>
            <w:vMerge w:val="restart"/>
            <w:vAlign w:val="center"/>
          </w:tcPr>
          <w:p>
            <w:pPr>
              <w:autoSpaceDE w:val="0"/>
              <w:spacing w:line="240" w:lineRule="auto"/>
              <w:jc w:val="center"/>
              <w:rPr>
                <w:rFonts w:ascii="宋体" w:hAnsi="宋体"/>
                <w:sz w:val="18"/>
                <w:szCs w:val="18"/>
              </w:rPr>
            </w:pPr>
            <w:r>
              <w:rPr>
                <w:rFonts w:hint="eastAsia" w:ascii="宋体" w:hAnsi="宋体"/>
                <w:sz w:val="18"/>
                <w:szCs w:val="18"/>
              </w:rPr>
              <w:t>14</w:t>
            </w:r>
          </w:p>
        </w:tc>
        <w:tc>
          <w:tcPr>
            <w:tcW w:w="1561" w:type="dxa"/>
            <w:gridSpan w:val="3"/>
            <w:vMerge w:val="restart"/>
            <w:vAlign w:val="center"/>
          </w:tcPr>
          <w:p>
            <w:pPr>
              <w:autoSpaceDE w:val="0"/>
              <w:spacing w:line="240" w:lineRule="auto"/>
              <w:jc w:val="center"/>
              <w:rPr>
                <w:rFonts w:ascii="宋体" w:hAnsi="宋体"/>
                <w:sz w:val="18"/>
                <w:szCs w:val="18"/>
              </w:rPr>
            </w:pPr>
            <w:r>
              <w:rPr>
                <w:rFonts w:hint="eastAsia" w:ascii="宋体" w:hAnsi="宋体"/>
                <w:sz w:val="18"/>
                <w:szCs w:val="18"/>
              </w:rPr>
              <w:t>吊环</w:t>
            </w:r>
          </w:p>
        </w:tc>
        <w:tc>
          <w:tcPr>
            <w:tcW w:w="2172" w:type="dxa"/>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中心线位置偏移</w:t>
            </w:r>
          </w:p>
        </w:tc>
        <w:tc>
          <w:tcPr>
            <w:tcW w:w="1418" w:type="dxa"/>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10</w:t>
            </w:r>
          </w:p>
        </w:tc>
        <w:tc>
          <w:tcPr>
            <w:tcW w:w="4348" w:type="dxa"/>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用尺量测纵横两个方向的中心线位置，取其中较大值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wAfter w:w="0" w:type="auto"/>
          <w:trHeight w:val="340" w:hRule="atLeast"/>
          <w:jc w:val="center"/>
        </w:trPr>
        <w:tc>
          <w:tcPr>
            <w:tcW w:w="618" w:type="dxa"/>
            <w:vMerge w:val="continue"/>
            <w:vAlign w:val="center"/>
          </w:tcPr>
          <w:p>
            <w:pPr>
              <w:widowControl/>
              <w:spacing w:line="240" w:lineRule="auto"/>
              <w:jc w:val="left"/>
              <w:rPr>
                <w:rFonts w:ascii="宋体" w:hAnsi="宋体"/>
                <w:sz w:val="18"/>
                <w:szCs w:val="18"/>
              </w:rPr>
            </w:pPr>
          </w:p>
        </w:tc>
        <w:tc>
          <w:tcPr>
            <w:tcW w:w="1561" w:type="dxa"/>
            <w:gridSpan w:val="3"/>
            <w:vMerge w:val="continue"/>
            <w:vAlign w:val="center"/>
          </w:tcPr>
          <w:p>
            <w:pPr>
              <w:widowControl/>
              <w:spacing w:line="240" w:lineRule="auto"/>
              <w:jc w:val="left"/>
              <w:rPr>
                <w:rFonts w:ascii="宋体" w:hAnsi="宋体"/>
                <w:sz w:val="18"/>
                <w:szCs w:val="18"/>
              </w:rPr>
            </w:pPr>
          </w:p>
        </w:tc>
        <w:tc>
          <w:tcPr>
            <w:tcW w:w="2172" w:type="dxa"/>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留出高度</w:t>
            </w:r>
          </w:p>
        </w:tc>
        <w:tc>
          <w:tcPr>
            <w:tcW w:w="1418" w:type="dxa"/>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0，-10</w:t>
            </w:r>
          </w:p>
        </w:tc>
        <w:tc>
          <w:tcPr>
            <w:tcW w:w="4348" w:type="dxa"/>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用尺量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wAfter w:w="0" w:type="auto"/>
          <w:trHeight w:val="340" w:hRule="atLeast"/>
          <w:jc w:val="center"/>
        </w:trPr>
        <w:tc>
          <w:tcPr>
            <w:tcW w:w="618" w:type="dxa"/>
            <w:vAlign w:val="center"/>
          </w:tcPr>
          <w:p>
            <w:pPr>
              <w:autoSpaceDE w:val="0"/>
              <w:spacing w:line="240" w:lineRule="auto"/>
              <w:jc w:val="center"/>
              <w:rPr>
                <w:rFonts w:ascii="宋体" w:hAnsi="宋体"/>
                <w:sz w:val="18"/>
                <w:szCs w:val="18"/>
              </w:rPr>
            </w:pPr>
            <w:r>
              <w:rPr>
                <w:rFonts w:hint="eastAsia" w:ascii="宋体" w:hAnsi="宋体"/>
                <w:sz w:val="18"/>
                <w:szCs w:val="18"/>
              </w:rPr>
              <w:t>15</w:t>
            </w:r>
          </w:p>
        </w:tc>
        <w:tc>
          <w:tcPr>
            <w:tcW w:w="3733" w:type="dxa"/>
            <w:gridSpan w:val="4"/>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桁架钢筋高度</w:t>
            </w:r>
          </w:p>
        </w:tc>
        <w:tc>
          <w:tcPr>
            <w:tcW w:w="1418" w:type="dxa"/>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+5，0</w:t>
            </w:r>
          </w:p>
        </w:tc>
        <w:tc>
          <w:tcPr>
            <w:tcW w:w="4348" w:type="dxa"/>
            <w:vAlign w:val="center"/>
          </w:tcPr>
          <w:p>
            <w:pPr>
              <w:autoSpaceDE w:val="0"/>
              <w:spacing w:line="240" w:lineRule="auto"/>
              <w:ind w:firstLine="14" w:firstLineChars="8"/>
              <w:jc w:val="center"/>
              <w:rPr>
                <w:rFonts w:ascii="宋体" w:hAnsi="宋体"/>
                <w:sz w:val="18"/>
                <w:szCs w:val="18"/>
              </w:rPr>
            </w:pPr>
            <w:r>
              <w:rPr>
                <w:rFonts w:hint="eastAsia" w:ascii="宋体" w:hAnsi="宋体"/>
                <w:sz w:val="18"/>
                <w:szCs w:val="18"/>
              </w:rPr>
              <w:t>用尺量</w:t>
            </w:r>
          </w:p>
        </w:tc>
      </w:tr>
    </w:tbl>
    <w:p>
      <w:pPr>
        <w:pStyle w:val="58"/>
        <w:ind w:firstLine="0" w:firstLineChars="0"/>
      </w:pPr>
    </w:p>
    <w:p>
      <w:pPr>
        <w:pStyle w:val="58"/>
        <w:spacing w:before="312" w:beforeLines="100" w:after="312" w:afterLines="100"/>
        <w:ind w:firstLine="0" w:firstLineChars="0"/>
        <w:outlineLvl w:val="1"/>
        <w:rPr>
          <w:rFonts w:ascii="黑体" w:hAnsi="黑体" w:eastAsia="黑体"/>
        </w:rPr>
      </w:pPr>
      <w:bookmarkStart w:id="147" w:name="_Toc142923639"/>
      <w:r>
        <w:rPr>
          <w:rFonts w:hint="eastAsia" w:ascii="黑体" w:hAnsi="黑体" w:eastAsia="黑体"/>
        </w:rPr>
        <w:t>8.</w:t>
      </w:r>
      <w:r>
        <w:rPr>
          <w:rFonts w:ascii="黑体" w:hAnsi="黑体" w:eastAsia="黑体"/>
        </w:rPr>
        <w:t>3</w:t>
      </w:r>
      <w:r>
        <w:rPr>
          <w:rFonts w:hint="eastAsia" w:ascii="黑体" w:hAnsi="黑体" w:eastAsia="黑体"/>
        </w:rPr>
        <w:t xml:space="preserve"> 预制构件安装与连接</w:t>
      </w:r>
      <w:bookmarkEnd w:id="147"/>
    </w:p>
    <w:p>
      <w:pPr>
        <w:spacing w:line="240" w:lineRule="auto"/>
        <w:rPr>
          <w:rFonts w:ascii="黑体" w:hAnsi="黑体" w:eastAsia="黑体"/>
        </w:rPr>
      </w:pPr>
      <w:r>
        <w:rPr>
          <w:rFonts w:hint="eastAsia" w:ascii="宋体" w:hAnsi="宋体" w:cs="宋体"/>
        </w:rPr>
        <w:t>Ⅰ</w:t>
      </w:r>
      <w:r>
        <w:rPr>
          <w:rFonts w:hint="eastAsia" w:ascii="黑体" w:hAnsi="黑体" w:eastAsia="黑体"/>
        </w:rPr>
        <w:t xml:space="preserve"> 主控项目</w:t>
      </w:r>
    </w:p>
    <w:p>
      <w:pPr>
        <w:spacing w:line="240" w:lineRule="auto"/>
        <w:rPr>
          <w:rFonts w:ascii="宋体" w:hAnsi="Times New Roman"/>
          <w:bCs/>
          <w:kern w:val="0"/>
        </w:rPr>
      </w:pPr>
      <w:r>
        <w:rPr>
          <w:rFonts w:ascii="黑体" w:hAnsi="黑体" w:eastAsia="黑体"/>
        </w:rPr>
        <w:t>8</w:t>
      </w:r>
      <w:r>
        <w:rPr>
          <w:rFonts w:hint="eastAsia" w:ascii="黑体" w:hAnsi="黑体" w:eastAsia="黑体"/>
        </w:rPr>
        <w:t>.</w:t>
      </w:r>
      <w:r>
        <w:rPr>
          <w:rFonts w:ascii="黑体" w:hAnsi="黑体" w:eastAsia="黑体"/>
        </w:rPr>
        <w:t>3</w:t>
      </w:r>
      <w:r>
        <w:rPr>
          <w:rFonts w:hint="eastAsia" w:ascii="黑体" w:hAnsi="黑体" w:eastAsia="黑体"/>
        </w:rPr>
        <w:t>.</w:t>
      </w:r>
      <w:r>
        <w:rPr>
          <w:rFonts w:ascii="黑体" w:hAnsi="黑体" w:eastAsia="黑体"/>
        </w:rPr>
        <w:t>1</w:t>
      </w:r>
      <w:r>
        <w:rPr>
          <w:rFonts w:hint="eastAsia" w:ascii="黑体" w:hAnsi="黑体" w:eastAsia="黑体"/>
        </w:rPr>
        <w:t xml:space="preserve"> </w:t>
      </w:r>
      <w:r>
        <w:rPr>
          <w:rFonts w:hint="eastAsia" w:ascii="宋体" w:hAnsi="Times New Roman"/>
          <w:bCs/>
          <w:kern w:val="0"/>
        </w:rPr>
        <w:t>预制构件临时固定措施应符合设计、专项施工方案要求及国家现行有关标准的规定。</w:t>
      </w:r>
    </w:p>
    <w:p>
      <w:pPr>
        <w:pStyle w:val="58"/>
        <w:ind w:left="840" w:leftChars="200" w:hanging="420" w:hangingChars="200"/>
        <w:rPr>
          <w:bCs/>
          <w:szCs w:val="21"/>
        </w:rPr>
      </w:pPr>
      <w:r>
        <w:rPr>
          <w:rFonts w:hint="eastAsia"/>
          <w:bCs/>
          <w:szCs w:val="21"/>
        </w:rPr>
        <w:t>检查数量：全数检查。</w:t>
      </w:r>
    </w:p>
    <w:p>
      <w:pPr>
        <w:pStyle w:val="58"/>
        <w:ind w:left="840" w:leftChars="200" w:hanging="420" w:hangingChars="200"/>
        <w:rPr>
          <w:bCs/>
          <w:szCs w:val="21"/>
        </w:rPr>
      </w:pPr>
      <w:r>
        <w:rPr>
          <w:rFonts w:hint="eastAsia"/>
          <w:bCs/>
          <w:szCs w:val="21"/>
        </w:rPr>
        <w:t>检验方法：观察检查，检查施工方案、施工记录或设计文件。</w:t>
      </w:r>
    </w:p>
    <w:p>
      <w:pPr>
        <w:spacing w:line="240" w:lineRule="auto"/>
        <w:rPr>
          <w:rFonts w:ascii="宋体" w:hAnsi="Times New Roman"/>
          <w:bCs/>
          <w:kern w:val="0"/>
        </w:rPr>
      </w:pPr>
      <w:r>
        <w:rPr>
          <w:rFonts w:ascii="黑体" w:hAnsi="黑体" w:eastAsia="黑体"/>
        </w:rPr>
        <w:t>8</w:t>
      </w:r>
      <w:r>
        <w:rPr>
          <w:rFonts w:hint="eastAsia" w:ascii="黑体" w:hAnsi="黑体" w:eastAsia="黑体"/>
        </w:rPr>
        <w:t>.</w:t>
      </w:r>
      <w:r>
        <w:rPr>
          <w:rFonts w:ascii="黑体" w:hAnsi="黑体" w:eastAsia="黑体"/>
        </w:rPr>
        <w:t>3</w:t>
      </w:r>
      <w:r>
        <w:rPr>
          <w:rFonts w:hint="eastAsia" w:ascii="黑体" w:hAnsi="黑体" w:eastAsia="黑体"/>
        </w:rPr>
        <w:t>.</w:t>
      </w:r>
      <w:r>
        <w:rPr>
          <w:rFonts w:ascii="黑体" w:hAnsi="黑体" w:eastAsia="黑体"/>
        </w:rPr>
        <w:t>2</w:t>
      </w:r>
      <w:r>
        <w:rPr>
          <w:rFonts w:hint="eastAsia" w:ascii="黑体" w:hAnsi="黑体" w:eastAsia="黑体"/>
        </w:rPr>
        <w:t xml:space="preserve"> </w:t>
      </w:r>
      <w:r>
        <w:rPr>
          <w:rFonts w:hint="eastAsia" w:ascii="宋体" w:hAnsi="Times New Roman"/>
          <w:bCs/>
          <w:kern w:val="0"/>
        </w:rPr>
        <w:t>梁柱连接节点后浇混凝土强度应符合设计要求。</w:t>
      </w:r>
    </w:p>
    <w:p>
      <w:pPr>
        <w:pStyle w:val="58"/>
        <w:ind w:left="840" w:leftChars="200" w:hanging="420" w:hangingChars="200"/>
        <w:rPr>
          <w:bCs/>
          <w:szCs w:val="21"/>
        </w:rPr>
      </w:pPr>
      <w:r>
        <w:rPr>
          <w:rFonts w:hint="eastAsia"/>
          <w:bCs/>
          <w:szCs w:val="21"/>
        </w:rPr>
        <w:t>检查数量：按批检验。</w:t>
      </w:r>
    </w:p>
    <w:p>
      <w:pPr>
        <w:pStyle w:val="58"/>
        <w:ind w:left="840" w:leftChars="200" w:hanging="420" w:hangingChars="200"/>
        <w:rPr>
          <w:bCs/>
          <w:szCs w:val="21"/>
        </w:rPr>
      </w:pPr>
      <w:r>
        <w:rPr>
          <w:rFonts w:hint="eastAsia"/>
          <w:bCs/>
          <w:szCs w:val="21"/>
        </w:rPr>
        <w:t>检验方法：应符合现行国家标准《混凝土强度检验评定标准》 GB/T 50107的有关规定。</w:t>
      </w:r>
    </w:p>
    <w:p>
      <w:pPr>
        <w:spacing w:line="240" w:lineRule="auto"/>
        <w:rPr>
          <w:rFonts w:ascii="宋体" w:hAnsi="Times New Roman"/>
          <w:bCs/>
          <w:kern w:val="0"/>
        </w:rPr>
      </w:pPr>
      <w:bookmarkStart w:id="148" w:name="_Hlk142660847"/>
      <w:r>
        <w:rPr>
          <w:rFonts w:ascii="黑体" w:hAnsi="黑体" w:eastAsia="黑体"/>
        </w:rPr>
        <w:t>8</w:t>
      </w:r>
      <w:r>
        <w:rPr>
          <w:rFonts w:hint="eastAsia" w:ascii="黑体" w:hAnsi="黑体" w:eastAsia="黑体"/>
        </w:rPr>
        <w:t>.</w:t>
      </w:r>
      <w:r>
        <w:rPr>
          <w:rFonts w:ascii="黑体" w:hAnsi="黑体" w:eastAsia="黑体"/>
        </w:rPr>
        <w:t>3</w:t>
      </w:r>
      <w:r>
        <w:rPr>
          <w:rFonts w:hint="eastAsia" w:ascii="黑体" w:hAnsi="黑体" w:eastAsia="黑体"/>
        </w:rPr>
        <w:t>.</w:t>
      </w:r>
      <w:r>
        <w:rPr>
          <w:rFonts w:ascii="黑体" w:hAnsi="黑体" w:eastAsia="黑体"/>
        </w:rPr>
        <w:t>3</w:t>
      </w:r>
      <w:r>
        <w:rPr>
          <w:rFonts w:hint="eastAsia" w:ascii="黑体" w:hAnsi="黑体" w:eastAsia="黑体"/>
        </w:rPr>
        <w:t xml:space="preserve"> </w:t>
      </w:r>
      <w:r>
        <w:rPr>
          <w:rFonts w:hint="eastAsia" w:ascii="宋体" w:hAnsi="Times New Roman"/>
          <w:bCs/>
          <w:kern w:val="0"/>
        </w:rPr>
        <w:t>钢筋采用套筒灌浆连接时，灌浆应饱满、密实，所有出口均应出浆。</w:t>
      </w:r>
    </w:p>
    <w:bookmarkEnd w:id="148"/>
    <w:p>
      <w:pPr>
        <w:pStyle w:val="58"/>
        <w:ind w:left="840" w:leftChars="200" w:hanging="420" w:hangingChars="200"/>
        <w:rPr>
          <w:bCs/>
          <w:szCs w:val="21"/>
        </w:rPr>
      </w:pPr>
      <w:r>
        <w:rPr>
          <w:rFonts w:hint="eastAsia"/>
          <w:bCs/>
          <w:szCs w:val="21"/>
        </w:rPr>
        <w:t>检查数量：全数检查。</w:t>
      </w:r>
    </w:p>
    <w:p>
      <w:pPr>
        <w:pStyle w:val="58"/>
        <w:ind w:left="840" w:leftChars="200" w:hanging="420" w:hangingChars="200"/>
        <w:rPr>
          <w:bCs/>
          <w:szCs w:val="21"/>
        </w:rPr>
      </w:pPr>
      <w:r>
        <w:rPr>
          <w:rFonts w:hint="eastAsia"/>
          <w:bCs/>
          <w:szCs w:val="21"/>
        </w:rPr>
        <w:t>检验方法：检查灌浆施工质量检查记录。</w:t>
      </w:r>
    </w:p>
    <w:p>
      <w:pPr>
        <w:spacing w:line="240" w:lineRule="auto"/>
        <w:rPr>
          <w:rFonts w:ascii="宋体" w:hAnsi="Times New Roman"/>
          <w:bCs/>
          <w:kern w:val="0"/>
        </w:rPr>
      </w:pPr>
      <w:r>
        <w:rPr>
          <w:rFonts w:ascii="黑体" w:hAnsi="黑体" w:eastAsia="黑体"/>
        </w:rPr>
        <w:t>8</w:t>
      </w:r>
      <w:r>
        <w:rPr>
          <w:rFonts w:hint="eastAsia" w:ascii="黑体" w:hAnsi="黑体" w:eastAsia="黑体"/>
        </w:rPr>
        <w:t>.</w:t>
      </w:r>
      <w:r>
        <w:rPr>
          <w:rFonts w:ascii="黑体" w:hAnsi="黑体" w:eastAsia="黑体"/>
        </w:rPr>
        <w:t>3</w:t>
      </w:r>
      <w:r>
        <w:rPr>
          <w:rFonts w:hint="eastAsia" w:ascii="黑体" w:hAnsi="黑体" w:eastAsia="黑体"/>
        </w:rPr>
        <w:t>.</w:t>
      </w:r>
      <w:r>
        <w:rPr>
          <w:rFonts w:ascii="黑体" w:hAnsi="黑体" w:eastAsia="黑体"/>
        </w:rPr>
        <w:t>4</w:t>
      </w:r>
      <w:r>
        <w:rPr>
          <w:rFonts w:hint="eastAsia" w:ascii="黑体" w:hAnsi="黑体" w:eastAsia="黑体"/>
        </w:rPr>
        <w:t xml:space="preserve"> </w:t>
      </w:r>
      <w:r>
        <w:rPr>
          <w:rFonts w:hint="eastAsia" w:ascii="宋体" w:hAnsi="Times New Roman"/>
          <w:bCs/>
          <w:kern w:val="0"/>
        </w:rPr>
        <w:t>钢筋套筒灌浆连接用的灌浆料强度应符合现行行业标准《钢筋连接用套筒灌浆料》JG/T 408的规定。</w:t>
      </w:r>
    </w:p>
    <w:p>
      <w:pPr>
        <w:pStyle w:val="58"/>
        <w:ind w:firstLine="420"/>
        <w:rPr>
          <w:bCs/>
          <w:szCs w:val="21"/>
        </w:rPr>
      </w:pPr>
      <w:r>
        <w:rPr>
          <w:rFonts w:hint="eastAsia"/>
          <w:bCs/>
          <w:szCs w:val="21"/>
        </w:rPr>
        <w:t>检查数量：按批检验，以每层为一检验批；每工作班应制作一组且每层不应少于3组40mm×40mm×160mm的长方体试件，标准养护28天后进行抗压强度试验。</w:t>
      </w:r>
    </w:p>
    <w:p>
      <w:pPr>
        <w:pStyle w:val="58"/>
        <w:ind w:left="840" w:leftChars="200" w:hanging="420" w:hangingChars="200"/>
        <w:rPr>
          <w:bCs/>
          <w:szCs w:val="21"/>
        </w:rPr>
      </w:pPr>
      <w:r>
        <w:rPr>
          <w:rFonts w:hint="eastAsia"/>
          <w:bCs/>
          <w:szCs w:val="21"/>
        </w:rPr>
        <w:t>检验方法：检查灌浆料强度试验报告及评定记录。</w:t>
      </w:r>
    </w:p>
    <w:p>
      <w:pPr>
        <w:spacing w:line="240" w:lineRule="auto"/>
        <w:rPr>
          <w:rFonts w:ascii="宋体" w:hAnsi="Times New Roman"/>
          <w:bCs/>
          <w:kern w:val="0"/>
        </w:rPr>
      </w:pPr>
      <w:r>
        <w:rPr>
          <w:rFonts w:ascii="黑体" w:hAnsi="黑体" w:eastAsia="黑体"/>
        </w:rPr>
        <w:t>8</w:t>
      </w:r>
      <w:r>
        <w:rPr>
          <w:rFonts w:hint="eastAsia" w:ascii="黑体" w:hAnsi="黑体" w:eastAsia="黑体"/>
        </w:rPr>
        <w:t>.</w:t>
      </w:r>
      <w:r>
        <w:rPr>
          <w:rFonts w:ascii="黑体" w:hAnsi="黑体" w:eastAsia="黑体"/>
        </w:rPr>
        <w:t>3</w:t>
      </w:r>
      <w:r>
        <w:rPr>
          <w:rFonts w:hint="eastAsia" w:ascii="黑体" w:hAnsi="黑体" w:eastAsia="黑体"/>
        </w:rPr>
        <w:t>.</w:t>
      </w:r>
      <w:r>
        <w:rPr>
          <w:rFonts w:ascii="黑体" w:hAnsi="黑体" w:eastAsia="黑体"/>
        </w:rPr>
        <w:t>5</w:t>
      </w:r>
      <w:r>
        <w:rPr>
          <w:rFonts w:hint="eastAsia" w:ascii="黑体" w:hAnsi="黑体" w:eastAsia="黑体"/>
        </w:rPr>
        <w:t xml:space="preserve"> </w:t>
      </w:r>
      <w:r>
        <w:rPr>
          <w:rFonts w:hint="eastAsia" w:ascii="宋体" w:hAnsi="Times New Roman"/>
          <w:bCs/>
          <w:kern w:val="0"/>
        </w:rPr>
        <w:t>预制剪力墙钢筋采用预留孔道单孔灌浆时，灌浆应饱满、密实，排气孔应出浆。</w:t>
      </w:r>
    </w:p>
    <w:p>
      <w:pPr>
        <w:pStyle w:val="58"/>
        <w:ind w:firstLine="420"/>
        <w:rPr>
          <w:bCs/>
          <w:szCs w:val="21"/>
        </w:rPr>
      </w:pPr>
      <w:r>
        <w:rPr>
          <w:rFonts w:hint="eastAsia"/>
          <w:bCs/>
          <w:szCs w:val="21"/>
        </w:rPr>
        <w:t>检查数量：全数检查。</w:t>
      </w:r>
    </w:p>
    <w:p>
      <w:pPr>
        <w:pStyle w:val="58"/>
        <w:ind w:firstLine="420"/>
        <w:rPr>
          <w:bCs/>
          <w:szCs w:val="21"/>
        </w:rPr>
      </w:pPr>
      <w:r>
        <w:rPr>
          <w:rFonts w:hint="eastAsia"/>
          <w:bCs/>
          <w:szCs w:val="21"/>
        </w:rPr>
        <w:t>检验方法：检查灌浆施工质量检查记录、有关检验报告。</w:t>
      </w:r>
    </w:p>
    <w:p>
      <w:pPr>
        <w:spacing w:line="240" w:lineRule="auto"/>
        <w:rPr>
          <w:rFonts w:ascii="宋体" w:hAnsi="Times New Roman"/>
          <w:bCs/>
          <w:kern w:val="0"/>
        </w:rPr>
      </w:pPr>
      <w:r>
        <w:rPr>
          <w:rFonts w:ascii="黑体" w:hAnsi="黑体" w:eastAsia="黑体"/>
        </w:rPr>
        <w:t>8</w:t>
      </w:r>
      <w:r>
        <w:rPr>
          <w:rFonts w:hint="eastAsia" w:ascii="黑体" w:hAnsi="黑体" w:eastAsia="黑体"/>
        </w:rPr>
        <w:t>.</w:t>
      </w:r>
      <w:r>
        <w:rPr>
          <w:rFonts w:ascii="黑体" w:hAnsi="黑体" w:eastAsia="黑体"/>
        </w:rPr>
        <w:t>3</w:t>
      </w:r>
      <w:r>
        <w:rPr>
          <w:rFonts w:hint="eastAsia" w:ascii="黑体" w:hAnsi="黑体" w:eastAsia="黑体"/>
        </w:rPr>
        <w:t>.</w:t>
      </w:r>
      <w:r>
        <w:rPr>
          <w:rFonts w:ascii="黑体" w:hAnsi="黑体" w:eastAsia="黑体"/>
        </w:rPr>
        <w:t>6</w:t>
      </w:r>
      <w:r>
        <w:rPr>
          <w:rFonts w:hint="eastAsia" w:ascii="黑体" w:hAnsi="黑体" w:eastAsia="黑体"/>
        </w:rPr>
        <w:t xml:space="preserve"> </w:t>
      </w:r>
      <w:r>
        <w:rPr>
          <w:rFonts w:hint="eastAsia" w:ascii="宋体" w:hAnsi="Times New Roman"/>
          <w:bCs/>
          <w:kern w:val="0"/>
        </w:rPr>
        <w:t>预制剪力墙钢筋采用预留孔道单孔灌浆的灌浆料强度应符合现行国家标准《水泥基灌浆材料应用技术规范》GB/T 50448的规定。</w:t>
      </w:r>
    </w:p>
    <w:p>
      <w:pPr>
        <w:pStyle w:val="58"/>
        <w:ind w:firstLine="420"/>
        <w:rPr>
          <w:bCs/>
          <w:szCs w:val="21"/>
        </w:rPr>
      </w:pPr>
      <w:r>
        <w:rPr>
          <w:rFonts w:hint="eastAsia"/>
          <w:bCs/>
          <w:szCs w:val="21"/>
        </w:rPr>
        <w:t>检查数量：按批检验，以每层为一检验批；每工作班应制作1组且每层不应少于3组40mm×40mm×160mm的长方体试件，标准养护28天后进行抗压强度试验。</w:t>
      </w:r>
    </w:p>
    <w:p>
      <w:pPr>
        <w:pStyle w:val="58"/>
        <w:ind w:firstLine="420"/>
        <w:rPr>
          <w:bCs/>
          <w:szCs w:val="21"/>
        </w:rPr>
      </w:pPr>
      <w:r>
        <w:rPr>
          <w:rFonts w:hint="eastAsia"/>
          <w:bCs/>
          <w:szCs w:val="21"/>
        </w:rPr>
        <w:t>检验方法：检查灌浆料强度试验报告及评定记录。</w:t>
      </w:r>
    </w:p>
    <w:p>
      <w:pPr>
        <w:spacing w:line="240" w:lineRule="auto"/>
        <w:rPr>
          <w:rFonts w:ascii="宋体" w:hAnsi="Times New Roman"/>
          <w:bCs/>
          <w:kern w:val="0"/>
        </w:rPr>
      </w:pPr>
      <w:r>
        <w:rPr>
          <w:rFonts w:ascii="黑体" w:hAnsi="黑体" w:eastAsia="黑体"/>
        </w:rPr>
        <w:t>8</w:t>
      </w:r>
      <w:r>
        <w:rPr>
          <w:rFonts w:hint="eastAsia" w:ascii="黑体" w:hAnsi="黑体" w:eastAsia="黑体"/>
        </w:rPr>
        <w:t>.</w:t>
      </w:r>
      <w:r>
        <w:rPr>
          <w:rFonts w:ascii="黑体" w:hAnsi="黑体" w:eastAsia="黑体"/>
        </w:rPr>
        <w:t>3</w:t>
      </w:r>
      <w:r>
        <w:rPr>
          <w:rFonts w:hint="eastAsia" w:ascii="黑体" w:hAnsi="黑体" w:eastAsia="黑体"/>
        </w:rPr>
        <w:t>.</w:t>
      </w:r>
      <w:r>
        <w:rPr>
          <w:rFonts w:ascii="黑体" w:hAnsi="黑体" w:eastAsia="黑体"/>
        </w:rPr>
        <w:t>7</w:t>
      </w:r>
      <w:r>
        <w:rPr>
          <w:rFonts w:hint="eastAsia" w:ascii="黑体" w:hAnsi="黑体" w:eastAsia="黑体"/>
        </w:rPr>
        <w:t xml:space="preserve"> </w:t>
      </w:r>
      <w:r>
        <w:rPr>
          <w:rFonts w:hint="eastAsia" w:ascii="宋体" w:hAnsi="Times New Roman"/>
          <w:bCs/>
          <w:kern w:val="0"/>
        </w:rPr>
        <w:t>钢筋采用机械连接时，其接头质量应符合现行行业标准《钢筋机械连接技术规程》JGJ 107的有关规定。</w:t>
      </w:r>
    </w:p>
    <w:p>
      <w:pPr>
        <w:pStyle w:val="58"/>
        <w:ind w:firstLine="420"/>
        <w:rPr>
          <w:bCs/>
          <w:szCs w:val="21"/>
        </w:rPr>
      </w:pPr>
      <w:r>
        <w:rPr>
          <w:rFonts w:hint="eastAsia"/>
          <w:bCs/>
          <w:szCs w:val="21"/>
        </w:rPr>
        <w:t>检查数量：按现行行业标准《钢筋机械连接技术规程》JGJ 107的规定确定。</w:t>
      </w:r>
    </w:p>
    <w:p>
      <w:pPr>
        <w:pStyle w:val="58"/>
        <w:ind w:firstLine="420"/>
        <w:rPr>
          <w:bCs/>
          <w:szCs w:val="21"/>
        </w:rPr>
      </w:pPr>
      <w:r>
        <w:rPr>
          <w:rFonts w:hint="eastAsia"/>
          <w:bCs/>
          <w:szCs w:val="21"/>
        </w:rPr>
        <w:t>检验方法：检查钢筋机械连接施工记录及平行加工试件的强度试验报告。</w:t>
      </w:r>
    </w:p>
    <w:p>
      <w:pPr>
        <w:spacing w:line="240" w:lineRule="auto"/>
        <w:rPr>
          <w:rFonts w:ascii="宋体" w:hAnsi="Times New Roman"/>
          <w:bCs/>
          <w:kern w:val="0"/>
        </w:rPr>
      </w:pPr>
      <w:r>
        <w:rPr>
          <w:rFonts w:ascii="黑体" w:hAnsi="黑体" w:eastAsia="黑体"/>
        </w:rPr>
        <w:t>8</w:t>
      </w:r>
      <w:r>
        <w:rPr>
          <w:rFonts w:hint="eastAsia" w:ascii="黑体" w:hAnsi="黑体" w:eastAsia="黑体"/>
        </w:rPr>
        <w:t>.</w:t>
      </w:r>
      <w:r>
        <w:rPr>
          <w:rFonts w:ascii="黑体" w:hAnsi="黑体" w:eastAsia="黑体"/>
        </w:rPr>
        <w:t>3</w:t>
      </w:r>
      <w:r>
        <w:rPr>
          <w:rFonts w:hint="eastAsia" w:ascii="黑体" w:hAnsi="黑体" w:eastAsia="黑体"/>
        </w:rPr>
        <w:t>.</w:t>
      </w:r>
      <w:r>
        <w:rPr>
          <w:rFonts w:ascii="黑体" w:hAnsi="黑体" w:eastAsia="黑体"/>
        </w:rPr>
        <w:t>8</w:t>
      </w:r>
      <w:r>
        <w:rPr>
          <w:rFonts w:hint="eastAsia" w:ascii="黑体" w:hAnsi="黑体" w:eastAsia="黑体"/>
        </w:rPr>
        <w:t xml:space="preserve"> </w:t>
      </w:r>
      <w:r>
        <w:rPr>
          <w:rFonts w:hint="eastAsia" w:ascii="宋体" w:hAnsi="Times New Roman"/>
          <w:bCs/>
          <w:kern w:val="0"/>
        </w:rPr>
        <w:t>预制柱采用型钢焊接连接时，型钢焊缝的接头质量应满足设计要求，并应符合现行国家标准《钢结构焊接规范》GB 50661和《钢结构工程施工质量验收规范》GB 50205的有关规定。</w:t>
      </w:r>
    </w:p>
    <w:p>
      <w:pPr>
        <w:pStyle w:val="58"/>
        <w:ind w:firstLine="420"/>
        <w:rPr>
          <w:bCs/>
          <w:szCs w:val="21"/>
        </w:rPr>
      </w:pPr>
      <w:r>
        <w:rPr>
          <w:rFonts w:hint="eastAsia"/>
          <w:bCs/>
          <w:szCs w:val="21"/>
        </w:rPr>
        <w:t>检查数量：全数检查。</w:t>
      </w:r>
    </w:p>
    <w:p>
      <w:pPr>
        <w:pStyle w:val="58"/>
        <w:ind w:firstLine="420"/>
        <w:rPr>
          <w:bCs/>
          <w:szCs w:val="21"/>
        </w:rPr>
      </w:pPr>
      <w:r>
        <w:rPr>
          <w:rFonts w:hint="eastAsia"/>
          <w:bCs/>
          <w:szCs w:val="21"/>
        </w:rPr>
        <w:t>检验方法：应符合现行国家标准《钢结构工程施工质量验收规范》GB 50205的有关规定。</w:t>
      </w:r>
    </w:p>
    <w:p>
      <w:pPr>
        <w:spacing w:line="240" w:lineRule="auto"/>
        <w:rPr>
          <w:rFonts w:ascii="宋体" w:hAnsi="Times New Roman"/>
          <w:bCs/>
          <w:kern w:val="0"/>
        </w:rPr>
      </w:pPr>
      <w:r>
        <w:rPr>
          <w:rFonts w:ascii="黑体" w:hAnsi="黑体" w:eastAsia="黑体"/>
        </w:rPr>
        <w:t>8</w:t>
      </w:r>
      <w:r>
        <w:rPr>
          <w:rFonts w:hint="eastAsia" w:ascii="黑体" w:hAnsi="黑体" w:eastAsia="黑体"/>
        </w:rPr>
        <w:t>.</w:t>
      </w:r>
      <w:r>
        <w:rPr>
          <w:rFonts w:ascii="黑体" w:hAnsi="黑体" w:eastAsia="黑体"/>
        </w:rPr>
        <w:t>3</w:t>
      </w:r>
      <w:r>
        <w:rPr>
          <w:rFonts w:hint="eastAsia" w:ascii="黑体" w:hAnsi="黑体" w:eastAsia="黑体"/>
        </w:rPr>
        <w:t>.</w:t>
      </w:r>
      <w:r>
        <w:rPr>
          <w:rFonts w:ascii="黑体" w:hAnsi="黑体" w:eastAsia="黑体"/>
        </w:rPr>
        <w:t>9</w:t>
      </w:r>
      <w:r>
        <w:rPr>
          <w:rFonts w:hint="eastAsia" w:ascii="黑体" w:hAnsi="黑体" w:eastAsia="黑体"/>
        </w:rPr>
        <w:t xml:space="preserve"> </w:t>
      </w:r>
      <w:r>
        <w:rPr>
          <w:rFonts w:hint="eastAsia" w:ascii="宋体" w:hAnsi="Times New Roman"/>
          <w:bCs/>
          <w:kern w:val="0"/>
        </w:rPr>
        <w:t>预制剪力墙底部接缝座浆应饱满、密实，强度应满足设计要求。</w:t>
      </w:r>
    </w:p>
    <w:p>
      <w:pPr>
        <w:pStyle w:val="58"/>
        <w:ind w:firstLine="420"/>
        <w:rPr>
          <w:bCs/>
          <w:szCs w:val="21"/>
        </w:rPr>
      </w:pPr>
      <w:r>
        <w:rPr>
          <w:rFonts w:hint="eastAsia"/>
          <w:bCs/>
          <w:szCs w:val="21"/>
        </w:rPr>
        <w:t>检查数量：按批检验，以每层为一检验批；每工作班应制作一组且每层不应少于3组边长为70.7mm的立方体试件，标准养护28天后进行抗压强度试验。</w:t>
      </w:r>
    </w:p>
    <w:p>
      <w:pPr>
        <w:pStyle w:val="58"/>
        <w:ind w:firstLine="420"/>
        <w:rPr>
          <w:bCs/>
          <w:szCs w:val="21"/>
        </w:rPr>
      </w:pPr>
      <w:r>
        <w:rPr>
          <w:rFonts w:hint="eastAsia"/>
          <w:bCs/>
          <w:szCs w:val="21"/>
        </w:rPr>
        <w:t>检验方法：观察，检查座浆材料强度试验报告及评定记录。</w:t>
      </w:r>
    </w:p>
    <w:p>
      <w:pPr>
        <w:spacing w:line="240" w:lineRule="auto"/>
        <w:rPr>
          <w:rFonts w:ascii="宋体" w:hAnsi="Times New Roman"/>
          <w:bCs/>
          <w:kern w:val="0"/>
        </w:rPr>
      </w:pPr>
      <w:r>
        <w:rPr>
          <w:rFonts w:ascii="黑体" w:hAnsi="黑体" w:eastAsia="黑体"/>
        </w:rPr>
        <w:t>8</w:t>
      </w:r>
      <w:r>
        <w:rPr>
          <w:rFonts w:hint="eastAsia" w:ascii="黑体" w:hAnsi="黑体" w:eastAsia="黑体"/>
        </w:rPr>
        <w:t>.</w:t>
      </w:r>
      <w:r>
        <w:rPr>
          <w:rFonts w:ascii="黑体" w:hAnsi="黑体" w:eastAsia="黑体"/>
        </w:rPr>
        <w:t>3</w:t>
      </w:r>
      <w:r>
        <w:rPr>
          <w:rFonts w:hint="eastAsia" w:ascii="黑体" w:hAnsi="黑体" w:eastAsia="黑体"/>
        </w:rPr>
        <w:t>.</w:t>
      </w:r>
      <w:r>
        <w:rPr>
          <w:rFonts w:ascii="黑体" w:hAnsi="黑体" w:eastAsia="黑体"/>
        </w:rPr>
        <w:t>10</w:t>
      </w:r>
      <w:r>
        <w:rPr>
          <w:rFonts w:hint="eastAsia" w:ascii="黑体" w:hAnsi="黑体" w:eastAsia="黑体"/>
        </w:rPr>
        <w:t xml:space="preserve"> </w:t>
      </w:r>
      <w:r>
        <w:rPr>
          <w:rFonts w:hint="eastAsia" w:ascii="宋体" w:hAnsi="Times New Roman"/>
          <w:bCs/>
          <w:kern w:val="0"/>
        </w:rPr>
        <w:t>预制预应力混凝土装配整体式结构施工后，其外观质量不应有严重缺陷，且不应有影响结构性能和安装、使用功能的尺寸偏差。</w:t>
      </w:r>
    </w:p>
    <w:p>
      <w:pPr>
        <w:pStyle w:val="58"/>
        <w:ind w:firstLine="420"/>
        <w:rPr>
          <w:bCs/>
          <w:szCs w:val="21"/>
        </w:rPr>
      </w:pPr>
      <w:r>
        <w:rPr>
          <w:rFonts w:hint="eastAsia"/>
          <w:bCs/>
          <w:szCs w:val="21"/>
        </w:rPr>
        <w:t>检查数量：全数检查。</w:t>
      </w:r>
    </w:p>
    <w:p>
      <w:pPr>
        <w:pStyle w:val="58"/>
        <w:ind w:firstLine="420"/>
        <w:rPr>
          <w:bCs/>
          <w:szCs w:val="21"/>
        </w:rPr>
      </w:pPr>
      <w:r>
        <w:rPr>
          <w:rFonts w:hint="eastAsia"/>
          <w:bCs/>
          <w:szCs w:val="21"/>
        </w:rPr>
        <w:t>检验方法：观察、量测，检查处理记录。</w:t>
      </w:r>
    </w:p>
    <w:p>
      <w:pPr>
        <w:spacing w:line="240" w:lineRule="auto"/>
        <w:rPr>
          <w:rFonts w:ascii="黑体" w:hAnsi="黑体" w:eastAsia="黑体"/>
        </w:rPr>
      </w:pPr>
      <w:r>
        <w:rPr>
          <w:rFonts w:hint="eastAsia" w:ascii="宋体" w:hAnsi="宋体" w:cs="宋体"/>
        </w:rPr>
        <w:t>Ⅱ</w:t>
      </w:r>
      <w:r>
        <w:rPr>
          <w:rFonts w:hint="eastAsia" w:ascii="黑体" w:hAnsi="黑体" w:eastAsia="黑体"/>
        </w:rPr>
        <w:t xml:space="preserve"> 一般项目</w:t>
      </w:r>
    </w:p>
    <w:p>
      <w:pPr>
        <w:spacing w:line="240" w:lineRule="auto"/>
        <w:rPr>
          <w:rFonts w:ascii="宋体" w:hAnsi="Times New Roman"/>
          <w:bCs/>
          <w:kern w:val="0"/>
        </w:rPr>
      </w:pPr>
      <w:r>
        <w:rPr>
          <w:rFonts w:ascii="黑体" w:hAnsi="黑体" w:eastAsia="黑体"/>
        </w:rPr>
        <w:t>8</w:t>
      </w:r>
      <w:r>
        <w:rPr>
          <w:rFonts w:hint="eastAsia" w:ascii="黑体" w:hAnsi="黑体" w:eastAsia="黑体"/>
        </w:rPr>
        <w:t>.</w:t>
      </w:r>
      <w:r>
        <w:rPr>
          <w:rFonts w:ascii="黑体" w:hAnsi="黑体" w:eastAsia="黑体"/>
        </w:rPr>
        <w:t>3</w:t>
      </w:r>
      <w:r>
        <w:rPr>
          <w:rFonts w:hint="eastAsia" w:ascii="黑体" w:hAnsi="黑体" w:eastAsia="黑体"/>
        </w:rPr>
        <w:t>.</w:t>
      </w:r>
      <w:r>
        <w:rPr>
          <w:rFonts w:ascii="黑体" w:hAnsi="黑体" w:eastAsia="黑体"/>
        </w:rPr>
        <w:t>11</w:t>
      </w:r>
      <w:r>
        <w:rPr>
          <w:rFonts w:hint="eastAsia" w:ascii="黑体" w:hAnsi="黑体" w:eastAsia="黑体"/>
        </w:rPr>
        <w:t xml:space="preserve"> </w:t>
      </w:r>
      <w:r>
        <w:rPr>
          <w:rFonts w:hint="eastAsia" w:ascii="宋体" w:hAnsi="Times New Roman"/>
          <w:bCs/>
          <w:kern w:val="0"/>
        </w:rPr>
        <w:t>预制预应力混凝土装配整体式结构的施工尺寸允许偏差及检验方法应符合设计要求；当设计无要求时，应符合表</w:t>
      </w:r>
      <w:r>
        <w:rPr>
          <w:rFonts w:ascii="宋体" w:hAnsi="Times New Roman"/>
          <w:bCs/>
          <w:kern w:val="0"/>
        </w:rPr>
        <w:t>14</w:t>
      </w:r>
      <w:r>
        <w:rPr>
          <w:rFonts w:hint="eastAsia" w:ascii="宋体" w:hAnsi="Times New Roman"/>
          <w:bCs/>
          <w:kern w:val="0"/>
        </w:rPr>
        <w:t>中的规定。</w:t>
      </w:r>
    </w:p>
    <w:p>
      <w:pPr>
        <w:pStyle w:val="58"/>
        <w:ind w:firstLine="420"/>
        <w:rPr>
          <w:rFonts w:hint="eastAsia"/>
          <w:bCs/>
          <w:szCs w:val="21"/>
        </w:rPr>
      </w:pPr>
      <w:r>
        <w:rPr>
          <w:rFonts w:hint="eastAsia"/>
          <w:bCs/>
          <w:szCs w:val="21"/>
        </w:rPr>
        <w:t>检查数量：按楼层、结构缝或施工段划分检验批。在同一检验批内，对梁、柱，应抽查构件数量的10%，且不应少于3件；对墙和板应有代表性的自然间抽查10%，且不应少于3间；对大空间结构，墙可按相邻轴线间高度5m左右划分检查面，板可按纵、横轴线划分检查面，检查10%，且均不应少于3面。</w:t>
      </w:r>
    </w:p>
    <w:p>
      <w:pPr>
        <w:pStyle w:val="58"/>
        <w:ind w:firstLine="420"/>
        <w:rPr>
          <w:rFonts w:hint="eastAsia"/>
          <w:bCs/>
          <w:szCs w:val="21"/>
        </w:rPr>
      </w:pPr>
    </w:p>
    <w:p>
      <w:pPr>
        <w:pStyle w:val="58"/>
        <w:ind w:firstLine="420"/>
        <w:rPr>
          <w:rFonts w:hint="eastAsia"/>
          <w:bCs/>
          <w:szCs w:val="21"/>
        </w:rPr>
      </w:pPr>
    </w:p>
    <w:p>
      <w:pPr>
        <w:pStyle w:val="58"/>
        <w:spacing w:before="156" w:beforeLines="50" w:after="156" w:afterLines="50"/>
        <w:ind w:firstLine="0" w:firstLineChars="0"/>
        <w:jc w:val="center"/>
        <w:rPr>
          <w:rFonts w:ascii="黑体" w:hAnsi="黑体" w:eastAsia="黑体"/>
        </w:rPr>
      </w:pPr>
      <w:r>
        <w:rPr>
          <w:rFonts w:hint="eastAsia" w:ascii="黑体" w:hAnsi="黑体" w:eastAsia="黑体"/>
        </w:rPr>
        <w:t>表</w:t>
      </w:r>
      <w:r>
        <w:rPr>
          <w:rFonts w:ascii="黑体" w:hAnsi="黑体" w:eastAsia="黑体"/>
        </w:rPr>
        <w:t>14</w:t>
      </w:r>
      <w:r>
        <w:rPr>
          <w:rFonts w:hint="eastAsia" w:ascii="黑体" w:hAnsi="黑体" w:eastAsia="黑体"/>
        </w:rPr>
        <w:t xml:space="preserve"> 预制构件安装尺寸的允许偏差及检验方法</w:t>
      </w:r>
    </w:p>
    <w:tbl>
      <w:tblPr>
        <w:tblStyle w:val="27"/>
        <w:tblW w:w="9537"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577"/>
        <w:gridCol w:w="1221"/>
        <w:gridCol w:w="1656"/>
        <w:gridCol w:w="1920"/>
        <w:gridCol w:w="3163"/>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454" w:type="dxa"/>
            <w:gridSpan w:val="3"/>
            <w:tcBorders>
              <w:top w:val="single" w:color="auto" w:sz="12" w:space="0"/>
              <w:left w:val="single" w:color="auto" w:sz="12" w:space="0"/>
              <w:bottom w:val="single" w:color="auto" w:sz="12" w:space="0"/>
              <w:right w:val="single" w:color="auto" w:sz="4" w:space="0"/>
            </w:tcBorders>
            <w:vAlign w:val="center"/>
          </w:tcPr>
          <w:p>
            <w:pPr>
              <w:spacing w:line="240" w:lineRule="auto"/>
              <w:jc w:val="center"/>
              <w:rPr>
                <w:rFonts w:ascii="宋体" w:hAnsi="宋体"/>
                <w:sz w:val="18"/>
                <w:szCs w:val="18"/>
              </w:rPr>
            </w:pPr>
            <w:r>
              <w:rPr>
                <w:rFonts w:hint="eastAsia" w:ascii="宋体" w:hAnsi="宋体"/>
                <w:sz w:val="18"/>
                <w:szCs w:val="18"/>
              </w:rPr>
              <w:t>项目</w:t>
            </w:r>
          </w:p>
        </w:tc>
        <w:tc>
          <w:tcPr>
            <w:tcW w:w="1920" w:type="dxa"/>
            <w:tcBorders>
              <w:top w:val="single" w:color="auto" w:sz="12" w:space="0"/>
              <w:left w:val="single" w:color="auto" w:sz="4" w:space="0"/>
              <w:bottom w:val="single" w:color="auto" w:sz="12" w:space="0"/>
              <w:right w:val="single" w:color="auto" w:sz="4" w:space="0"/>
            </w:tcBorders>
            <w:vAlign w:val="center"/>
          </w:tcPr>
          <w:p>
            <w:pPr>
              <w:spacing w:line="240" w:lineRule="auto"/>
              <w:jc w:val="center"/>
              <w:rPr>
                <w:rFonts w:ascii="宋体" w:hAnsi="宋体"/>
                <w:sz w:val="18"/>
                <w:szCs w:val="18"/>
              </w:rPr>
            </w:pPr>
            <w:r>
              <w:rPr>
                <w:rFonts w:hint="eastAsia" w:ascii="宋体" w:hAnsi="宋体"/>
                <w:sz w:val="18"/>
                <w:szCs w:val="18"/>
              </w:rPr>
              <w:t>允许偏差（mm）</w:t>
            </w:r>
          </w:p>
        </w:tc>
        <w:tc>
          <w:tcPr>
            <w:tcW w:w="3163" w:type="dxa"/>
            <w:tcBorders>
              <w:top w:val="single" w:color="auto" w:sz="12" w:space="0"/>
              <w:left w:val="single" w:color="auto" w:sz="4" w:space="0"/>
              <w:bottom w:val="single" w:color="auto" w:sz="12" w:space="0"/>
              <w:right w:val="single" w:color="auto" w:sz="12" w:space="0"/>
            </w:tcBorders>
            <w:vAlign w:val="center"/>
          </w:tcPr>
          <w:p>
            <w:pPr>
              <w:spacing w:line="240" w:lineRule="auto"/>
              <w:jc w:val="center"/>
              <w:rPr>
                <w:rFonts w:ascii="宋体" w:hAnsi="宋体"/>
                <w:sz w:val="18"/>
                <w:szCs w:val="18"/>
              </w:rPr>
            </w:pPr>
            <w:r>
              <w:rPr>
                <w:rFonts w:hint="eastAsia" w:ascii="宋体" w:hAnsi="宋体"/>
                <w:sz w:val="18"/>
                <w:szCs w:val="18"/>
              </w:rPr>
              <w:t>检验方法</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77" w:type="dxa"/>
            <w:vMerge w:val="restart"/>
            <w:tcBorders>
              <w:top w:val="single" w:color="auto" w:sz="12" w:space="0"/>
              <w:left w:val="single" w:color="auto" w:sz="12" w:space="0"/>
              <w:bottom w:val="single" w:color="auto" w:sz="4" w:space="0"/>
              <w:right w:val="single" w:color="auto" w:sz="4" w:space="0"/>
            </w:tcBorders>
            <w:vAlign w:val="center"/>
          </w:tcPr>
          <w:p>
            <w:pPr>
              <w:spacing w:line="240" w:lineRule="auto"/>
              <w:jc w:val="center"/>
              <w:rPr>
                <w:rFonts w:ascii="宋体" w:hAnsi="宋体"/>
                <w:sz w:val="18"/>
                <w:szCs w:val="18"/>
              </w:rPr>
            </w:pPr>
            <w:r>
              <w:rPr>
                <w:rFonts w:hint="eastAsia" w:ascii="宋体" w:hAnsi="宋体"/>
                <w:sz w:val="18"/>
                <w:szCs w:val="18"/>
              </w:rPr>
              <w:t>构件中心线对轴线位置</w:t>
            </w:r>
          </w:p>
        </w:tc>
        <w:tc>
          <w:tcPr>
            <w:tcW w:w="2877" w:type="dxa"/>
            <w:gridSpan w:val="2"/>
            <w:tcBorders>
              <w:top w:val="single" w:color="auto" w:sz="12" w:space="0"/>
              <w:left w:val="single" w:color="auto" w:sz="4" w:space="0"/>
              <w:bottom w:val="single" w:color="auto" w:sz="4" w:space="0"/>
              <w:right w:val="single" w:color="auto" w:sz="4" w:space="0"/>
            </w:tcBorders>
            <w:vAlign w:val="center"/>
          </w:tcPr>
          <w:p>
            <w:pPr>
              <w:spacing w:line="240" w:lineRule="auto"/>
              <w:jc w:val="center"/>
              <w:rPr>
                <w:rFonts w:ascii="宋体" w:hAnsi="宋体"/>
                <w:sz w:val="18"/>
                <w:szCs w:val="18"/>
              </w:rPr>
            </w:pPr>
            <w:r>
              <w:rPr>
                <w:rFonts w:hint="eastAsia" w:ascii="宋体" w:hAnsi="宋体"/>
                <w:sz w:val="18"/>
                <w:szCs w:val="18"/>
              </w:rPr>
              <w:t>基础</w:t>
            </w:r>
          </w:p>
        </w:tc>
        <w:tc>
          <w:tcPr>
            <w:tcW w:w="1920" w:type="dxa"/>
            <w:tcBorders>
              <w:top w:val="single" w:color="auto" w:sz="12" w:space="0"/>
              <w:left w:val="single" w:color="auto" w:sz="4" w:space="0"/>
              <w:bottom w:val="single" w:color="auto" w:sz="4" w:space="0"/>
              <w:right w:val="single" w:color="auto" w:sz="4" w:space="0"/>
            </w:tcBorders>
            <w:vAlign w:val="center"/>
          </w:tcPr>
          <w:p>
            <w:pPr>
              <w:spacing w:line="240" w:lineRule="auto"/>
              <w:jc w:val="center"/>
              <w:rPr>
                <w:rFonts w:ascii="宋体" w:hAnsi="宋体"/>
                <w:sz w:val="18"/>
                <w:szCs w:val="18"/>
              </w:rPr>
            </w:pPr>
            <w:r>
              <w:rPr>
                <w:rFonts w:hint="eastAsia" w:ascii="宋体" w:hAnsi="宋体"/>
                <w:sz w:val="18"/>
                <w:szCs w:val="18"/>
              </w:rPr>
              <w:t>15</w:t>
            </w:r>
          </w:p>
        </w:tc>
        <w:tc>
          <w:tcPr>
            <w:tcW w:w="3163" w:type="dxa"/>
            <w:vMerge w:val="restart"/>
            <w:tcBorders>
              <w:top w:val="single" w:color="auto" w:sz="12" w:space="0"/>
              <w:left w:val="single" w:color="auto" w:sz="4" w:space="0"/>
              <w:bottom w:val="single" w:color="auto" w:sz="4" w:space="0"/>
              <w:right w:val="single" w:color="auto" w:sz="12" w:space="0"/>
            </w:tcBorders>
            <w:vAlign w:val="center"/>
          </w:tcPr>
          <w:p>
            <w:pPr>
              <w:spacing w:line="240" w:lineRule="auto"/>
              <w:jc w:val="center"/>
              <w:rPr>
                <w:rFonts w:ascii="宋体" w:hAnsi="宋体"/>
                <w:sz w:val="18"/>
                <w:szCs w:val="18"/>
              </w:rPr>
            </w:pPr>
            <w:r>
              <w:rPr>
                <w:rFonts w:hint="eastAsia" w:ascii="宋体" w:hAnsi="宋体"/>
                <w:sz w:val="18"/>
                <w:szCs w:val="18"/>
              </w:rPr>
              <w:t>经纬仪及尺量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77" w:type="dxa"/>
            <w:vMerge w:val="continue"/>
            <w:tcBorders>
              <w:top w:val="single" w:color="auto" w:sz="4" w:space="0"/>
              <w:left w:val="single" w:color="auto" w:sz="12" w:space="0"/>
              <w:bottom w:val="single" w:color="auto" w:sz="4" w:space="0"/>
              <w:right w:val="single" w:color="auto" w:sz="4" w:space="0"/>
            </w:tcBorders>
            <w:vAlign w:val="center"/>
          </w:tcPr>
          <w:p>
            <w:pPr>
              <w:widowControl/>
              <w:spacing w:line="240" w:lineRule="auto"/>
              <w:jc w:val="center"/>
              <w:rPr>
                <w:rFonts w:ascii="宋体" w:hAnsi="宋体"/>
                <w:sz w:val="18"/>
                <w:szCs w:val="18"/>
              </w:rPr>
            </w:pPr>
          </w:p>
        </w:tc>
        <w:tc>
          <w:tcPr>
            <w:tcW w:w="2877" w:type="dxa"/>
            <w:gridSpan w:val="2"/>
            <w:tcBorders>
              <w:top w:val="single" w:color="auto" w:sz="4" w:space="0"/>
              <w:left w:val="single" w:color="auto" w:sz="4" w:space="0"/>
              <w:bottom w:val="single" w:color="auto" w:sz="4" w:space="0"/>
              <w:right w:val="single" w:color="auto" w:sz="4" w:space="0"/>
            </w:tcBorders>
            <w:vAlign w:val="center"/>
          </w:tcPr>
          <w:p>
            <w:pPr>
              <w:spacing w:line="240" w:lineRule="auto"/>
              <w:jc w:val="center"/>
              <w:rPr>
                <w:rFonts w:ascii="宋体" w:hAnsi="宋体"/>
                <w:sz w:val="18"/>
                <w:szCs w:val="18"/>
              </w:rPr>
            </w:pPr>
            <w:r>
              <w:rPr>
                <w:rFonts w:hint="eastAsia" w:ascii="宋体" w:hAnsi="宋体"/>
                <w:sz w:val="18"/>
                <w:szCs w:val="18"/>
              </w:rPr>
              <w:t>柱、墙</w:t>
            </w:r>
          </w:p>
        </w:tc>
        <w:tc>
          <w:tcPr>
            <w:tcW w:w="1920" w:type="dxa"/>
            <w:tcBorders>
              <w:top w:val="single" w:color="auto" w:sz="4" w:space="0"/>
              <w:left w:val="single" w:color="auto" w:sz="4" w:space="0"/>
              <w:bottom w:val="single" w:color="auto" w:sz="4" w:space="0"/>
              <w:right w:val="single" w:color="auto" w:sz="4" w:space="0"/>
            </w:tcBorders>
            <w:vAlign w:val="center"/>
          </w:tcPr>
          <w:p>
            <w:pPr>
              <w:spacing w:line="240" w:lineRule="auto"/>
              <w:jc w:val="center"/>
              <w:rPr>
                <w:rFonts w:ascii="宋体" w:hAnsi="宋体"/>
                <w:sz w:val="18"/>
                <w:szCs w:val="18"/>
              </w:rPr>
            </w:pPr>
            <w:r>
              <w:rPr>
                <w:rFonts w:hint="eastAsia" w:ascii="宋体" w:hAnsi="宋体"/>
                <w:sz w:val="18"/>
                <w:szCs w:val="18"/>
              </w:rPr>
              <w:t>8</w:t>
            </w:r>
          </w:p>
        </w:tc>
        <w:tc>
          <w:tcPr>
            <w:tcW w:w="3163" w:type="dxa"/>
            <w:vMerge w:val="continue"/>
            <w:tcBorders>
              <w:top w:val="single" w:color="auto" w:sz="4" w:space="0"/>
              <w:left w:val="single" w:color="auto" w:sz="4" w:space="0"/>
              <w:bottom w:val="single" w:color="auto" w:sz="4" w:space="0"/>
              <w:right w:val="single" w:color="auto" w:sz="12" w:space="0"/>
            </w:tcBorders>
            <w:vAlign w:val="center"/>
          </w:tcPr>
          <w:p>
            <w:pPr>
              <w:widowControl/>
              <w:spacing w:line="240" w:lineRule="auto"/>
              <w:jc w:val="center"/>
              <w:rPr>
                <w:rFonts w:ascii="宋体" w:hAnsi="宋体"/>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77" w:type="dxa"/>
            <w:vMerge w:val="continue"/>
            <w:tcBorders>
              <w:top w:val="single" w:color="auto" w:sz="4" w:space="0"/>
              <w:left w:val="single" w:color="auto" w:sz="12" w:space="0"/>
              <w:bottom w:val="single" w:color="auto" w:sz="4" w:space="0"/>
              <w:right w:val="single" w:color="auto" w:sz="4" w:space="0"/>
            </w:tcBorders>
            <w:vAlign w:val="center"/>
          </w:tcPr>
          <w:p>
            <w:pPr>
              <w:widowControl/>
              <w:spacing w:line="240" w:lineRule="auto"/>
              <w:jc w:val="center"/>
              <w:rPr>
                <w:rFonts w:ascii="宋体" w:hAnsi="宋体"/>
                <w:sz w:val="18"/>
                <w:szCs w:val="18"/>
              </w:rPr>
            </w:pPr>
          </w:p>
        </w:tc>
        <w:tc>
          <w:tcPr>
            <w:tcW w:w="2877" w:type="dxa"/>
            <w:gridSpan w:val="2"/>
            <w:tcBorders>
              <w:top w:val="single" w:color="auto" w:sz="4" w:space="0"/>
              <w:left w:val="single" w:color="auto" w:sz="4" w:space="0"/>
              <w:bottom w:val="single" w:color="auto" w:sz="4" w:space="0"/>
              <w:right w:val="single" w:color="auto" w:sz="4" w:space="0"/>
            </w:tcBorders>
            <w:vAlign w:val="center"/>
          </w:tcPr>
          <w:p>
            <w:pPr>
              <w:spacing w:line="240" w:lineRule="auto"/>
              <w:jc w:val="center"/>
              <w:rPr>
                <w:rFonts w:ascii="宋体" w:hAnsi="宋体"/>
                <w:sz w:val="18"/>
                <w:szCs w:val="18"/>
              </w:rPr>
            </w:pPr>
            <w:r>
              <w:rPr>
                <w:rFonts w:hint="eastAsia" w:ascii="宋体" w:hAnsi="宋体"/>
                <w:sz w:val="18"/>
                <w:szCs w:val="18"/>
              </w:rPr>
              <w:t>梁、板</w:t>
            </w:r>
          </w:p>
        </w:tc>
        <w:tc>
          <w:tcPr>
            <w:tcW w:w="1920" w:type="dxa"/>
            <w:tcBorders>
              <w:top w:val="single" w:color="auto" w:sz="4" w:space="0"/>
              <w:left w:val="single" w:color="auto" w:sz="4" w:space="0"/>
              <w:bottom w:val="single" w:color="auto" w:sz="4" w:space="0"/>
              <w:right w:val="single" w:color="auto" w:sz="4" w:space="0"/>
            </w:tcBorders>
            <w:vAlign w:val="center"/>
          </w:tcPr>
          <w:p>
            <w:pPr>
              <w:spacing w:line="240" w:lineRule="auto"/>
              <w:jc w:val="center"/>
              <w:rPr>
                <w:rFonts w:ascii="宋体" w:hAnsi="宋体"/>
                <w:sz w:val="18"/>
                <w:szCs w:val="18"/>
              </w:rPr>
            </w:pPr>
            <w:r>
              <w:rPr>
                <w:rFonts w:hint="eastAsia" w:ascii="宋体" w:hAnsi="宋体"/>
                <w:sz w:val="18"/>
                <w:szCs w:val="18"/>
              </w:rPr>
              <w:t>5</w:t>
            </w:r>
          </w:p>
        </w:tc>
        <w:tc>
          <w:tcPr>
            <w:tcW w:w="3163" w:type="dxa"/>
            <w:vMerge w:val="continue"/>
            <w:tcBorders>
              <w:top w:val="single" w:color="auto" w:sz="4" w:space="0"/>
              <w:left w:val="single" w:color="auto" w:sz="4" w:space="0"/>
              <w:bottom w:val="single" w:color="auto" w:sz="4" w:space="0"/>
              <w:right w:val="single" w:color="auto" w:sz="12" w:space="0"/>
            </w:tcBorders>
            <w:vAlign w:val="center"/>
          </w:tcPr>
          <w:p>
            <w:pPr>
              <w:widowControl/>
              <w:spacing w:line="240" w:lineRule="auto"/>
              <w:jc w:val="center"/>
              <w:rPr>
                <w:rFonts w:ascii="宋体" w:hAnsi="宋体"/>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77" w:type="dxa"/>
            <w:tcBorders>
              <w:top w:val="single" w:color="auto" w:sz="4" w:space="0"/>
              <w:left w:val="single" w:color="auto" w:sz="12" w:space="0"/>
              <w:bottom w:val="single" w:color="auto" w:sz="4" w:space="0"/>
              <w:right w:val="single" w:color="auto" w:sz="4" w:space="0"/>
            </w:tcBorders>
            <w:vAlign w:val="center"/>
          </w:tcPr>
          <w:p>
            <w:pPr>
              <w:spacing w:line="240" w:lineRule="auto"/>
              <w:jc w:val="center"/>
              <w:rPr>
                <w:rFonts w:ascii="宋体" w:hAnsi="宋体"/>
                <w:sz w:val="18"/>
                <w:szCs w:val="18"/>
              </w:rPr>
            </w:pPr>
            <w:r>
              <w:rPr>
                <w:rFonts w:hint="eastAsia" w:ascii="宋体" w:hAnsi="宋体"/>
                <w:sz w:val="18"/>
                <w:szCs w:val="18"/>
              </w:rPr>
              <w:t>构件标高</w:t>
            </w:r>
          </w:p>
        </w:tc>
        <w:tc>
          <w:tcPr>
            <w:tcW w:w="2877" w:type="dxa"/>
            <w:gridSpan w:val="2"/>
            <w:tcBorders>
              <w:top w:val="single" w:color="auto" w:sz="4" w:space="0"/>
              <w:left w:val="single" w:color="auto" w:sz="4" w:space="0"/>
              <w:bottom w:val="single" w:color="auto" w:sz="4" w:space="0"/>
              <w:right w:val="single" w:color="auto" w:sz="4" w:space="0"/>
            </w:tcBorders>
            <w:vAlign w:val="center"/>
          </w:tcPr>
          <w:p>
            <w:pPr>
              <w:spacing w:line="240" w:lineRule="auto"/>
              <w:jc w:val="center"/>
              <w:rPr>
                <w:rFonts w:ascii="宋体" w:hAnsi="宋体"/>
                <w:sz w:val="18"/>
                <w:szCs w:val="18"/>
              </w:rPr>
            </w:pPr>
            <w:r>
              <w:rPr>
                <w:rFonts w:hint="eastAsia" w:ascii="宋体" w:hAnsi="宋体"/>
                <w:sz w:val="18"/>
                <w:szCs w:val="18"/>
              </w:rPr>
              <w:t>梁、柱、墙、板底面或顶面</w:t>
            </w:r>
          </w:p>
        </w:tc>
        <w:tc>
          <w:tcPr>
            <w:tcW w:w="1920" w:type="dxa"/>
            <w:tcBorders>
              <w:top w:val="single" w:color="auto" w:sz="4" w:space="0"/>
              <w:left w:val="single" w:color="auto" w:sz="4" w:space="0"/>
              <w:bottom w:val="single" w:color="auto" w:sz="4" w:space="0"/>
              <w:right w:val="single" w:color="auto" w:sz="4" w:space="0"/>
            </w:tcBorders>
            <w:vAlign w:val="center"/>
          </w:tcPr>
          <w:p>
            <w:pPr>
              <w:spacing w:line="240" w:lineRule="auto"/>
              <w:jc w:val="center"/>
              <w:rPr>
                <w:rFonts w:ascii="宋体" w:hAnsi="宋体"/>
                <w:sz w:val="18"/>
                <w:szCs w:val="18"/>
              </w:rPr>
            </w:pPr>
            <w:r>
              <w:rPr>
                <w:rFonts w:hint="eastAsia" w:ascii="宋体" w:hAnsi="宋体"/>
                <w:sz w:val="18"/>
                <w:szCs w:val="18"/>
              </w:rPr>
              <w:t>±5</w:t>
            </w:r>
          </w:p>
        </w:tc>
        <w:tc>
          <w:tcPr>
            <w:tcW w:w="3163" w:type="dxa"/>
            <w:tcBorders>
              <w:top w:val="single" w:color="auto" w:sz="4" w:space="0"/>
              <w:left w:val="single" w:color="auto" w:sz="4" w:space="0"/>
              <w:bottom w:val="single" w:color="auto" w:sz="4" w:space="0"/>
              <w:right w:val="single" w:color="auto" w:sz="12" w:space="0"/>
            </w:tcBorders>
            <w:vAlign w:val="center"/>
          </w:tcPr>
          <w:p>
            <w:pPr>
              <w:spacing w:line="240" w:lineRule="auto"/>
              <w:jc w:val="center"/>
              <w:rPr>
                <w:rFonts w:ascii="宋体" w:hAnsi="宋体"/>
                <w:sz w:val="18"/>
                <w:szCs w:val="18"/>
              </w:rPr>
            </w:pPr>
            <w:r>
              <w:rPr>
                <w:rFonts w:hint="eastAsia" w:ascii="宋体" w:hAnsi="宋体"/>
                <w:sz w:val="18"/>
                <w:szCs w:val="18"/>
              </w:rPr>
              <w:t>水准仪或拉线、尺量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77" w:type="dxa"/>
            <w:vMerge w:val="restart"/>
            <w:tcBorders>
              <w:top w:val="single" w:color="auto" w:sz="4" w:space="0"/>
              <w:left w:val="single" w:color="auto" w:sz="12" w:space="0"/>
              <w:bottom w:val="single" w:color="auto" w:sz="4" w:space="0"/>
              <w:right w:val="single" w:color="auto" w:sz="4" w:space="0"/>
            </w:tcBorders>
            <w:vAlign w:val="center"/>
          </w:tcPr>
          <w:p>
            <w:pPr>
              <w:spacing w:line="240" w:lineRule="auto"/>
              <w:jc w:val="center"/>
              <w:rPr>
                <w:rFonts w:ascii="宋体" w:hAnsi="宋体"/>
                <w:sz w:val="18"/>
                <w:szCs w:val="18"/>
              </w:rPr>
            </w:pPr>
            <w:r>
              <w:rPr>
                <w:rFonts w:hint="eastAsia" w:ascii="宋体" w:hAnsi="宋体"/>
                <w:sz w:val="18"/>
                <w:szCs w:val="18"/>
              </w:rPr>
              <w:t>构件垂直度</w:t>
            </w:r>
          </w:p>
        </w:tc>
        <w:tc>
          <w:tcPr>
            <w:tcW w:w="1221" w:type="dxa"/>
            <w:tcBorders>
              <w:top w:val="single" w:color="auto" w:sz="4" w:space="0"/>
              <w:left w:val="single" w:color="auto" w:sz="4" w:space="0"/>
              <w:bottom w:val="single" w:color="auto" w:sz="4" w:space="0"/>
              <w:right w:val="single" w:color="auto" w:sz="4" w:space="0"/>
            </w:tcBorders>
            <w:vAlign w:val="center"/>
          </w:tcPr>
          <w:p>
            <w:pPr>
              <w:spacing w:line="240" w:lineRule="auto"/>
              <w:jc w:val="center"/>
              <w:rPr>
                <w:rFonts w:ascii="宋体" w:hAnsi="宋体"/>
                <w:sz w:val="18"/>
                <w:szCs w:val="18"/>
              </w:rPr>
            </w:pPr>
            <w:r>
              <w:rPr>
                <w:rFonts w:hint="eastAsia" w:ascii="宋体" w:hAnsi="宋体"/>
                <w:sz w:val="18"/>
                <w:szCs w:val="18"/>
              </w:rPr>
              <w:t>柱、墙</w:t>
            </w:r>
          </w:p>
        </w:tc>
        <w:tc>
          <w:tcPr>
            <w:tcW w:w="1656" w:type="dxa"/>
            <w:tcBorders>
              <w:top w:val="single" w:color="auto" w:sz="4" w:space="0"/>
              <w:left w:val="single" w:color="auto" w:sz="4" w:space="0"/>
              <w:bottom w:val="single" w:color="auto" w:sz="4" w:space="0"/>
              <w:right w:val="single" w:color="auto" w:sz="4" w:space="0"/>
            </w:tcBorders>
            <w:vAlign w:val="center"/>
          </w:tcPr>
          <w:p>
            <w:pPr>
              <w:spacing w:line="240" w:lineRule="auto"/>
              <w:jc w:val="center"/>
              <w:rPr>
                <w:rFonts w:ascii="宋体" w:hAnsi="宋体"/>
                <w:sz w:val="18"/>
                <w:szCs w:val="18"/>
              </w:rPr>
            </w:pPr>
            <w:r>
              <w:rPr>
                <w:rFonts w:hint="eastAsia" w:ascii="宋体" w:hAnsi="宋体"/>
                <w:sz w:val="18"/>
                <w:szCs w:val="18"/>
              </w:rPr>
              <w:t>≤6m</w:t>
            </w:r>
          </w:p>
        </w:tc>
        <w:tc>
          <w:tcPr>
            <w:tcW w:w="1920" w:type="dxa"/>
            <w:tcBorders>
              <w:top w:val="single" w:color="auto" w:sz="4" w:space="0"/>
              <w:left w:val="single" w:color="auto" w:sz="4" w:space="0"/>
              <w:bottom w:val="single" w:color="auto" w:sz="4" w:space="0"/>
              <w:right w:val="single" w:color="auto" w:sz="4" w:space="0"/>
            </w:tcBorders>
            <w:vAlign w:val="center"/>
          </w:tcPr>
          <w:p>
            <w:pPr>
              <w:spacing w:line="240" w:lineRule="auto"/>
              <w:jc w:val="center"/>
              <w:rPr>
                <w:rFonts w:ascii="宋体" w:hAnsi="宋体"/>
                <w:sz w:val="18"/>
                <w:szCs w:val="18"/>
              </w:rPr>
            </w:pPr>
            <w:r>
              <w:rPr>
                <w:rFonts w:hint="eastAsia" w:ascii="宋体" w:hAnsi="宋体"/>
                <w:sz w:val="18"/>
                <w:szCs w:val="18"/>
              </w:rPr>
              <w:t>5</w:t>
            </w:r>
          </w:p>
        </w:tc>
        <w:tc>
          <w:tcPr>
            <w:tcW w:w="3163" w:type="dxa"/>
            <w:vMerge w:val="restart"/>
            <w:tcBorders>
              <w:top w:val="single" w:color="auto" w:sz="4" w:space="0"/>
              <w:left w:val="single" w:color="auto" w:sz="4" w:space="0"/>
              <w:bottom w:val="single" w:color="auto" w:sz="4" w:space="0"/>
              <w:right w:val="single" w:color="auto" w:sz="12" w:space="0"/>
            </w:tcBorders>
            <w:vAlign w:val="center"/>
          </w:tcPr>
          <w:p>
            <w:pPr>
              <w:spacing w:line="240" w:lineRule="auto"/>
              <w:jc w:val="center"/>
              <w:rPr>
                <w:rFonts w:ascii="宋体" w:hAnsi="宋体"/>
                <w:sz w:val="18"/>
                <w:szCs w:val="18"/>
              </w:rPr>
            </w:pPr>
            <w:r>
              <w:rPr>
                <w:rFonts w:hint="eastAsia" w:ascii="宋体" w:hAnsi="宋体"/>
                <w:sz w:val="18"/>
                <w:szCs w:val="18"/>
              </w:rPr>
              <w:t>经纬仪或吊线、尺量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77" w:type="dxa"/>
            <w:vMerge w:val="continue"/>
            <w:tcBorders>
              <w:top w:val="single" w:color="auto" w:sz="4" w:space="0"/>
              <w:left w:val="single" w:color="auto" w:sz="12" w:space="0"/>
              <w:bottom w:val="single" w:color="auto" w:sz="4" w:space="0"/>
              <w:right w:val="single" w:color="auto" w:sz="4" w:space="0"/>
            </w:tcBorders>
            <w:vAlign w:val="center"/>
          </w:tcPr>
          <w:p>
            <w:pPr>
              <w:widowControl/>
              <w:spacing w:line="240" w:lineRule="auto"/>
              <w:jc w:val="center"/>
              <w:rPr>
                <w:rFonts w:ascii="宋体" w:hAnsi="宋体"/>
                <w:sz w:val="18"/>
                <w:szCs w:val="18"/>
              </w:rPr>
            </w:pPr>
          </w:p>
        </w:tc>
        <w:tc>
          <w:tcPr>
            <w:tcW w:w="1221" w:type="dxa"/>
            <w:tcBorders>
              <w:top w:val="single" w:color="auto" w:sz="4" w:space="0"/>
              <w:left w:val="single" w:color="auto" w:sz="4" w:space="0"/>
              <w:bottom w:val="single" w:color="auto" w:sz="4" w:space="0"/>
              <w:right w:val="single" w:color="auto" w:sz="4" w:space="0"/>
            </w:tcBorders>
            <w:vAlign w:val="center"/>
          </w:tcPr>
          <w:p>
            <w:pPr>
              <w:spacing w:line="240" w:lineRule="auto"/>
              <w:jc w:val="center"/>
              <w:rPr>
                <w:rFonts w:ascii="宋体" w:hAnsi="宋体"/>
                <w:sz w:val="18"/>
                <w:szCs w:val="18"/>
              </w:rPr>
            </w:pPr>
          </w:p>
        </w:tc>
        <w:tc>
          <w:tcPr>
            <w:tcW w:w="1656" w:type="dxa"/>
            <w:tcBorders>
              <w:top w:val="single" w:color="auto" w:sz="4" w:space="0"/>
              <w:left w:val="single" w:color="auto" w:sz="4" w:space="0"/>
              <w:bottom w:val="single" w:color="auto" w:sz="4" w:space="0"/>
              <w:right w:val="single" w:color="auto" w:sz="4" w:space="0"/>
            </w:tcBorders>
            <w:vAlign w:val="center"/>
          </w:tcPr>
          <w:p>
            <w:pPr>
              <w:spacing w:line="240" w:lineRule="auto"/>
              <w:jc w:val="center"/>
              <w:rPr>
                <w:rFonts w:ascii="宋体" w:hAnsi="宋体"/>
                <w:sz w:val="18"/>
                <w:szCs w:val="18"/>
              </w:rPr>
            </w:pPr>
            <w:r>
              <w:rPr>
                <w:rFonts w:hint="eastAsia" w:ascii="宋体" w:hAnsi="宋体"/>
                <w:sz w:val="18"/>
                <w:szCs w:val="18"/>
              </w:rPr>
              <w:t>＞6m</w:t>
            </w:r>
          </w:p>
        </w:tc>
        <w:tc>
          <w:tcPr>
            <w:tcW w:w="1920" w:type="dxa"/>
            <w:tcBorders>
              <w:top w:val="single" w:color="auto" w:sz="4" w:space="0"/>
              <w:left w:val="single" w:color="auto" w:sz="4" w:space="0"/>
              <w:bottom w:val="single" w:color="auto" w:sz="4" w:space="0"/>
              <w:right w:val="single" w:color="auto" w:sz="4" w:space="0"/>
            </w:tcBorders>
            <w:vAlign w:val="center"/>
          </w:tcPr>
          <w:p>
            <w:pPr>
              <w:spacing w:line="240" w:lineRule="auto"/>
              <w:jc w:val="center"/>
              <w:rPr>
                <w:rFonts w:ascii="宋体" w:hAnsi="宋体"/>
                <w:sz w:val="18"/>
                <w:szCs w:val="18"/>
              </w:rPr>
            </w:pPr>
            <w:r>
              <w:rPr>
                <w:rFonts w:hint="eastAsia" w:ascii="宋体" w:hAnsi="宋体"/>
                <w:sz w:val="18"/>
                <w:szCs w:val="18"/>
              </w:rPr>
              <w:t>10</w:t>
            </w:r>
          </w:p>
        </w:tc>
        <w:tc>
          <w:tcPr>
            <w:tcW w:w="3163" w:type="dxa"/>
            <w:vMerge w:val="continue"/>
            <w:tcBorders>
              <w:top w:val="single" w:color="auto" w:sz="4" w:space="0"/>
              <w:left w:val="single" w:color="auto" w:sz="4" w:space="0"/>
              <w:bottom w:val="single" w:color="auto" w:sz="4" w:space="0"/>
              <w:right w:val="single" w:color="auto" w:sz="12" w:space="0"/>
            </w:tcBorders>
            <w:vAlign w:val="center"/>
          </w:tcPr>
          <w:p>
            <w:pPr>
              <w:widowControl/>
              <w:spacing w:line="240" w:lineRule="auto"/>
              <w:jc w:val="center"/>
              <w:rPr>
                <w:rFonts w:ascii="宋体" w:hAnsi="宋体"/>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77" w:type="dxa"/>
            <w:tcBorders>
              <w:top w:val="single" w:color="auto" w:sz="4" w:space="0"/>
              <w:left w:val="single" w:color="auto" w:sz="12" w:space="0"/>
              <w:bottom w:val="single" w:color="auto" w:sz="4" w:space="0"/>
              <w:right w:val="single" w:color="auto" w:sz="4" w:space="0"/>
            </w:tcBorders>
            <w:vAlign w:val="center"/>
          </w:tcPr>
          <w:p>
            <w:pPr>
              <w:spacing w:line="240" w:lineRule="auto"/>
              <w:jc w:val="center"/>
              <w:rPr>
                <w:rFonts w:ascii="宋体" w:hAnsi="宋体"/>
                <w:sz w:val="18"/>
                <w:szCs w:val="18"/>
              </w:rPr>
            </w:pPr>
            <w:r>
              <w:rPr>
                <w:rFonts w:hint="eastAsia" w:ascii="宋体" w:hAnsi="宋体"/>
                <w:sz w:val="18"/>
                <w:szCs w:val="18"/>
              </w:rPr>
              <w:t>构件倾斜度</w:t>
            </w:r>
          </w:p>
        </w:tc>
        <w:tc>
          <w:tcPr>
            <w:tcW w:w="2877" w:type="dxa"/>
            <w:gridSpan w:val="2"/>
            <w:tcBorders>
              <w:top w:val="single" w:color="auto" w:sz="4" w:space="0"/>
              <w:left w:val="single" w:color="auto" w:sz="4" w:space="0"/>
              <w:bottom w:val="single" w:color="auto" w:sz="4" w:space="0"/>
              <w:right w:val="single" w:color="auto" w:sz="4" w:space="0"/>
            </w:tcBorders>
            <w:vAlign w:val="center"/>
          </w:tcPr>
          <w:p>
            <w:pPr>
              <w:spacing w:line="240" w:lineRule="auto"/>
              <w:jc w:val="center"/>
              <w:rPr>
                <w:rFonts w:ascii="宋体" w:hAnsi="宋体"/>
                <w:sz w:val="18"/>
                <w:szCs w:val="18"/>
              </w:rPr>
            </w:pPr>
            <w:r>
              <w:rPr>
                <w:rFonts w:hint="eastAsia" w:ascii="宋体" w:hAnsi="宋体"/>
                <w:sz w:val="18"/>
                <w:szCs w:val="18"/>
              </w:rPr>
              <w:t>梁</w:t>
            </w:r>
          </w:p>
        </w:tc>
        <w:tc>
          <w:tcPr>
            <w:tcW w:w="1920" w:type="dxa"/>
            <w:tcBorders>
              <w:top w:val="single" w:color="auto" w:sz="4" w:space="0"/>
              <w:left w:val="single" w:color="auto" w:sz="4" w:space="0"/>
              <w:bottom w:val="single" w:color="auto" w:sz="4" w:space="0"/>
              <w:right w:val="single" w:color="auto" w:sz="4" w:space="0"/>
            </w:tcBorders>
            <w:vAlign w:val="center"/>
          </w:tcPr>
          <w:p>
            <w:pPr>
              <w:spacing w:line="240" w:lineRule="auto"/>
              <w:jc w:val="center"/>
              <w:rPr>
                <w:rFonts w:ascii="宋体" w:hAnsi="宋体"/>
                <w:sz w:val="18"/>
                <w:szCs w:val="18"/>
              </w:rPr>
            </w:pPr>
            <w:r>
              <w:rPr>
                <w:rFonts w:hint="eastAsia" w:ascii="宋体" w:hAnsi="宋体"/>
                <w:sz w:val="18"/>
                <w:szCs w:val="18"/>
              </w:rPr>
              <w:t>5</w:t>
            </w:r>
          </w:p>
        </w:tc>
        <w:tc>
          <w:tcPr>
            <w:tcW w:w="3163" w:type="dxa"/>
            <w:tcBorders>
              <w:top w:val="single" w:color="auto" w:sz="4" w:space="0"/>
              <w:left w:val="single" w:color="auto" w:sz="4" w:space="0"/>
              <w:bottom w:val="single" w:color="auto" w:sz="4" w:space="0"/>
              <w:right w:val="single" w:color="auto" w:sz="12" w:space="0"/>
            </w:tcBorders>
            <w:vAlign w:val="center"/>
          </w:tcPr>
          <w:p>
            <w:pPr>
              <w:spacing w:line="240" w:lineRule="auto"/>
              <w:jc w:val="center"/>
              <w:rPr>
                <w:rFonts w:ascii="宋体" w:hAnsi="宋体"/>
                <w:sz w:val="18"/>
                <w:szCs w:val="18"/>
              </w:rPr>
            </w:pPr>
            <w:r>
              <w:rPr>
                <w:rFonts w:hint="eastAsia" w:ascii="宋体" w:hAnsi="宋体"/>
                <w:sz w:val="18"/>
                <w:szCs w:val="18"/>
              </w:rPr>
              <w:t>经纬仪或吊线、尺量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77" w:type="dxa"/>
            <w:vMerge w:val="restart"/>
            <w:tcBorders>
              <w:top w:val="single" w:color="auto" w:sz="4" w:space="0"/>
              <w:left w:val="single" w:color="auto" w:sz="12" w:space="0"/>
              <w:bottom w:val="single" w:color="auto" w:sz="4" w:space="0"/>
              <w:right w:val="single" w:color="auto" w:sz="4" w:space="0"/>
            </w:tcBorders>
            <w:vAlign w:val="center"/>
          </w:tcPr>
          <w:p>
            <w:pPr>
              <w:spacing w:line="240" w:lineRule="auto"/>
              <w:jc w:val="center"/>
              <w:rPr>
                <w:rFonts w:ascii="宋体" w:hAnsi="宋体"/>
                <w:sz w:val="18"/>
                <w:szCs w:val="18"/>
              </w:rPr>
            </w:pPr>
            <w:r>
              <w:rPr>
                <w:rFonts w:hint="eastAsia" w:ascii="宋体" w:hAnsi="宋体"/>
                <w:sz w:val="18"/>
                <w:szCs w:val="18"/>
              </w:rPr>
              <w:t>相邻构件</w:t>
            </w:r>
          </w:p>
          <w:p>
            <w:pPr>
              <w:spacing w:line="240" w:lineRule="auto"/>
              <w:jc w:val="center"/>
              <w:rPr>
                <w:rFonts w:ascii="宋体" w:hAnsi="宋体"/>
                <w:sz w:val="18"/>
                <w:szCs w:val="18"/>
              </w:rPr>
            </w:pPr>
            <w:r>
              <w:rPr>
                <w:rFonts w:hint="eastAsia" w:ascii="宋体" w:hAnsi="宋体"/>
                <w:sz w:val="18"/>
                <w:szCs w:val="18"/>
              </w:rPr>
              <w:t>平整度</w:t>
            </w:r>
          </w:p>
        </w:tc>
        <w:tc>
          <w:tcPr>
            <w:tcW w:w="2877" w:type="dxa"/>
            <w:gridSpan w:val="2"/>
            <w:tcBorders>
              <w:top w:val="single" w:color="auto" w:sz="4" w:space="0"/>
              <w:left w:val="single" w:color="auto" w:sz="4" w:space="0"/>
              <w:bottom w:val="single" w:color="auto" w:sz="4" w:space="0"/>
              <w:right w:val="single" w:color="auto" w:sz="4" w:space="0"/>
            </w:tcBorders>
            <w:vAlign w:val="center"/>
          </w:tcPr>
          <w:p>
            <w:pPr>
              <w:spacing w:line="240" w:lineRule="auto"/>
              <w:jc w:val="center"/>
              <w:rPr>
                <w:rFonts w:ascii="宋体" w:hAnsi="宋体"/>
                <w:sz w:val="18"/>
                <w:szCs w:val="18"/>
              </w:rPr>
            </w:pPr>
            <w:r>
              <w:rPr>
                <w:rFonts w:hint="eastAsia" w:ascii="宋体" w:hAnsi="宋体"/>
                <w:sz w:val="18"/>
                <w:szCs w:val="18"/>
              </w:rPr>
              <w:t>板端面</w:t>
            </w:r>
          </w:p>
        </w:tc>
        <w:tc>
          <w:tcPr>
            <w:tcW w:w="1920" w:type="dxa"/>
            <w:tcBorders>
              <w:top w:val="single" w:color="auto" w:sz="4" w:space="0"/>
              <w:left w:val="single" w:color="auto" w:sz="4" w:space="0"/>
              <w:bottom w:val="single" w:color="auto" w:sz="4" w:space="0"/>
              <w:right w:val="single" w:color="auto" w:sz="4" w:space="0"/>
            </w:tcBorders>
            <w:vAlign w:val="center"/>
          </w:tcPr>
          <w:p>
            <w:pPr>
              <w:spacing w:line="240" w:lineRule="auto"/>
              <w:jc w:val="center"/>
              <w:rPr>
                <w:rFonts w:ascii="宋体" w:hAnsi="宋体"/>
                <w:sz w:val="18"/>
                <w:szCs w:val="18"/>
              </w:rPr>
            </w:pPr>
            <w:r>
              <w:rPr>
                <w:rFonts w:hint="eastAsia" w:ascii="宋体" w:hAnsi="宋体"/>
                <w:sz w:val="18"/>
                <w:szCs w:val="18"/>
              </w:rPr>
              <w:t>5</w:t>
            </w:r>
          </w:p>
        </w:tc>
        <w:tc>
          <w:tcPr>
            <w:tcW w:w="3163" w:type="dxa"/>
            <w:vMerge w:val="restart"/>
            <w:tcBorders>
              <w:top w:val="single" w:color="auto" w:sz="4" w:space="0"/>
              <w:left w:val="single" w:color="auto" w:sz="4" w:space="0"/>
              <w:bottom w:val="single" w:color="auto" w:sz="4" w:space="0"/>
              <w:right w:val="single" w:color="auto" w:sz="12" w:space="0"/>
            </w:tcBorders>
            <w:vAlign w:val="center"/>
          </w:tcPr>
          <w:p>
            <w:pPr>
              <w:spacing w:line="240" w:lineRule="auto"/>
              <w:jc w:val="center"/>
              <w:rPr>
                <w:rFonts w:ascii="宋体" w:hAnsi="宋体"/>
                <w:sz w:val="18"/>
                <w:szCs w:val="18"/>
              </w:rPr>
            </w:pPr>
            <w:r>
              <w:rPr>
                <w:rFonts w:hint="eastAsia" w:ascii="宋体" w:hAnsi="宋体"/>
                <w:sz w:val="18"/>
                <w:szCs w:val="18"/>
              </w:rPr>
              <w:t>2m靠尺和塞尺量测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77" w:type="dxa"/>
            <w:vMerge w:val="continue"/>
            <w:tcBorders>
              <w:top w:val="single" w:color="auto" w:sz="4" w:space="0"/>
              <w:left w:val="single" w:color="auto" w:sz="12" w:space="0"/>
              <w:bottom w:val="single" w:color="auto" w:sz="4" w:space="0"/>
              <w:right w:val="single" w:color="auto" w:sz="4" w:space="0"/>
            </w:tcBorders>
            <w:vAlign w:val="center"/>
          </w:tcPr>
          <w:p>
            <w:pPr>
              <w:widowControl/>
              <w:spacing w:line="240" w:lineRule="auto"/>
              <w:jc w:val="center"/>
              <w:rPr>
                <w:rFonts w:ascii="宋体" w:hAnsi="宋体"/>
                <w:sz w:val="18"/>
                <w:szCs w:val="18"/>
              </w:rPr>
            </w:pPr>
          </w:p>
        </w:tc>
        <w:tc>
          <w:tcPr>
            <w:tcW w:w="1221" w:type="dxa"/>
            <w:vMerge w:val="restart"/>
            <w:tcBorders>
              <w:top w:val="single" w:color="auto" w:sz="4" w:space="0"/>
              <w:left w:val="single" w:color="auto" w:sz="4" w:space="0"/>
              <w:bottom w:val="single" w:color="auto" w:sz="4" w:space="0"/>
              <w:right w:val="single" w:color="auto" w:sz="4" w:space="0"/>
            </w:tcBorders>
            <w:vAlign w:val="center"/>
          </w:tcPr>
          <w:p>
            <w:pPr>
              <w:spacing w:line="240" w:lineRule="auto"/>
              <w:jc w:val="center"/>
              <w:rPr>
                <w:rFonts w:ascii="宋体" w:hAnsi="宋体"/>
                <w:sz w:val="18"/>
                <w:szCs w:val="18"/>
              </w:rPr>
            </w:pPr>
            <w:r>
              <w:rPr>
                <w:rFonts w:hint="eastAsia" w:ascii="宋体" w:hAnsi="宋体"/>
                <w:sz w:val="18"/>
                <w:szCs w:val="18"/>
              </w:rPr>
              <w:t>梁、板底面</w:t>
            </w:r>
          </w:p>
        </w:tc>
        <w:tc>
          <w:tcPr>
            <w:tcW w:w="1656" w:type="dxa"/>
            <w:tcBorders>
              <w:top w:val="single" w:color="auto" w:sz="4" w:space="0"/>
              <w:left w:val="single" w:color="auto" w:sz="4" w:space="0"/>
              <w:bottom w:val="single" w:color="auto" w:sz="4" w:space="0"/>
              <w:right w:val="single" w:color="auto" w:sz="4" w:space="0"/>
            </w:tcBorders>
            <w:vAlign w:val="center"/>
          </w:tcPr>
          <w:p>
            <w:pPr>
              <w:spacing w:line="240" w:lineRule="auto"/>
              <w:jc w:val="center"/>
              <w:rPr>
                <w:rFonts w:ascii="宋体" w:hAnsi="宋体"/>
                <w:sz w:val="18"/>
                <w:szCs w:val="18"/>
              </w:rPr>
            </w:pPr>
            <w:r>
              <w:rPr>
                <w:rFonts w:hint="eastAsia" w:ascii="宋体" w:hAnsi="宋体"/>
                <w:sz w:val="18"/>
                <w:szCs w:val="18"/>
              </w:rPr>
              <w:t>外露</w:t>
            </w:r>
          </w:p>
        </w:tc>
        <w:tc>
          <w:tcPr>
            <w:tcW w:w="1920" w:type="dxa"/>
            <w:tcBorders>
              <w:top w:val="single" w:color="auto" w:sz="4" w:space="0"/>
              <w:left w:val="single" w:color="auto" w:sz="4" w:space="0"/>
              <w:bottom w:val="single" w:color="auto" w:sz="4" w:space="0"/>
              <w:right w:val="single" w:color="auto" w:sz="4" w:space="0"/>
            </w:tcBorders>
            <w:vAlign w:val="center"/>
          </w:tcPr>
          <w:p>
            <w:pPr>
              <w:spacing w:line="240" w:lineRule="auto"/>
              <w:jc w:val="center"/>
              <w:rPr>
                <w:rFonts w:ascii="宋体" w:hAnsi="宋体"/>
                <w:sz w:val="18"/>
                <w:szCs w:val="18"/>
              </w:rPr>
            </w:pPr>
            <w:r>
              <w:rPr>
                <w:rFonts w:hint="eastAsia" w:ascii="宋体" w:hAnsi="宋体"/>
                <w:sz w:val="18"/>
                <w:szCs w:val="18"/>
              </w:rPr>
              <w:t>3</w:t>
            </w:r>
          </w:p>
        </w:tc>
        <w:tc>
          <w:tcPr>
            <w:tcW w:w="3163" w:type="dxa"/>
            <w:vMerge w:val="continue"/>
            <w:tcBorders>
              <w:top w:val="single" w:color="auto" w:sz="4" w:space="0"/>
              <w:left w:val="single" w:color="auto" w:sz="4" w:space="0"/>
              <w:bottom w:val="single" w:color="auto" w:sz="4" w:space="0"/>
              <w:right w:val="single" w:color="auto" w:sz="12" w:space="0"/>
            </w:tcBorders>
            <w:vAlign w:val="center"/>
          </w:tcPr>
          <w:p>
            <w:pPr>
              <w:widowControl/>
              <w:spacing w:line="240" w:lineRule="auto"/>
              <w:jc w:val="center"/>
              <w:rPr>
                <w:rFonts w:ascii="宋体" w:hAnsi="宋体"/>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77" w:type="dxa"/>
            <w:vMerge w:val="continue"/>
            <w:tcBorders>
              <w:top w:val="single" w:color="auto" w:sz="4" w:space="0"/>
              <w:left w:val="single" w:color="auto" w:sz="12" w:space="0"/>
              <w:bottom w:val="single" w:color="auto" w:sz="4" w:space="0"/>
              <w:right w:val="single" w:color="auto" w:sz="4" w:space="0"/>
            </w:tcBorders>
            <w:vAlign w:val="center"/>
          </w:tcPr>
          <w:p>
            <w:pPr>
              <w:widowControl/>
              <w:spacing w:line="240" w:lineRule="auto"/>
              <w:jc w:val="center"/>
              <w:rPr>
                <w:rFonts w:ascii="宋体" w:hAnsi="宋体"/>
                <w:sz w:val="18"/>
                <w:szCs w:val="18"/>
              </w:rPr>
            </w:pPr>
          </w:p>
        </w:tc>
        <w:tc>
          <w:tcPr>
            <w:tcW w:w="1221"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jc w:val="center"/>
              <w:rPr>
                <w:rFonts w:ascii="宋体" w:hAnsi="宋体"/>
                <w:sz w:val="18"/>
                <w:szCs w:val="18"/>
              </w:rPr>
            </w:pPr>
          </w:p>
        </w:tc>
        <w:tc>
          <w:tcPr>
            <w:tcW w:w="1656" w:type="dxa"/>
            <w:tcBorders>
              <w:top w:val="single" w:color="auto" w:sz="4" w:space="0"/>
              <w:left w:val="single" w:color="auto" w:sz="4" w:space="0"/>
              <w:bottom w:val="single" w:color="auto" w:sz="4" w:space="0"/>
              <w:right w:val="single" w:color="auto" w:sz="4" w:space="0"/>
            </w:tcBorders>
            <w:vAlign w:val="center"/>
          </w:tcPr>
          <w:p>
            <w:pPr>
              <w:spacing w:line="240" w:lineRule="auto"/>
              <w:jc w:val="center"/>
              <w:rPr>
                <w:rFonts w:ascii="宋体" w:hAnsi="宋体"/>
                <w:sz w:val="18"/>
                <w:szCs w:val="18"/>
              </w:rPr>
            </w:pPr>
            <w:r>
              <w:rPr>
                <w:rFonts w:hint="eastAsia" w:ascii="宋体" w:hAnsi="宋体"/>
                <w:sz w:val="18"/>
                <w:szCs w:val="18"/>
              </w:rPr>
              <w:t>不外露</w:t>
            </w:r>
          </w:p>
        </w:tc>
        <w:tc>
          <w:tcPr>
            <w:tcW w:w="1920" w:type="dxa"/>
            <w:tcBorders>
              <w:top w:val="single" w:color="auto" w:sz="4" w:space="0"/>
              <w:left w:val="single" w:color="auto" w:sz="4" w:space="0"/>
              <w:bottom w:val="single" w:color="auto" w:sz="4" w:space="0"/>
              <w:right w:val="single" w:color="auto" w:sz="4" w:space="0"/>
            </w:tcBorders>
            <w:vAlign w:val="center"/>
          </w:tcPr>
          <w:p>
            <w:pPr>
              <w:spacing w:line="240" w:lineRule="auto"/>
              <w:jc w:val="center"/>
              <w:rPr>
                <w:rFonts w:ascii="宋体" w:hAnsi="宋体"/>
                <w:sz w:val="18"/>
                <w:szCs w:val="18"/>
              </w:rPr>
            </w:pPr>
            <w:r>
              <w:rPr>
                <w:rFonts w:hint="eastAsia" w:ascii="宋体" w:hAnsi="宋体"/>
                <w:sz w:val="18"/>
                <w:szCs w:val="18"/>
              </w:rPr>
              <w:t>5</w:t>
            </w:r>
          </w:p>
        </w:tc>
        <w:tc>
          <w:tcPr>
            <w:tcW w:w="3163" w:type="dxa"/>
            <w:vMerge w:val="continue"/>
            <w:tcBorders>
              <w:top w:val="single" w:color="auto" w:sz="4" w:space="0"/>
              <w:left w:val="single" w:color="auto" w:sz="4" w:space="0"/>
              <w:bottom w:val="single" w:color="auto" w:sz="4" w:space="0"/>
              <w:right w:val="single" w:color="auto" w:sz="12" w:space="0"/>
            </w:tcBorders>
            <w:vAlign w:val="center"/>
          </w:tcPr>
          <w:p>
            <w:pPr>
              <w:widowControl/>
              <w:spacing w:line="240" w:lineRule="auto"/>
              <w:jc w:val="center"/>
              <w:rPr>
                <w:rFonts w:ascii="宋体" w:hAnsi="宋体"/>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77" w:type="dxa"/>
            <w:vMerge w:val="continue"/>
            <w:tcBorders>
              <w:top w:val="single" w:color="auto" w:sz="4" w:space="0"/>
              <w:left w:val="single" w:color="auto" w:sz="12" w:space="0"/>
              <w:bottom w:val="single" w:color="auto" w:sz="4" w:space="0"/>
              <w:right w:val="single" w:color="auto" w:sz="4" w:space="0"/>
            </w:tcBorders>
            <w:vAlign w:val="center"/>
          </w:tcPr>
          <w:p>
            <w:pPr>
              <w:widowControl/>
              <w:spacing w:line="240" w:lineRule="auto"/>
              <w:jc w:val="center"/>
              <w:rPr>
                <w:rFonts w:ascii="宋体" w:hAnsi="宋体"/>
                <w:sz w:val="18"/>
                <w:szCs w:val="18"/>
              </w:rPr>
            </w:pPr>
          </w:p>
        </w:tc>
        <w:tc>
          <w:tcPr>
            <w:tcW w:w="1221" w:type="dxa"/>
            <w:vMerge w:val="restart"/>
            <w:tcBorders>
              <w:top w:val="single" w:color="auto" w:sz="4" w:space="0"/>
              <w:left w:val="single" w:color="auto" w:sz="4" w:space="0"/>
              <w:bottom w:val="single" w:color="auto" w:sz="4" w:space="0"/>
              <w:right w:val="single" w:color="auto" w:sz="4" w:space="0"/>
            </w:tcBorders>
            <w:vAlign w:val="center"/>
          </w:tcPr>
          <w:p>
            <w:pPr>
              <w:spacing w:line="240" w:lineRule="auto"/>
              <w:jc w:val="center"/>
              <w:rPr>
                <w:rFonts w:ascii="宋体" w:hAnsi="宋体"/>
                <w:sz w:val="18"/>
                <w:szCs w:val="18"/>
              </w:rPr>
            </w:pPr>
            <w:r>
              <w:rPr>
                <w:rFonts w:hint="eastAsia" w:ascii="宋体" w:hAnsi="宋体"/>
                <w:sz w:val="18"/>
                <w:szCs w:val="18"/>
              </w:rPr>
              <w:t>柱、墙侧面</w:t>
            </w:r>
          </w:p>
        </w:tc>
        <w:tc>
          <w:tcPr>
            <w:tcW w:w="1656" w:type="dxa"/>
            <w:tcBorders>
              <w:top w:val="single" w:color="auto" w:sz="4" w:space="0"/>
              <w:left w:val="single" w:color="auto" w:sz="4" w:space="0"/>
              <w:bottom w:val="single" w:color="auto" w:sz="4" w:space="0"/>
              <w:right w:val="single" w:color="auto" w:sz="4" w:space="0"/>
            </w:tcBorders>
            <w:vAlign w:val="center"/>
          </w:tcPr>
          <w:p>
            <w:pPr>
              <w:spacing w:line="240" w:lineRule="auto"/>
              <w:jc w:val="center"/>
              <w:rPr>
                <w:rFonts w:ascii="宋体" w:hAnsi="宋体"/>
                <w:sz w:val="18"/>
                <w:szCs w:val="18"/>
              </w:rPr>
            </w:pPr>
            <w:r>
              <w:rPr>
                <w:rFonts w:hint="eastAsia" w:ascii="宋体" w:hAnsi="宋体"/>
                <w:sz w:val="18"/>
                <w:szCs w:val="18"/>
              </w:rPr>
              <w:t>外露</w:t>
            </w:r>
          </w:p>
        </w:tc>
        <w:tc>
          <w:tcPr>
            <w:tcW w:w="1920" w:type="dxa"/>
            <w:tcBorders>
              <w:top w:val="single" w:color="auto" w:sz="4" w:space="0"/>
              <w:left w:val="single" w:color="auto" w:sz="4" w:space="0"/>
              <w:bottom w:val="single" w:color="auto" w:sz="4" w:space="0"/>
              <w:right w:val="single" w:color="auto" w:sz="4" w:space="0"/>
            </w:tcBorders>
            <w:vAlign w:val="center"/>
          </w:tcPr>
          <w:p>
            <w:pPr>
              <w:spacing w:line="240" w:lineRule="auto"/>
              <w:jc w:val="center"/>
              <w:rPr>
                <w:rFonts w:ascii="宋体" w:hAnsi="宋体"/>
                <w:sz w:val="18"/>
                <w:szCs w:val="18"/>
              </w:rPr>
            </w:pPr>
            <w:r>
              <w:rPr>
                <w:rFonts w:hint="eastAsia" w:ascii="宋体" w:hAnsi="宋体"/>
                <w:sz w:val="18"/>
                <w:szCs w:val="18"/>
              </w:rPr>
              <w:t>5</w:t>
            </w:r>
          </w:p>
        </w:tc>
        <w:tc>
          <w:tcPr>
            <w:tcW w:w="3163" w:type="dxa"/>
            <w:vMerge w:val="continue"/>
            <w:tcBorders>
              <w:top w:val="single" w:color="auto" w:sz="4" w:space="0"/>
              <w:left w:val="single" w:color="auto" w:sz="4" w:space="0"/>
              <w:bottom w:val="single" w:color="auto" w:sz="4" w:space="0"/>
              <w:right w:val="single" w:color="auto" w:sz="12" w:space="0"/>
            </w:tcBorders>
            <w:vAlign w:val="center"/>
          </w:tcPr>
          <w:p>
            <w:pPr>
              <w:widowControl/>
              <w:spacing w:line="240" w:lineRule="auto"/>
              <w:jc w:val="center"/>
              <w:rPr>
                <w:rFonts w:ascii="宋体" w:hAnsi="宋体"/>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77" w:type="dxa"/>
            <w:vMerge w:val="continue"/>
            <w:tcBorders>
              <w:top w:val="single" w:color="auto" w:sz="4" w:space="0"/>
              <w:left w:val="single" w:color="auto" w:sz="12" w:space="0"/>
              <w:bottom w:val="single" w:color="auto" w:sz="4" w:space="0"/>
              <w:right w:val="single" w:color="auto" w:sz="4" w:space="0"/>
            </w:tcBorders>
            <w:vAlign w:val="center"/>
          </w:tcPr>
          <w:p>
            <w:pPr>
              <w:widowControl/>
              <w:spacing w:line="240" w:lineRule="auto"/>
              <w:jc w:val="center"/>
              <w:rPr>
                <w:rFonts w:ascii="宋体" w:hAnsi="宋体"/>
                <w:sz w:val="18"/>
                <w:szCs w:val="18"/>
              </w:rPr>
            </w:pPr>
          </w:p>
        </w:tc>
        <w:tc>
          <w:tcPr>
            <w:tcW w:w="1221"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jc w:val="center"/>
              <w:rPr>
                <w:rFonts w:ascii="宋体" w:hAnsi="宋体"/>
                <w:sz w:val="18"/>
                <w:szCs w:val="18"/>
              </w:rPr>
            </w:pPr>
          </w:p>
        </w:tc>
        <w:tc>
          <w:tcPr>
            <w:tcW w:w="1656" w:type="dxa"/>
            <w:tcBorders>
              <w:top w:val="single" w:color="auto" w:sz="4" w:space="0"/>
              <w:left w:val="single" w:color="auto" w:sz="4" w:space="0"/>
              <w:bottom w:val="single" w:color="auto" w:sz="4" w:space="0"/>
              <w:right w:val="single" w:color="auto" w:sz="4" w:space="0"/>
            </w:tcBorders>
            <w:vAlign w:val="center"/>
          </w:tcPr>
          <w:p>
            <w:pPr>
              <w:spacing w:line="240" w:lineRule="auto"/>
              <w:jc w:val="center"/>
              <w:rPr>
                <w:rFonts w:ascii="宋体" w:hAnsi="宋体"/>
                <w:sz w:val="18"/>
                <w:szCs w:val="18"/>
              </w:rPr>
            </w:pPr>
            <w:r>
              <w:rPr>
                <w:rFonts w:hint="eastAsia" w:ascii="宋体" w:hAnsi="宋体"/>
                <w:sz w:val="18"/>
                <w:szCs w:val="18"/>
              </w:rPr>
              <w:t>不外露</w:t>
            </w:r>
          </w:p>
        </w:tc>
        <w:tc>
          <w:tcPr>
            <w:tcW w:w="1920" w:type="dxa"/>
            <w:tcBorders>
              <w:top w:val="single" w:color="auto" w:sz="4" w:space="0"/>
              <w:left w:val="single" w:color="auto" w:sz="4" w:space="0"/>
              <w:bottom w:val="single" w:color="auto" w:sz="4" w:space="0"/>
              <w:right w:val="single" w:color="auto" w:sz="4" w:space="0"/>
            </w:tcBorders>
            <w:vAlign w:val="center"/>
          </w:tcPr>
          <w:p>
            <w:pPr>
              <w:spacing w:line="240" w:lineRule="auto"/>
              <w:jc w:val="center"/>
              <w:rPr>
                <w:rFonts w:ascii="宋体" w:hAnsi="宋体"/>
                <w:sz w:val="18"/>
                <w:szCs w:val="18"/>
              </w:rPr>
            </w:pPr>
            <w:r>
              <w:rPr>
                <w:rFonts w:hint="eastAsia" w:ascii="宋体" w:hAnsi="宋体"/>
                <w:sz w:val="18"/>
                <w:szCs w:val="18"/>
              </w:rPr>
              <w:t>8</w:t>
            </w:r>
          </w:p>
        </w:tc>
        <w:tc>
          <w:tcPr>
            <w:tcW w:w="3163" w:type="dxa"/>
            <w:vMerge w:val="continue"/>
            <w:tcBorders>
              <w:top w:val="single" w:color="auto" w:sz="4" w:space="0"/>
              <w:left w:val="single" w:color="auto" w:sz="4" w:space="0"/>
              <w:bottom w:val="single" w:color="auto" w:sz="4" w:space="0"/>
              <w:right w:val="single" w:color="auto" w:sz="12" w:space="0"/>
            </w:tcBorders>
            <w:vAlign w:val="center"/>
          </w:tcPr>
          <w:p>
            <w:pPr>
              <w:widowControl/>
              <w:spacing w:line="240" w:lineRule="auto"/>
              <w:jc w:val="center"/>
              <w:rPr>
                <w:rFonts w:ascii="宋体" w:hAnsi="宋体"/>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77" w:type="dxa"/>
            <w:tcBorders>
              <w:top w:val="single" w:color="auto" w:sz="4" w:space="0"/>
              <w:left w:val="single" w:color="auto" w:sz="12" w:space="0"/>
              <w:bottom w:val="single" w:color="auto" w:sz="4" w:space="0"/>
              <w:right w:val="single" w:color="auto" w:sz="4" w:space="0"/>
            </w:tcBorders>
            <w:vAlign w:val="center"/>
          </w:tcPr>
          <w:p>
            <w:pPr>
              <w:spacing w:line="240" w:lineRule="auto"/>
              <w:jc w:val="center"/>
              <w:rPr>
                <w:rFonts w:ascii="宋体" w:hAnsi="宋体"/>
                <w:sz w:val="18"/>
                <w:szCs w:val="18"/>
              </w:rPr>
            </w:pPr>
            <w:r>
              <w:rPr>
                <w:rFonts w:hint="eastAsia" w:ascii="宋体" w:hAnsi="宋体"/>
                <w:sz w:val="18"/>
                <w:szCs w:val="18"/>
              </w:rPr>
              <w:t>构件搁置长度</w:t>
            </w:r>
          </w:p>
        </w:tc>
        <w:tc>
          <w:tcPr>
            <w:tcW w:w="2877" w:type="dxa"/>
            <w:gridSpan w:val="2"/>
            <w:tcBorders>
              <w:top w:val="single" w:color="auto" w:sz="4" w:space="0"/>
              <w:left w:val="single" w:color="auto" w:sz="4" w:space="0"/>
              <w:bottom w:val="single" w:color="auto" w:sz="4" w:space="0"/>
              <w:right w:val="single" w:color="auto" w:sz="4" w:space="0"/>
            </w:tcBorders>
            <w:vAlign w:val="center"/>
          </w:tcPr>
          <w:p>
            <w:pPr>
              <w:spacing w:line="240" w:lineRule="auto"/>
              <w:jc w:val="center"/>
              <w:rPr>
                <w:rFonts w:ascii="宋体" w:hAnsi="宋体"/>
                <w:sz w:val="18"/>
                <w:szCs w:val="18"/>
              </w:rPr>
            </w:pPr>
            <w:r>
              <w:rPr>
                <w:rFonts w:hint="eastAsia" w:ascii="宋体" w:hAnsi="宋体"/>
                <w:sz w:val="18"/>
                <w:szCs w:val="18"/>
              </w:rPr>
              <w:t>梁、板</w:t>
            </w:r>
          </w:p>
        </w:tc>
        <w:tc>
          <w:tcPr>
            <w:tcW w:w="1920" w:type="dxa"/>
            <w:tcBorders>
              <w:top w:val="single" w:color="auto" w:sz="4" w:space="0"/>
              <w:left w:val="single" w:color="auto" w:sz="4" w:space="0"/>
              <w:bottom w:val="single" w:color="auto" w:sz="4" w:space="0"/>
              <w:right w:val="single" w:color="auto" w:sz="4" w:space="0"/>
            </w:tcBorders>
            <w:vAlign w:val="center"/>
          </w:tcPr>
          <w:p>
            <w:pPr>
              <w:spacing w:line="240" w:lineRule="auto"/>
              <w:jc w:val="center"/>
              <w:rPr>
                <w:rFonts w:ascii="宋体" w:hAnsi="宋体"/>
                <w:sz w:val="18"/>
                <w:szCs w:val="18"/>
              </w:rPr>
            </w:pPr>
            <w:r>
              <w:rPr>
                <w:rFonts w:hint="eastAsia" w:ascii="宋体" w:hAnsi="宋体"/>
                <w:sz w:val="18"/>
                <w:szCs w:val="18"/>
              </w:rPr>
              <w:t>±10</w:t>
            </w:r>
          </w:p>
        </w:tc>
        <w:tc>
          <w:tcPr>
            <w:tcW w:w="3163" w:type="dxa"/>
            <w:tcBorders>
              <w:top w:val="single" w:color="auto" w:sz="4" w:space="0"/>
              <w:left w:val="single" w:color="auto" w:sz="4" w:space="0"/>
              <w:bottom w:val="single" w:color="auto" w:sz="4" w:space="0"/>
              <w:right w:val="single" w:color="auto" w:sz="12" w:space="0"/>
            </w:tcBorders>
            <w:vAlign w:val="center"/>
          </w:tcPr>
          <w:p>
            <w:pPr>
              <w:spacing w:line="240" w:lineRule="auto"/>
              <w:jc w:val="center"/>
              <w:rPr>
                <w:rFonts w:ascii="宋体" w:hAnsi="宋体"/>
                <w:sz w:val="18"/>
                <w:szCs w:val="18"/>
              </w:rPr>
            </w:pPr>
            <w:r>
              <w:rPr>
                <w:rFonts w:hint="eastAsia" w:ascii="宋体" w:hAnsi="宋体"/>
                <w:sz w:val="18"/>
                <w:szCs w:val="18"/>
              </w:rPr>
              <w:t>尺量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77" w:type="dxa"/>
            <w:tcBorders>
              <w:top w:val="single" w:color="auto" w:sz="4" w:space="0"/>
              <w:left w:val="single" w:color="auto" w:sz="12" w:space="0"/>
              <w:bottom w:val="single" w:color="auto" w:sz="4" w:space="0"/>
              <w:right w:val="single" w:color="auto" w:sz="4" w:space="0"/>
            </w:tcBorders>
            <w:vAlign w:val="center"/>
          </w:tcPr>
          <w:p>
            <w:pPr>
              <w:spacing w:line="240" w:lineRule="auto"/>
              <w:jc w:val="center"/>
              <w:rPr>
                <w:rFonts w:ascii="宋体" w:hAnsi="宋体"/>
                <w:sz w:val="18"/>
                <w:szCs w:val="18"/>
              </w:rPr>
            </w:pPr>
            <w:r>
              <w:rPr>
                <w:rFonts w:hint="eastAsia" w:ascii="宋体" w:hAnsi="宋体"/>
                <w:sz w:val="18"/>
                <w:szCs w:val="18"/>
              </w:rPr>
              <w:t>支座、支垫</w:t>
            </w:r>
          </w:p>
          <w:p>
            <w:pPr>
              <w:spacing w:line="240" w:lineRule="auto"/>
              <w:jc w:val="center"/>
              <w:rPr>
                <w:rFonts w:ascii="宋体" w:hAnsi="宋体"/>
                <w:sz w:val="18"/>
                <w:szCs w:val="18"/>
              </w:rPr>
            </w:pPr>
            <w:r>
              <w:rPr>
                <w:rFonts w:hint="eastAsia" w:ascii="宋体" w:hAnsi="宋体"/>
                <w:sz w:val="18"/>
                <w:szCs w:val="18"/>
              </w:rPr>
              <w:t>中心位置</w:t>
            </w:r>
          </w:p>
        </w:tc>
        <w:tc>
          <w:tcPr>
            <w:tcW w:w="2877" w:type="dxa"/>
            <w:gridSpan w:val="2"/>
            <w:tcBorders>
              <w:top w:val="single" w:color="auto" w:sz="4" w:space="0"/>
              <w:left w:val="single" w:color="auto" w:sz="4" w:space="0"/>
              <w:bottom w:val="single" w:color="auto" w:sz="4" w:space="0"/>
              <w:right w:val="single" w:color="auto" w:sz="4" w:space="0"/>
            </w:tcBorders>
            <w:vAlign w:val="center"/>
          </w:tcPr>
          <w:p>
            <w:pPr>
              <w:spacing w:line="240" w:lineRule="auto"/>
              <w:jc w:val="center"/>
              <w:rPr>
                <w:rFonts w:ascii="宋体" w:hAnsi="宋体"/>
                <w:sz w:val="18"/>
                <w:szCs w:val="18"/>
              </w:rPr>
            </w:pPr>
            <w:r>
              <w:rPr>
                <w:rFonts w:hint="eastAsia" w:ascii="宋体" w:hAnsi="宋体"/>
                <w:sz w:val="18"/>
                <w:szCs w:val="18"/>
              </w:rPr>
              <w:t>板、梁、柱、墙</w:t>
            </w:r>
          </w:p>
        </w:tc>
        <w:tc>
          <w:tcPr>
            <w:tcW w:w="1920" w:type="dxa"/>
            <w:tcBorders>
              <w:top w:val="single" w:color="auto" w:sz="4" w:space="0"/>
              <w:left w:val="single" w:color="auto" w:sz="4" w:space="0"/>
              <w:bottom w:val="single" w:color="auto" w:sz="4" w:space="0"/>
              <w:right w:val="single" w:color="auto" w:sz="4" w:space="0"/>
            </w:tcBorders>
            <w:vAlign w:val="center"/>
          </w:tcPr>
          <w:p>
            <w:pPr>
              <w:spacing w:line="240" w:lineRule="auto"/>
              <w:jc w:val="center"/>
              <w:rPr>
                <w:rFonts w:ascii="宋体" w:hAnsi="宋体"/>
                <w:sz w:val="18"/>
                <w:szCs w:val="18"/>
              </w:rPr>
            </w:pPr>
            <w:r>
              <w:rPr>
                <w:rFonts w:hint="eastAsia" w:ascii="宋体" w:hAnsi="宋体"/>
                <w:sz w:val="18"/>
                <w:szCs w:val="18"/>
              </w:rPr>
              <w:t>10</w:t>
            </w:r>
          </w:p>
        </w:tc>
        <w:tc>
          <w:tcPr>
            <w:tcW w:w="3163" w:type="dxa"/>
            <w:tcBorders>
              <w:top w:val="single" w:color="auto" w:sz="4" w:space="0"/>
              <w:left w:val="single" w:color="auto" w:sz="4" w:space="0"/>
              <w:bottom w:val="single" w:color="auto" w:sz="4" w:space="0"/>
              <w:right w:val="single" w:color="auto" w:sz="12" w:space="0"/>
            </w:tcBorders>
            <w:vAlign w:val="center"/>
          </w:tcPr>
          <w:p>
            <w:pPr>
              <w:spacing w:line="240" w:lineRule="auto"/>
              <w:jc w:val="center"/>
              <w:rPr>
                <w:rFonts w:ascii="宋体" w:hAnsi="宋体"/>
                <w:sz w:val="18"/>
                <w:szCs w:val="18"/>
              </w:rPr>
            </w:pPr>
            <w:r>
              <w:rPr>
                <w:rFonts w:hint="eastAsia" w:ascii="宋体" w:hAnsi="宋体"/>
                <w:sz w:val="18"/>
                <w:szCs w:val="18"/>
              </w:rPr>
              <w:t>尺量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77" w:type="dxa"/>
            <w:tcBorders>
              <w:top w:val="single" w:color="auto" w:sz="4" w:space="0"/>
              <w:left w:val="single" w:color="auto" w:sz="12" w:space="0"/>
              <w:bottom w:val="single" w:color="auto" w:sz="12" w:space="0"/>
              <w:right w:val="single" w:color="auto" w:sz="4" w:space="0"/>
            </w:tcBorders>
            <w:vAlign w:val="center"/>
          </w:tcPr>
          <w:p>
            <w:pPr>
              <w:spacing w:line="240" w:lineRule="auto"/>
              <w:jc w:val="center"/>
              <w:rPr>
                <w:rFonts w:ascii="宋体" w:hAnsi="宋体"/>
                <w:sz w:val="18"/>
                <w:szCs w:val="18"/>
              </w:rPr>
            </w:pPr>
            <w:r>
              <w:rPr>
                <w:rFonts w:hint="eastAsia" w:ascii="宋体" w:hAnsi="宋体"/>
                <w:sz w:val="18"/>
                <w:szCs w:val="18"/>
              </w:rPr>
              <w:t>墙板接缝</w:t>
            </w:r>
          </w:p>
        </w:tc>
        <w:tc>
          <w:tcPr>
            <w:tcW w:w="2877" w:type="dxa"/>
            <w:gridSpan w:val="2"/>
            <w:tcBorders>
              <w:top w:val="single" w:color="auto" w:sz="4" w:space="0"/>
              <w:left w:val="single" w:color="auto" w:sz="4" w:space="0"/>
              <w:bottom w:val="single" w:color="auto" w:sz="12" w:space="0"/>
              <w:right w:val="single" w:color="auto" w:sz="4" w:space="0"/>
            </w:tcBorders>
            <w:vAlign w:val="center"/>
          </w:tcPr>
          <w:p>
            <w:pPr>
              <w:spacing w:line="240" w:lineRule="auto"/>
              <w:jc w:val="center"/>
              <w:rPr>
                <w:rFonts w:ascii="宋体" w:hAnsi="宋体"/>
                <w:sz w:val="18"/>
                <w:szCs w:val="18"/>
              </w:rPr>
            </w:pPr>
            <w:r>
              <w:rPr>
                <w:rFonts w:hint="eastAsia" w:ascii="宋体" w:hAnsi="宋体"/>
                <w:sz w:val="18"/>
                <w:szCs w:val="18"/>
              </w:rPr>
              <w:t>宽度</w:t>
            </w:r>
          </w:p>
        </w:tc>
        <w:tc>
          <w:tcPr>
            <w:tcW w:w="1920" w:type="dxa"/>
            <w:tcBorders>
              <w:top w:val="single" w:color="auto" w:sz="4" w:space="0"/>
              <w:left w:val="single" w:color="auto" w:sz="4" w:space="0"/>
              <w:bottom w:val="single" w:color="auto" w:sz="12" w:space="0"/>
              <w:right w:val="single" w:color="auto" w:sz="4" w:space="0"/>
            </w:tcBorders>
            <w:vAlign w:val="center"/>
          </w:tcPr>
          <w:p>
            <w:pPr>
              <w:spacing w:line="240" w:lineRule="auto"/>
              <w:jc w:val="center"/>
              <w:rPr>
                <w:rFonts w:ascii="宋体" w:hAnsi="宋体"/>
                <w:sz w:val="18"/>
                <w:szCs w:val="18"/>
              </w:rPr>
            </w:pPr>
            <w:r>
              <w:rPr>
                <w:rFonts w:hint="eastAsia" w:ascii="宋体" w:hAnsi="宋体"/>
                <w:sz w:val="18"/>
                <w:szCs w:val="18"/>
              </w:rPr>
              <w:t>±5</w:t>
            </w:r>
          </w:p>
        </w:tc>
        <w:tc>
          <w:tcPr>
            <w:tcW w:w="3163" w:type="dxa"/>
            <w:tcBorders>
              <w:top w:val="single" w:color="auto" w:sz="4" w:space="0"/>
              <w:left w:val="single" w:color="auto" w:sz="4" w:space="0"/>
              <w:bottom w:val="single" w:color="auto" w:sz="12" w:space="0"/>
              <w:right w:val="single" w:color="auto" w:sz="12" w:space="0"/>
            </w:tcBorders>
            <w:vAlign w:val="center"/>
          </w:tcPr>
          <w:p>
            <w:pPr>
              <w:spacing w:line="240" w:lineRule="auto"/>
              <w:jc w:val="center"/>
              <w:rPr>
                <w:rFonts w:ascii="宋体" w:hAnsi="宋体"/>
                <w:sz w:val="18"/>
                <w:szCs w:val="18"/>
              </w:rPr>
            </w:pPr>
            <w:r>
              <w:rPr>
                <w:rFonts w:hint="eastAsia" w:ascii="宋体" w:hAnsi="宋体"/>
                <w:sz w:val="18"/>
                <w:szCs w:val="18"/>
              </w:rPr>
              <w:t>尺量</w:t>
            </w:r>
          </w:p>
        </w:tc>
      </w:tr>
      <w:bookmarkEnd w:id="146"/>
    </w:tbl>
    <w:p>
      <w:pPr>
        <w:spacing w:line="240" w:lineRule="auto"/>
        <w:rPr>
          <w:b/>
        </w:rPr>
      </w:pPr>
    </w:p>
    <w:sectPr>
      <w:pgSz w:w="11906" w:h="16838"/>
      <w:pgMar w:top="567" w:right="1134" w:bottom="1134" w:left="1134" w:header="1418" w:footer="1134" w:gutter="284"/>
      <w:cols w:space="425" w:num="1"/>
      <w:formProt w:val="0"/>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SJQY">
    <w:panose1 w:val="02010600030101010101"/>
    <w:charset w:val="86"/>
    <w:family w:val="auto"/>
    <w:pitch w:val="default"/>
    <w:sig w:usb0="00000003" w:usb1="080E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pPr>
    <w:r>
      <w:fldChar w:fldCharType="begin"/>
    </w:r>
    <w:r>
      <w:instrText xml:space="preserve">PAGE   \* MERGEFORMAT</w:instrText>
    </w:r>
    <w:r>
      <w:fldChar w:fldCharType="separate"/>
    </w:r>
    <w:r>
      <w:rPr>
        <w:lang w:val="zh-CN"/>
      </w:rPr>
      <w:t>2</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ind w:right="720"/>
      <w:jc w:val="both"/>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4"/>
    </w:pPr>
    <w:r>
      <w:fldChar w:fldCharType="begin"/>
    </w:r>
    <w:r>
      <w:instrText xml:space="preserve">PAGE   \* MERGEFORMAT</w:instrText>
    </w:r>
    <w:r>
      <w:fldChar w:fldCharType="separate"/>
    </w:r>
    <w:r>
      <w:rPr>
        <w:lang w:val="zh-CN"/>
      </w:rPr>
      <w:t>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wordWrap w:val="0"/>
      <w:jc w:val="right"/>
      <w:rPr>
        <w:rFonts w:ascii="黑体" w:hAnsi="黑体" w:eastAsia="黑体"/>
      </w:rPr>
    </w:pPr>
    <w:r>
      <w:rPr>
        <w:rFonts w:ascii="黑体" w:hAnsi="黑体" w:eastAsia="黑体"/>
      </w:rPr>
      <w:t>Q/LB.</w:t>
    </w:r>
    <w:r>
      <w:rPr>
        <w:rFonts w:hint="eastAsia" w:ascii="黑体" w:hAnsi="黑体" w:eastAsia="黑体"/>
      </w:rPr>
      <w:t>□</w:t>
    </w:r>
    <w:r>
      <w:rPr>
        <w:rFonts w:ascii="黑体" w:hAnsi="黑体" w:eastAsia="黑体"/>
      </w:rPr>
      <w:t>XXXXX-XXXX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jc w:val="both"/>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3"/>
    </w:pPr>
    <w:r>
      <w:fldChar w:fldCharType="begin"/>
    </w:r>
    <w:r>
      <w:instrText xml:space="preserve"> STYLEREF  标准文件_文件编号  \* MERGEFORMAT </w:instrText>
    </w:r>
    <w:r>
      <w:fldChar w:fldCharType="separate"/>
    </w:r>
    <w:r>
      <w:t>DB32/TXXXX—XXXX</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jc w:val="right"/>
      <w:rPr>
        <w:lang w:val="fr-FR"/>
      </w:rPr>
    </w:pPr>
    <w:r>
      <w:fldChar w:fldCharType="begin"/>
    </w:r>
    <w:r>
      <w:instrText xml:space="preserve"> STYLEREF  标准文件_文件编号  \* MERGEFORMAT </w:instrText>
    </w:r>
    <w:r>
      <w:fldChar w:fldCharType="separate"/>
    </w:r>
    <w:r>
      <w:t>DB32/TXXXX—XXXX</w:t>
    </w:r>
    <w:r>
      <w:rPr>
        <w:lang w:val="fr-FR"/>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2837933"/>
    <w:multiLevelType w:val="multilevel"/>
    <w:tmpl w:val="02837933"/>
    <w:lvl w:ilvl="0" w:tentative="0">
      <w:start w:val="1"/>
      <w:numFmt w:val="decimal"/>
      <w:pStyle w:val="66"/>
      <w:lvlText w:val="[%1]"/>
      <w:lvlJc w:val="left"/>
      <w:pPr>
        <w:tabs>
          <w:tab w:val="left" w:pos="6466"/>
        </w:tabs>
        <w:ind w:left="6466" w:hanging="648"/>
      </w:pPr>
    </w:lvl>
    <w:lvl w:ilvl="1" w:tentative="0">
      <w:start w:val="1"/>
      <w:numFmt w:val="lowerLetter"/>
      <w:lvlText w:val="%2)"/>
      <w:lvlJc w:val="left"/>
      <w:pPr>
        <w:tabs>
          <w:tab w:val="left" w:pos="6658"/>
        </w:tabs>
        <w:ind w:left="6658" w:hanging="420"/>
      </w:pPr>
    </w:lvl>
    <w:lvl w:ilvl="2" w:tentative="0">
      <w:start w:val="1"/>
      <w:numFmt w:val="lowerRoman"/>
      <w:lvlText w:val="%3."/>
      <w:lvlJc w:val="right"/>
      <w:pPr>
        <w:tabs>
          <w:tab w:val="left" w:pos="7078"/>
        </w:tabs>
        <w:ind w:left="7078" w:hanging="420"/>
      </w:pPr>
    </w:lvl>
    <w:lvl w:ilvl="3" w:tentative="0">
      <w:start w:val="1"/>
      <w:numFmt w:val="decimal"/>
      <w:lvlText w:val="%4."/>
      <w:lvlJc w:val="left"/>
      <w:pPr>
        <w:tabs>
          <w:tab w:val="left" w:pos="7498"/>
        </w:tabs>
        <w:ind w:left="7498" w:hanging="420"/>
      </w:pPr>
    </w:lvl>
    <w:lvl w:ilvl="4" w:tentative="0">
      <w:start w:val="1"/>
      <w:numFmt w:val="lowerLetter"/>
      <w:lvlText w:val="%5)"/>
      <w:lvlJc w:val="left"/>
      <w:pPr>
        <w:tabs>
          <w:tab w:val="left" w:pos="7918"/>
        </w:tabs>
        <w:ind w:left="7918" w:hanging="420"/>
      </w:pPr>
    </w:lvl>
    <w:lvl w:ilvl="5" w:tentative="0">
      <w:start w:val="1"/>
      <w:numFmt w:val="lowerRoman"/>
      <w:lvlText w:val="%6."/>
      <w:lvlJc w:val="right"/>
      <w:pPr>
        <w:tabs>
          <w:tab w:val="left" w:pos="8338"/>
        </w:tabs>
        <w:ind w:left="8338" w:hanging="420"/>
      </w:pPr>
    </w:lvl>
    <w:lvl w:ilvl="6" w:tentative="0">
      <w:start w:val="1"/>
      <w:numFmt w:val="decimal"/>
      <w:lvlText w:val="%7."/>
      <w:lvlJc w:val="left"/>
      <w:pPr>
        <w:tabs>
          <w:tab w:val="left" w:pos="8758"/>
        </w:tabs>
        <w:ind w:left="8758" w:hanging="420"/>
      </w:pPr>
    </w:lvl>
    <w:lvl w:ilvl="7" w:tentative="0">
      <w:start w:val="1"/>
      <w:numFmt w:val="lowerLetter"/>
      <w:lvlText w:val="%8)"/>
      <w:lvlJc w:val="left"/>
      <w:pPr>
        <w:tabs>
          <w:tab w:val="left" w:pos="9178"/>
        </w:tabs>
        <w:ind w:left="9178" w:hanging="420"/>
      </w:pPr>
    </w:lvl>
    <w:lvl w:ilvl="8" w:tentative="0">
      <w:start w:val="1"/>
      <w:numFmt w:val="lowerRoman"/>
      <w:lvlText w:val="%9."/>
      <w:lvlJc w:val="right"/>
      <w:pPr>
        <w:tabs>
          <w:tab w:val="left" w:pos="9598"/>
        </w:tabs>
        <w:ind w:left="9598" w:hanging="420"/>
      </w:pPr>
    </w:lvl>
  </w:abstractNum>
  <w:abstractNum w:abstractNumId="1">
    <w:nsid w:val="040A15CD"/>
    <w:multiLevelType w:val="multilevel"/>
    <w:tmpl w:val="040A15CD"/>
    <w:lvl w:ilvl="0" w:tentative="0">
      <w:start w:val="1"/>
      <w:numFmt w:val="none"/>
      <w:suff w:val="nothing"/>
      <w:lvlText w:val="　"/>
      <w:lvlJc w:val="left"/>
      <w:pPr>
        <w:ind w:left="0" w:firstLine="0"/>
      </w:pPr>
    </w:lvl>
    <w:lvl w:ilvl="1" w:tentative="0">
      <w:start w:val="1"/>
      <w:numFmt w:val="decimal"/>
      <w:isLgl/>
      <w:suff w:val="nothing"/>
      <w:lvlText w:val="%2　"/>
      <w:lvlJc w:val="left"/>
      <w:pPr>
        <w:ind w:left="0" w:firstLine="0"/>
      </w:pPr>
    </w:lvl>
    <w:lvl w:ilvl="2" w:tentative="0">
      <w:start w:val="1"/>
      <w:numFmt w:val="decimal"/>
      <w:pStyle w:val="161"/>
      <w:suff w:val="nothing"/>
      <w:lvlText w:val="%1%2.%3　"/>
      <w:lvlJc w:val="left"/>
      <w:pPr>
        <w:ind w:left="0" w:firstLine="0"/>
      </w:pPr>
    </w:lvl>
    <w:lvl w:ilvl="3" w:tentative="0">
      <w:start w:val="1"/>
      <w:numFmt w:val="decimal"/>
      <w:pStyle w:val="120"/>
      <w:suff w:val="nothing"/>
      <w:lvlText w:val="%1%2.%3.%4　"/>
      <w:lvlJc w:val="left"/>
      <w:pPr>
        <w:ind w:left="0" w:firstLine="0"/>
      </w:pPr>
    </w:lvl>
    <w:lvl w:ilvl="4" w:tentative="0">
      <w:start w:val="1"/>
      <w:numFmt w:val="decimal"/>
      <w:pStyle w:val="155"/>
      <w:suff w:val="nothing"/>
      <w:lvlText w:val="%1%2.%3.%4.%5　"/>
      <w:lvlJc w:val="left"/>
      <w:pPr>
        <w:ind w:left="0" w:firstLine="0"/>
      </w:pPr>
    </w:lvl>
    <w:lvl w:ilvl="5" w:tentative="0">
      <w:start w:val="1"/>
      <w:numFmt w:val="decimal"/>
      <w:pStyle w:val="157"/>
      <w:suff w:val="nothing"/>
      <w:lvlText w:val="%1%2.%3.%4.%5.%6　"/>
      <w:lvlJc w:val="left"/>
      <w:pPr>
        <w:ind w:left="0" w:firstLine="0"/>
      </w:pPr>
    </w:lvl>
    <w:lvl w:ilvl="6" w:tentative="0">
      <w:start w:val="1"/>
      <w:numFmt w:val="decimal"/>
      <w:pStyle w:val="160"/>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
    <w:nsid w:val="079102AD"/>
    <w:multiLevelType w:val="multilevel"/>
    <w:tmpl w:val="079102AD"/>
    <w:lvl w:ilvl="0" w:tentative="0">
      <w:start w:val="1"/>
      <w:numFmt w:val="decimal"/>
      <w:pStyle w:val="182"/>
      <w:suff w:val="nothing"/>
      <w:lvlText w:val="注%1："/>
      <w:lvlJc w:val="left"/>
      <w:pPr>
        <w:ind w:left="811" w:hanging="448"/>
      </w:pPr>
      <w:rPr>
        <w:rFonts w:hint="eastAsia" w:ascii="黑体" w:eastAsia="黑体"/>
        <w:b w:val="0"/>
        <w:i w:val="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tentative="0">
      <w:start w:val="1"/>
      <w:numFmt w:val="none"/>
      <w:pStyle w:val="91"/>
      <w:lvlText w:val="%1"/>
      <w:lvlJc w:val="left"/>
      <w:pPr>
        <w:ind w:left="425" w:hanging="425"/>
      </w:pPr>
      <w:rPr>
        <w:rFonts w:hint="eastAsia"/>
      </w:rPr>
    </w:lvl>
    <w:lvl w:ilvl="1" w:tentative="0">
      <w:start w:val="1"/>
      <w:numFmt w:val="decimal"/>
      <w:pStyle w:val="202"/>
      <w:suff w:val="nothing"/>
      <w:lvlText w:val="%10.%2 "/>
      <w:lvlJc w:val="left"/>
      <w:pPr>
        <w:ind w:left="0" w:firstLine="0"/>
      </w:pPr>
      <w:rPr>
        <w:rFonts w:hint="eastAsia" w:ascii="黑体" w:eastAsia="黑体" w:hAnsiTheme="minorHAnsi"/>
        <w:b w:val="0"/>
        <w:i w:val="0"/>
        <w:sz w:val="21"/>
      </w:rPr>
    </w:lvl>
    <w:lvl w:ilvl="2" w:tentative="0">
      <w:start w:val="1"/>
      <w:numFmt w:val="decimal"/>
      <w:pStyle w:val="203"/>
      <w:suff w:val="nothing"/>
      <w:lvlText w:val="%10.%2.%3 "/>
      <w:lvlJc w:val="left"/>
      <w:pPr>
        <w:ind w:left="0" w:firstLine="0"/>
      </w:pPr>
      <w:rPr>
        <w:rFonts w:hint="eastAsia" w:ascii="黑体" w:eastAsia="黑体" w:hAnsiTheme="minorHAnsi"/>
        <w:b w:val="0"/>
        <w:i w:val="0"/>
        <w:sz w:val="21"/>
      </w:rPr>
    </w:lvl>
    <w:lvl w:ilvl="3" w:tentative="0">
      <w:start w:val="1"/>
      <w:numFmt w:val="decimal"/>
      <w:pStyle w:val="204"/>
      <w:suff w:val="nothing"/>
      <w:lvlText w:val="%10.%2.%3.%4 "/>
      <w:lvlJc w:val="left"/>
      <w:pPr>
        <w:ind w:left="0" w:firstLine="0"/>
      </w:pPr>
      <w:rPr>
        <w:rFonts w:hint="eastAsia" w:ascii="黑体" w:eastAsia="黑体" w:hAnsiTheme="minorHAnsi"/>
        <w:b w:val="0"/>
        <w:i w:val="0"/>
        <w:sz w:val="21"/>
      </w:rPr>
    </w:lvl>
    <w:lvl w:ilvl="4" w:tentative="0">
      <w:start w:val="1"/>
      <w:numFmt w:val="decimal"/>
      <w:pStyle w:val="205"/>
      <w:suff w:val="nothing"/>
      <w:lvlText w:val="%10.%2.%3.%4.%5 "/>
      <w:lvlJc w:val="left"/>
      <w:pPr>
        <w:ind w:left="0" w:firstLine="0"/>
      </w:pPr>
      <w:rPr>
        <w:rFonts w:hint="eastAsia" w:ascii="黑体" w:eastAsia="黑体" w:hAnsiTheme="minorHAnsi"/>
        <w:b w:val="0"/>
        <w:i w:val="0"/>
        <w:sz w:val="21"/>
      </w:rPr>
    </w:lvl>
    <w:lvl w:ilvl="5" w:tentative="0">
      <w:start w:val="1"/>
      <w:numFmt w:val="decimal"/>
      <w:pStyle w:val="206"/>
      <w:suff w:val="nothing"/>
      <w:lvlText w:val="%10.%2.%3.%4.%5.%6 "/>
      <w:lvlJc w:val="left"/>
      <w:pPr>
        <w:ind w:left="0" w:firstLine="0"/>
      </w:pPr>
      <w:rPr>
        <w:rFonts w:hint="eastAsia" w:ascii="黑体" w:eastAsia="黑体" w:hAnsiTheme="minorHAnsi"/>
        <w:b w:val="0"/>
        <w:i w:val="0"/>
        <w:sz w:val="21"/>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4">
    <w:nsid w:val="0AE367E9"/>
    <w:multiLevelType w:val="multilevel"/>
    <w:tmpl w:val="0AE367E9"/>
    <w:lvl w:ilvl="0" w:tentative="0">
      <w:start w:val="1"/>
      <w:numFmt w:val="none"/>
      <w:pStyle w:val="183"/>
      <w:suff w:val="nothing"/>
      <w:lvlText w:val="%1示例："/>
      <w:lvlJc w:val="left"/>
      <w:pPr>
        <w:ind w:left="0" w:firstLine="363"/>
      </w:pPr>
      <w:rPr>
        <w:rFonts w:hint="eastAsia" w:ascii="黑体" w:eastAsia="黑体"/>
        <w:b w:val="0"/>
        <w:i w:val="0"/>
        <w:sz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tentative="0">
      <w:start w:val="1"/>
      <w:numFmt w:val="decimal"/>
      <w:pStyle w:val="69"/>
      <w:lvlText w:val="[%1]"/>
      <w:lvlJc w:val="left"/>
      <w:pPr>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
    <w:nsid w:val="0D051F45"/>
    <w:multiLevelType w:val="multilevel"/>
    <w:tmpl w:val="0D051F45"/>
    <w:lvl w:ilvl="0" w:tentative="0">
      <w:start w:val="1"/>
      <w:numFmt w:val="lowerRoman"/>
      <w:pStyle w:val="171"/>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543"/>
        </w:tabs>
        <w:ind w:left="1543" w:hanging="420"/>
      </w:pPr>
      <w:rPr>
        <w:rFonts w:hint="eastAsia"/>
      </w:rPr>
    </w:lvl>
    <w:lvl w:ilvl="2" w:tentative="0">
      <w:start w:val="1"/>
      <w:numFmt w:val="lowerRoman"/>
      <w:lvlText w:val="%3."/>
      <w:lvlJc w:val="right"/>
      <w:pPr>
        <w:tabs>
          <w:tab w:val="left" w:pos="1963"/>
        </w:tabs>
        <w:ind w:left="1963" w:hanging="420"/>
      </w:pPr>
      <w:rPr>
        <w:rFonts w:hint="eastAsia"/>
      </w:rPr>
    </w:lvl>
    <w:lvl w:ilvl="3" w:tentative="0">
      <w:start w:val="1"/>
      <w:numFmt w:val="decimal"/>
      <w:lvlText w:val="%4."/>
      <w:lvlJc w:val="left"/>
      <w:pPr>
        <w:tabs>
          <w:tab w:val="left" w:pos="2383"/>
        </w:tabs>
        <w:ind w:left="2383" w:hanging="420"/>
      </w:pPr>
      <w:rPr>
        <w:rFonts w:hint="eastAsia"/>
      </w:rPr>
    </w:lvl>
    <w:lvl w:ilvl="4" w:tentative="0">
      <w:start w:val="1"/>
      <w:numFmt w:val="lowerLetter"/>
      <w:lvlText w:val="%5)"/>
      <w:lvlJc w:val="left"/>
      <w:pPr>
        <w:tabs>
          <w:tab w:val="left" w:pos="2803"/>
        </w:tabs>
        <w:ind w:left="2803" w:hanging="420"/>
      </w:pPr>
      <w:rPr>
        <w:rFonts w:hint="eastAsia"/>
      </w:rPr>
    </w:lvl>
    <w:lvl w:ilvl="5" w:tentative="0">
      <w:start w:val="1"/>
      <w:numFmt w:val="lowerRoman"/>
      <w:lvlText w:val="%6."/>
      <w:lvlJc w:val="right"/>
      <w:pPr>
        <w:tabs>
          <w:tab w:val="left" w:pos="3223"/>
        </w:tabs>
        <w:ind w:left="3223" w:hanging="420"/>
      </w:pPr>
      <w:rPr>
        <w:rFonts w:hint="eastAsia"/>
      </w:rPr>
    </w:lvl>
    <w:lvl w:ilvl="6" w:tentative="0">
      <w:start w:val="1"/>
      <w:numFmt w:val="decimal"/>
      <w:lvlText w:val="%7."/>
      <w:lvlJc w:val="left"/>
      <w:pPr>
        <w:tabs>
          <w:tab w:val="left" w:pos="3643"/>
        </w:tabs>
        <w:ind w:left="3643" w:hanging="420"/>
      </w:pPr>
      <w:rPr>
        <w:rFonts w:hint="eastAsia"/>
      </w:rPr>
    </w:lvl>
    <w:lvl w:ilvl="7" w:tentative="0">
      <w:start w:val="1"/>
      <w:numFmt w:val="lowerLetter"/>
      <w:lvlText w:val="%8)"/>
      <w:lvlJc w:val="left"/>
      <w:pPr>
        <w:tabs>
          <w:tab w:val="left" w:pos="4063"/>
        </w:tabs>
        <w:ind w:left="4063" w:hanging="420"/>
      </w:pPr>
      <w:rPr>
        <w:rFonts w:hint="eastAsia"/>
      </w:rPr>
    </w:lvl>
    <w:lvl w:ilvl="8" w:tentative="0">
      <w:start w:val="1"/>
      <w:numFmt w:val="lowerRoman"/>
      <w:lvlText w:val="%9."/>
      <w:lvlJc w:val="right"/>
      <w:pPr>
        <w:tabs>
          <w:tab w:val="left" w:pos="4483"/>
        </w:tabs>
        <w:ind w:left="4483" w:hanging="420"/>
      </w:pPr>
      <w:rPr>
        <w:rFonts w:hint="eastAsia"/>
      </w:rPr>
    </w:lvl>
  </w:abstractNum>
  <w:abstractNum w:abstractNumId="7">
    <w:nsid w:val="1AD20F90"/>
    <w:multiLevelType w:val="multilevel"/>
    <w:tmpl w:val="1AD20F90"/>
    <w:lvl w:ilvl="0" w:tentative="0">
      <w:start w:val="1"/>
      <w:numFmt w:val="none"/>
      <w:pStyle w:val="112"/>
      <w:lvlText w:val="%1注："/>
      <w:lvlJc w:val="left"/>
      <w:pPr>
        <w:tabs>
          <w:tab w:val="left" w:pos="845"/>
        </w:tabs>
        <w:ind w:left="-102" w:firstLine="419"/>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
    <w:nsid w:val="1AF15012"/>
    <w:multiLevelType w:val="multilevel"/>
    <w:tmpl w:val="1AF15012"/>
    <w:lvl w:ilvl="0" w:tentative="0">
      <w:start w:val="1"/>
      <w:numFmt w:val="upperLetter"/>
      <w:pStyle w:val="87"/>
      <w:suff w:val="nothing"/>
      <w:lvlText w:val="附 录(Annex) %1"/>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9">
    <w:nsid w:val="1EAA1992"/>
    <w:multiLevelType w:val="multilevel"/>
    <w:tmpl w:val="1EAA1992"/>
    <w:lvl w:ilvl="0" w:tentative="0">
      <w:start w:val="1"/>
      <w:numFmt w:val="none"/>
      <w:pStyle w:val="94"/>
      <w:suff w:val="nothing"/>
      <w:lvlText w:val="——"/>
      <w:lvlJc w:val="left"/>
      <w:pPr>
        <w:ind w:left="794" w:hanging="397"/>
      </w:pPr>
    </w:lvl>
    <w:lvl w:ilvl="1" w:tentative="0">
      <w:start w:val="1"/>
      <w:numFmt w:val="decimal"/>
      <w:suff w:val="nothing"/>
      <w:lvlText w:val="%1.%2　"/>
      <w:lvlJc w:val="left"/>
      <w:pPr>
        <w:ind w:left="397" w:firstLine="0"/>
      </w:pPr>
    </w:lvl>
    <w:lvl w:ilvl="2" w:tentative="0">
      <w:start w:val="1"/>
      <w:numFmt w:val="decimal"/>
      <w:suff w:val="nothing"/>
      <w:lvlText w:val="%1.%2.%3　"/>
      <w:lvlJc w:val="left"/>
      <w:pPr>
        <w:ind w:left="397" w:firstLine="0"/>
      </w:pPr>
    </w:lvl>
    <w:lvl w:ilvl="3" w:tentative="0">
      <w:start w:val="1"/>
      <w:numFmt w:val="decimal"/>
      <w:suff w:val="nothing"/>
      <w:lvlText w:val="%1.%2.%3.%4　"/>
      <w:lvlJc w:val="left"/>
      <w:pPr>
        <w:ind w:left="397" w:firstLine="0"/>
      </w:pPr>
    </w:lvl>
    <w:lvl w:ilvl="4" w:tentative="0">
      <w:start w:val="1"/>
      <w:numFmt w:val="decimal"/>
      <w:suff w:val="nothing"/>
      <w:lvlText w:val="%1.%2.%3.%4.%5　"/>
      <w:lvlJc w:val="left"/>
      <w:pPr>
        <w:ind w:left="397" w:firstLine="0"/>
      </w:pPr>
    </w:lvl>
    <w:lvl w:ilvl="5" w:tentative="0">
      <w:start w:val="1"/>
      <w:numFmt w:val="decimal"/>
      <w:suff w:val="nothing"/>
      <w:lvlText w:val="%1.%2.%3.%4.%5.%6　"/>
      <w:lvlJc w:val="left"/>
      <w:pPr>
        <w:ind w:left="397" w:firstLine="0"/>
      </w:pPr>
    </w:lvl>
    <w:lvl w:ilvl="6" w:tentative="0">
      <w:start w:val="1"/>
      <w:numFmt w:val="decimal"/>
      <w:suff w:val="nothing"/>
      <w:lvlText w:val="%1.%2.%3.%4.%5.%6.%7　"/>
      <w:lvlJc w:val="left"/>
      <w:pPr>
        <w:ind w:left="397" w:firstLine="0"/>
      </w:pPr>
    </w:lvl>
    <w:lvl w:ilvl="7" w:tentative="0">
      <w:start w:val="1"/>
      <w:numFmt w:val="decimal"/>
      <w:lvlText w:val="%1.%2.%3.%4.%5.%6.%7.%8"/>
      <w:lvlJc w:val="left"/>
      <w:pPr>
        <w:tabs>
          <w:tab w:val="left" w:pos="4791"/>
        </w:tabs>
        <w:ind w:left="4791" w:hanging="1418"/>
      </w:pPr>
    </w:lvl>
    <w:lvl w:ilvl="8" w:tentative="0">
      <w:start w:val="1"/>
      <w:numFmt w:val="decimal"/>
      <w:lvlText w:val="%1.%2.%3.%4.%5.%6.%7.%8.%9"/>
      <w:lvlJc w:val="left"/>
      <w:pPr>
        <w:tabs>
          <w:tab w:val="left" w:pos="5499"/>
        </w:tabs>
        <w:ind w:left="5499" w:hanging="1700"/>
      </w:pPr>
    </w:lvl>
  </w:abstractNum>
  <w:abstractNum w:abstractNumId="10">
    <w:nsid w:val="2C5917C3"/>
    <w:multiLevelType w:val="multilevel"/>
    <w:tmpl w:val="2C5917C3"/>
    <w:lvl w:ilvl="0" w:tentative="0">
      <w:start w:val="1"/>
      <w:numFmt w:val="none"/>
      <w:pStyle w:val="134"/>
      <w:lvlText w:val="%1——"/>
      <w:lvlJc w:val="left"/>
      <w:pPr>
        <w:tabs>
          <w:tab w:val="left" w:pos="851"/>
        </w:tabs>
        <w:ind w:left="851" w:hanging="426"/>
      </w:pPr>
      <w:rPr>
        <w:rFonts w:hint="eastAsia" w:ascii="宋体" w:hAnsi="Times New Roman" w:eastAsia="宋体"/>
        <w:b w:val="0"/>
        <w:i w:val="0"/>
        <w:sz w:val="21"/>
      </w:rPr>
    </w:lvl>
    <w:lvl w:ilvl="1" w:tentative="0">
      <w:start w:val="1"/>
      <w:numFmt w:val="none"/>
      <w:pStyle w:val="189"/>
      <w:lvlText w:val=""/>
      <w:lvlJc w:val="left"/>
      <w:pPr>
        <w:ind w:left="851" w:hanging="431"/>
      </w:pPr>
      <w:rPr>
        <w:rFonts w:hint="default" w:ascii="Symbol" w:hAnsi="Symbol"/>
        <w:sz w:val="21"/>
      </w:rPr>
    </w:lvl>
    <w:lvl w:ilvl="2" w:tentative="0">
      <w:start w:val="1"/>
      <w:numFmt w:val="bullet"/>
      <w:pStyle w:val="174"/>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11">
    <w:nsid w:val="32F04FB2"/>
    <w:multiLevelType w:val="multilevel"/>
    <w:tmpl w:val="32F04FB2"/>
    <w:lvl w:ilvl="0" w:tentative="0">
      <w:start w:val="1"/>
      <w:numFmt w:val="lowerLetter"/>
      <w:pStyle w:val="103"/>
      <w:lvlText w:val="%1"/>
      <w:lvlJc w:val="left"/>
      <w:pPr>
        <w:tabs>
          <w:tab w:val="left" w:pos="539"/>
        </w:tabs>
        <w:ind w:left="539" w:hanging="119"/>
      </w:pPr>
      <w:rPr>
        <w:rFonts w:hint="eastAsia"/>
        <w:caps w:val="0"/>
        <w:strike w:val="0"/>
        <w:dstrike w:val="0"/>
        <w:vanish w:val="0"/>
        <w:vertAlign w:val="superscript"/>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12">
    <w:nsid w:val="44C50F90"/>
    <w:multiLevelType w:val="multilevel"/>
    <w:tmpl w:val="44C50F90"/>
    <w:lvl w:ilvl="0" w:tentative="0">
      <w:start w:val="1"/>
      <w:numFmt w:val="lowerLetter"/>
      <w:pStyle w:val="176"/>
      <w:lvlText w:val="%1)"/>
      <w:lvlJc w:val="left"/>
      <w:pPr>
        <w:tabs>
          <w:tab w:val="left" w:pos="851"/>
        </w:tabs>
        <w:ind w:left="851" w:hanging="426"/>
      </w:pPr>
      <w:rPr>
        <w:rFonts w:hint="eastAsia" w:ascii="宋体" w:hAnsi="Times New Roman" w:eastAsia="宋体"/>
        <w:sz w:val="21"/>
      </w:rPr>
    </w:lvl>
    <w:lvl w:ilvl="1" w:tentative="0">
      <w:start w:val="1"/>
      <w:numFmt w:val="decimal"/>
      <w:pStyle w:val="111"/>
      <w:lvlText w:val="%2)"/>
      <w:lvlJc w:val="left"/>
      <w:pPr>
        <w:tabs>
          <w:tab w:val="left" w:pos="1276"/>
        </w:tabs>
        <w:ind w:left="1276" w:hanging="425"/>
      </w:pPr>
      <w:rPr>
        <w:rFonts w:hint="eastAsia" w:ascii="宋体" w:hAnsi="Times New Roman" w:eastAsia="宋体"/>
        <w:sz w:val="21"/>
      </w:rPr>
    </w:lvl>
    <w:lvl w:ilvl="2" w:tentative="0">
      <w:start w:val="1"/>
      <w:numFmt w:val="decimal"/>
      <w:pStyle w:val="119"/>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3">
    <w:nsid w:val="48802D1C"/>
    <w:multiLevelType w:val="multilevel"/>
    <w:tmpl w:val="48802D1C"/>
    <w:lvl w:ilvl="0" w:tentative="0">
      <w:start w:val="1"/>
      <w:numFmt w:val="upperLetter"/>
      <w:pStyle w:val="200"/>
      <w:lvlText w:val="%1"/>
      <w:lvlJc w:val="left"/>
      <w:pPr>
        <w:ind w:left="420" w:hanging="420"/>
      </w:pPr>
      <w:rPr>
        <w:rFonts w:hint="eastAsia"/>
      </w:rPr>
    </w:lvl>
    <w:lvl w:ilvl="1" w:tentative="0">
      <w:start w:val="1"/>
      <w:numFmt w:val="decimal"/>
      <w:pStyle w:val="85"/>
      <w:suff w:val="space"/>
      <w:lvlText w:val="图%1.%2"/>
      <w:lvlJc w:val="center"/>
      <w:pPr>
        <w:ind w:left="0"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4">
    <w:nsid w:val="4B733A5F"/>
    <w:multiLevelType w:val="multilevel"/>
    <w:tmpl w:val="4B733A5F"/>
    <w:lvl w:ilvl="0" w:tentative="0">
      <w:start w:val="1"/>
      <w:numFmt w:val="decimal"/>
      <w:pStyle w:val="185"/>
      <w:suff w:val="nothing"/>
      <w:lvlText w:val="示例%1："/>
      <w:lvlJc w:val="left"/>
      <w:pPr>
        <w:ind w:left="0" w:firstLine="363"/>
      </w:pPr>
      <w:rPr>
        <w:rFonts w:hint="eastAsia" w:ascii="黑体" w:eastAsia="黑体"/>
        <w:b w:val="0"/>
        <w:i w:val="0"/>
        <w:sz w:val="18"/>
      </w:rPr>
    </w:lvl>
    <w:lvl w:ilvl="1" w:tentative="0">
      <w:start w:val="1"/>
      <w:numFmt w:val="none"/>
      <w:suff w:val="space"/>
      <w:lvlText w:val=""/>
      <w:lvlJc w:val="left"/>
      <w:pPr>
        <w:ind w:left="0" w:firstLine="0"/>
      </w:pPr>
      <w:rPr>
        <w:rFonts w:hint="eastAsia"/>
      </w:rPr>
    </w:lvl>
    <w:lvl w:ilvl="2" w:tentative="0">
      <w:start w:val="1"/>
      <w:numFmt w:val="decimal"/>
      <w:suff w:val="space"/>
      <w:lvlText w:val="2.2.%3"/>
      <w:lvlJc w:val="left"/>
      <w:pPr>
        <w:ind w:left="0" w:firstLine="0"/>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5">
    <w:nsid w:val="4E5D0534"/>
    <w:multiLevelType w:val="multilevel"/>
    <w:tmpl w:val="4E5D0534"/>
    <w:lvl w:ilvl="0" w:tentative="0">
      <w:start w:val="1"/>
      <w:numFmt w:val="decimal"/>
      <w:pStyle w:val="118"/>
      <w:suff w:val="nothing"/>
      <w:lvlText w:val="Figur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6">
    <w:nsid w:val="54632751"/>
    <w:multiLevelType w:val="multilevel"/>
    <w:tmpl w:val="54632751"/>
    <w:lvl w:ilvl="0" w:tentative="0">
      <w:start w:val="1"/>
      <w:numFmt w:val="none"/>
      <w:pStyle w:val="95"/>
      <w:suff w:val="nothing"/>
      <w:lvlText w:val="——"/>
      <w:lvlJc w:val="left"/>
      <w:pPr>
        <w:ind w:left="1588" w:firstLine="0"/>
      </w:pPr>
    </w:lvl>
    <w:lvl w:ilvl="1" w:tentative="0">
      <w:start w:val="1"/>
      <w:numFmt w:val="decimal"/>
      <w:suff w:val="nothing"/>
      <w:lvlText w:val="%1.%2　"/>
      <w:lvlJc w:val="left"/>
      <w:pPr>
        <w:ind w:left="1588" w:firstLine="0"/>
      </w:pPr>
    </w:lvl>
    <w:lvl w:ilvl="2" w:tentative="0">
      <w:start w:val="1"/>
      <w:numFmt w:val="decimal"/>
      <w:suff w:val="nothing"/>
      <w:lvlText w:val="%1.%2.%3　"/>
      <w:lvlJc w:val="left"/>
      <w:pPr>
        <w:ind w:left="1588" w:firstLine="0"/>
      </w:pPr>
    </w:lvl>
    <w:lvl w:ilvl="3" w:tentative="0">
      <w:start w:val="1"/>
      <w:numFmt w:val="decimal"/>
      <w:suff w:val="nothing"/>
      <w:lvlText w:val="%1.%2.%3.%4　"/>
      <w:lvlJc w:val="left"/>
      <w:pPr>
        <w:ind w:left="1588" w:firstLine="0"/>
      </w:pPr>
    </w:lvl>
    <w:lvl w:ilvl="4" w:tentative="0">
      <w:start w:val="1"/>
      <w:numFmt w:val="decimal"/>
      <w:suff w:val="nothing"/>
      <w:lvlText w:val="%1.%2.%3.%4.%5　"/>
      <w:lvlJc w:val="left"/>
      <w:pPr>
        <w:ind w:left="1588" w:firstLine="0"/>
      </w:pPr>
    </w:lvl>
    <w:lvl w:ilvl="5" w:tentative="0">
      <w:start w:val="1"/>
      <w:numFmt w:val="decimal"/>
      <w:suff w:val="nothing"/>
      <w:lvlText w:val="%1.%2.%3.%4.%5.%6　"/>
      <w:lvlJc w:val="left"/>
      <w:pPr>
        <w:ind w:left="1588" w:firstLine="0"/>
      </w:pPr>
    </w:lvl>
    <w:lvl w:ilvl="6" w:tentative="0">
      <w:start w:val="1"/>
      <w:numFmt w:val="decimal"/>
      <w:suff w:val="nothing"/>
      <w:lvlText w:val="%1.%2.%3.%4.%5.%6.%7　"/>
      <w:lvlJc w:val="left"/>
      <w:pPr>
        <w:ind w:left="1588" w:firstLine="0"/>
      </w:pPr>
    </w:lvl>
    <w:lvl w:ilvl="7" w:tentative="0">
      <w:start w:val="1"/>
      <w:numFmt w:val="decimal"/>
      <w:lvlText w:val="%1.%2.%3.%4.%5.%6.%7.%8"/>
      <w:lvlJc w:val="left"/>
      <w:pPr>
        <w:tabs>
          <w:tab w:val="left" w:pos="5982"/>
        </w:tabs>
        <w:ind w:left="5982" w:hanging="1418"/>
      </w:pPr>
    </w:lvl>
    <w:lvl w:ilvl="8" w:tentative="0">
      <w:start w:val="1"/>
      <w:numFmt w:val="decimal"/>
      <w:lvlText w:val="%1.%2.%3.%4.%5.%6.%7.%8.%9"/>
      <w:lvlJc w:val="left"/>
      <w:pPr>
        <w:tabs>
          <w:tab w:val="left" w:pos="6690"/>
        </w:tabs>
        <w:ind w:left="6690" w:hanging="1700"/>
      </w:pPr>
    </w:lvl>
  </w:abstractNum>
  <w:abstractNum w:abstractNumId="17">
    <w:nsid w:val="557C2AF5"/>
    <w:multiLevelType w:val="multilevel"/>
    <w:tmpl w:val="557C2AF5"/>
    <w:lvl w:ilvl="0" w:tentative="0">
      <w:start w:val="1"/>
      <w:numFmt w:val="decimal"/>
      <w:pStyle w:val="116"/>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8">
    <w:nsid w:val="5603797C"/>
    <w:multiLevelType w:val="multilevel"/>
    <w:tmpl w:val="5603797C"/>
    <w:lvl w:ilvl="0" w:tentative="0">
      <w:start w:val="1"/>
      <w:numFmt w:val="upperLetter"/>
      <w:pStyle w:val="201"/>
      <w:suff w:val="space"/>
      <w:lvlText w:val="%1"/>
      <w:lvlJc w:val="left"/>
      <w:pPr>
        <w:ind w:left="425" w:hanging="425"/>
      </w:pPr>
      <w:rPr>
        <w:rFonts w:hint="eastAsia"/>
      </w:rPr>
    </w:lvl>
    <w:lvl w:ilvl="1" w:tentative="0">
      <w:start w:val="1"/>
      <w:numFmt w:val="decimal"/>
      <w:pStyle w:val="79"/>
      <w:suff w:val="space"/>
      <w:lvlText w:val="表%1.%2"/>
      <w:lvlJc w:val="center"/>
      <w:pPr>
        <w:ind w:left="0" w:firstLine="0"/>
      </w:pPr>
      <w:rPr>
        <w:rFonts w:hint="eastAsia" w:ascii="黑体" w:eastAsia="黑体"/>
        <w:sz w:val="21"/>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19">
    <w:nsid w:val="564D2089"/>
    <w:multiLevelType w:val="multilevel"/>
    <w:tmpl w:val="564D2089"/>
    <w:lvl w:ilvl="0" w:tentative="0">
      <w:start w:val="1"/>
      <w:numFmt w:val="none"/>
      <w:pStyle w:val="113"/>
      <w:lvlText w:val="%1注"/>
      <w:lvlJc w:val="left"/>
      <w:pPr>
        <w:tabs>
          <w:tab w:val="left" w:pos="760"/>
        </w:tabs>
        <w:ind w:left="760" w:hanging="284"/>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0">
    <w:nsid w:val="644622F9"/>
    <w:multiLevelType w:val="multilevel"/>
    <w:tmpl w:val="644622F9"/>
    <w:lvl w:ilvl="0" w:tentative="0">
      <w:start w:val="1"/>
      <w:numFmt w:val="upperRoman"/>
      <w:pStyle w:val="170"/>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310"/>
        </w:tabs>
        <w:ind w:left="1310" w:hanging="420"/>
      </w:pPr>
      <w:rPr>
        <w:rFonts w:hint="eastAsia"/>
      </w:rPr>
    </w:lvl>
    <w:lvl w:ilvl="2" w:tentative="0">
      <w:start w:val="1"/>
      <w:numFmt w:val="lowerRoman"/>
      <w:lvlText w:val="%3."/>
      <w:lvlJc w:val="right"/>
      <w:pPr>
        <w:tabs>
          <w:tab w:val="left" w:pos="1730"/>
        </w:tabs>
        <w:ind w:left="1730" w:hanging="420"/>
      </w:pPr>
      <w:rPr>
        <w:rFonts w:hint="eastAsia"/>
      </w:rPr>
    </w:lvl>
    <w:lvl w:ilvl="3" w:tentative="0">
      <w:start w:val="1"/>
      <w:numFmt w:val="decimal"/>
      <w:lvlText w:val="%4."/>
      <w:lvlJc w:val="left"/>
      <w:pPr>
        <w:tabs>
          <w:tab w:val="left" w:pos="2150"/>
        </w:tabs>
        <w:ind w:left="2150" w:hanging="420"/>
      </w:pPr>
      <w:rPr>
        <w:rFonts w:hint="eastAsia"/>
      </w:rPr>
    </w:lvl>
    <w:lvl w:ilvl="4" w:tentative="0">
      <w:start w:val="1"/>
      <w:numFmt w:val="lowerLetter"/>
      <w:lvlText w:val="%5)"/>
      <w:lvlJc w:val="left"/>
      <w:pPr>
        <w:tabs>
          <w:tab w:val="left" w:pos="2570"/>
        </w:tabs>
        <w:ind w:left="2570" w:hanging="420"/>
      </w:pPr>
      <w:rPr>
        <w:rFonts w:hint="eastAsia"/>
      </w:rPr>
    </w:lvl>
    <w:lvl w:ilvl="5" w:tentative="0">
      <w:start w:val="1"/>
      <w:numFmt w:val="lowerRoman"/>
      <w:lvlText w:val="%6."/>
      <w:lvlJc w:val="right"/>
      <w:pPr>
        <w:tabs>
          <w:tab w:val="left" w:pos="2990"/>
        </w:tabs>
        <w:ind w:left="2990" w:hanging="420"/>
      </w:pPr>
      <w:rPr>
        <w:rFonts w:hint="eastAsia"/>
      </w:rPr>
    </w:lvl>
    <w:lvl w:ilvl="6" w:tentative="0">
      <w:start w:val="1"/>
      <w:numFmt w:val="decimal"/>
      <w:lvlText w:val="%7."/>
      <w:lvlJc w:val="left"/>
      <w:pPr>
        <w:tabs>
          <w:tab w:val="left" w:pos="3410"/>
        </w:tabs>
        <w:ind w:left="3410" w:hanging="420"/>
      </w:pPr>
      <w:rPr>
        <w:rFonts w:hint="eastAsia"/>
      </w:rPr>
    </w:lvl>
    <w:lvl w:ilvl="7" w:tentative="0">
      <w:start w:val="1"/>
      <w:numFmt w:val="lowerLetter"/>
      <w:lvlText w:val="%8)"/>
      <w:lvlJc w:val="left"/>
      <w:pPr>
        <w:tabs>
          <w:tab w:val="left" w:pos="3830"/>
        </w:tabs>
        <w:ind w:left="3830" w:hanging="420"/>
      </w:pPr>
      <w:rPr>
        <w:rFonts w:hint="eastAsia"/>
      </w:rPr>
    </w:lvl>
    <w:lvl w:ilvl="8" w:tentative="0">
      <w:start w:val="1"/>
      <w:numFmt w:val="lowerRoman"/>
      <w:lvlText w:val="%9."/>
      <w:lvlJc w:val="right"/>
      <w:pPr>
        <w:tabs>
          <w:tab w:val="left" w:pos="4250"/>
        </w:tabs>
        <w:ind w:left="4250" w:hanging="420"/>
      </w:pPr>
      <w:rPr>
        <w:rFonts w:hint="eastAsia"/>
      </w:rPr>
    </w:lvl>
  </w:abstractNum>
  <w:abstractNum w:abstractNumId="21">
    <w:nsid w:val="646260FA"/>
    <w:multiLevelType w:val="multilevel"/>
    <w:tmpl w:val="646260FA"/>
    <w:lvl w:ilvl="0" w:tentative="0">
      <w:start w:val="1"/>
      <w:numFmt w:val="decimal"/>
      <w:pStyle w:val="114"/>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2">
    <w:nsid w:val="654A26C9"/>
    <w:multiLevelType w:val="multilevel"/>
    <w:tmpl w:val="654A26C9"/>
    <w:lvl w:ilvl="0" w:tentative="0">
      <w:start w:val="1"/>
      <w:numFmt w:val="none"/>
      <w:pStyle w:val="191"/>
      <w:lvlText w:val="──"/>
      <w:lvlJc w:val="left"/>
      <w:pPr>
        <w:ind w:left="851" w:firstLine="0"/>
      </w:pPr>
      <w:rPr>
        <w:rFonts w:hint="eastAsia" w:ascii="宋体" w:eastAsia="宋体" w:hAnsiTheme="majorHAnsi"/>
        <w:b w:val="0"/>
        <w:i w:val="0"/>
        <w:sz w:val="21"/>
      </w:rPr>
    </w:lvl>
    <w:lvl w:ilvl="1" w:tentative="0">
      <w:start w:val="1"/>
      <w:numFmt w:val="bullet"/>
      <w:lvlText w:val=""/>
      <w:lvlJc w:val="left"/>
      <w:pPr>
        <w:ind w:left="1276" w:hanging="425"/>
      </w:pPr>
      <w:rPr>
        <w:rFonts w:hint="default" w:ascii="Wingdings" w:hAnsi="Wingdings"/>
      </w:rPr>
    </w:lvl>
    <w:lvl w:ilvl="2" w:tentative="0">
      <w:start w:val="1"/>
      <w:numFmt w:val="bullet"/>
      <w:lvlText w:val=""/>
      <w:lvlJc w:val="left"/>
      <w:pPr>
        <w:ind w:left="1276" w:hanging="236"/>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23">
    <w:nsid w:val="657D3FBC"/>
    <w:multiLevelType w:val="multilevel"/>
    <w:tmpl w:val="657D3FBC"/>
    <w:lvl w:ilvl="0" w:tentative="0">
      <w:start w:val="1"/>
      <w:numFmt w:val="upperLetter"/>
      <w:pStyle w:val="78"/>
      <w:suff w:val="nothing"/>
      <w:lvlText w:val="附录%1"/>
      <w:lvlJc w:val="left"/>
      <w:pPr>
        <w:ind w:left="0" w:firstLine="0"/>
      </w:pPr>
      <w:rPr>
        <w:rFonts w:hint="eastAsia"/>
        <w:spacing w:val="100"/>
      </w:rPr>
    </w:lvl>
    <w:lvl w:ilvl="1" w:tentative="0">
      <w:start w:val="1"/>
      <w:numFmt w:val="decimal"/>
      <w:pStyle w:val="80"/>
      <w:suff w:val="nothing"/>
      <w:lvlText w:val="%1.%2　"/>
      <w:lvlJc w:val="left"/>
      <w:pPr>
        <w:ind w:left="0" w:firstLine="0"/>
      </w:pPr>
      <w:rPr>
        <w:rFonts w:hint="eastAsia" w:ascii="黑体" w:eastAsia="黑体"/>
        <w:b w:val="0"/>
        <w:i w:val="0"/>
        <w:sz w:val="21"/>
      </w:rPr>
    </w:lvl>
    <w:lvl w:ilvl="2" w:tentative="0">
      <w:start w:val="1"/>
      <w:numFmt w:val="decimal"/>
      <w:pStyle w:val="81"/>
      <w:suff w:val="nothing"/>
      <w:lvlText w:val="%1.%2.%3　"/>
      <w:lvlJc w:val="left"/>
      <w:pPr>
        <w:ind w:left="0" w:firstLine="0"/>
      </w:pPr>
      <w:rPr>
        <w:rFonts w:hint="eastAsia" w:ascii="黑体" w:eastAsia="黑体"/>
        <w:b w:val="0"/>
        <w:i w:val="0"/>
        <w:sz w:val="21"/>
      </w:rPr>
    </w:lvl>
    <w:lvl w:ilvl="3" w:tentative="0">
      <w:start w:val="1"/>
      <w:numFmt w:val="decimal"/>
      <w:pStyle w:val="83"/>
      <w:suff w:val="nothing"/>
      <w:lvlText w:val="%1.%2.%3.%4　"/>
      <w:lvlJc w:val="left"/>
      <w:pPr>
        <w:ind w:left="0" w:firstLine="0"/>
      </w:pPr>
      <w:rPr>
        <w:rFonts w:hint="eastAsia" w:ascii="黑体" w:eastAsia="黑体"/>
        <w:b w:val="0"/>
        <w:i w:val="0"/>
        <w:sz w:val="21"/>
      </w:rPr>
    </w:lvl>
    <w:lvl w:ilvl="4" w:tentative="0">
      <w:start w:val="1"/>
      <w:numFmt w:val="decimal"/>
      <w:pStyle w:val="84"/>
      <w:suff w:val="nothing"/>
      <w:lvlText w:val="%1.%2.%3.%4.%5　"/>
      <w:lvlJc w:val="left"/>
      <w:pPr>
        <w:ind w:left="0" w:firstLine="0"/>
      </w:pPr>
      <w:rPr>
        <w:rFonts w:hint="eastAsia" w:ascii="黑体" w:eastAsia="黑体"/>
        <w:b w:val="0"/>
        <w:i w:val="0"/>
        <w:sz w:val="21"/>
      </w:rPr>
    </w:lvl>
    <w:lvl w:ilvl="5" w:tentative="0">
      <w:start w:val="1"/>
      <w:numFmt w:val="decimal"/>
      <w:pStyle w:val="86"/>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4">
    <w:nsid w:val="69506ABF"/>
    <w:multiLevelType w:val="multilevel"/>
    <w:tmpl w:val="69506ABF"/>
    <w:lvl w:ilvl="0" w:tentative="0">
      <w:start w:val="1"/>
      <w:numFmt w:val="bullet"/>
      <w:pStyle w:val="190"/>
      <w:lvlText w:val=""/>
      <w:lvlJc w:val="left"/>
      <w:pPr>
        <w:ind w:left="851" w:firstLine="0"/>
      </w:pPr>
      <w:rPr>
        <w:rFonts w:hint="default" w:ascii="Wingdings" w:hAnsi="Wingdings"/>
        <w:color w:val="auto"/>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25">
    <w:nsid w:val="6CA41985"/>
    <w:multiLevelType w:val="multilevel"/>
    <w:tmpl w:val="6CA41985"/>
    <w:lvl w:ilvl="0" w:tentative="0">
      <w:start w:val="1"/>
      <w:numFmt w:val="decimal"/>
      <w:pStyle w:val="99"/>
      <w:lvlText w:val="%1)"/>
      <w:lvlJc w:val="left"/>
      <w:pPr>
        <w:tabs>
          <w:tab w:val="left" w:pos="823"/>
        </w:tabs>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6">
    <w:nsid w:val="6CE42AC1"/>
    <w:multiLevelType w:val="multilevel"/>
    <w:tmpl w:val="6CE42AC1"/>
    <w:lvl w:ilvl="0" w:tentative="0">
      <w:start w:val="1"/>
      <w:numFmt w:val="lowerLetter"/>
      <w:pStyle w:val="175"/>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7">
    <w:nsid w:val="6CEA2025"/>
    <w:multiLevelType w:val="multilevel"/>
    <w:tmpl w:val="6CEA2025"/>
    <w:lvl w:ilvl="0" w:tentative="0">
      <w:start w:val="1"/>
      <w:numFmt w:val="none"/>
      <w:pStyle w:val="154"/>
      <w:suff w:val="nothing"/>
      <w:lvlText w:val="%1"/>
      <w:lvlJc w:val="left"/>
      <w:pPr>
        <w:ind w:left="0" w:firstLine="0"/>
      </w:pPr>
      <w:rPr>
        <w:rFonts w:hint="eastAsia"/>
      </w:rPr>
    </w:lvl>
    <w:lvl w:ilvl="1" w:tentative="0">
      <w:start w:val="1"/>
      <w:numFmt w:val="decimal"/>
      <w:pStyle w:val="106"/>
      <w:suff w:val="nothing"/>
      <w:lvlText w:val="%1%2　"/>
      <w:lvlJc w:val="left"/>
      <w:pPr>
        <w:ind w:left="851" w:firstLine="0"/>
      </w:pPr>
      <w:rPr>
        <w:rFonts w:hint="eastAsia" w:ascii="黑体" w:eastAsia="黑体"/>
        <w:b w:val="0"/>
        <w:i w:val="0"/>
        <w:sz w:val="21"/>
      </w:rPr>
    </w:lvl>
    <w:lvl w:ilvl="2" w:tentative="0">
      <w:start w:val="1"/>
      <w:numFmt w:val="decimal"/>
      <w:pStyle w:val="107"/>
      <w:suff w:val="nothing"/>
      <w:lvlText w:val="%1%2.%3　"/>
      <w:lvlJc w:val="left"/>
      <w:pPr>
        <w:ind w:left="568"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pStyle w:val="67"/>
      <w:suff w:val="nothing"/>
      <w:lvlText w:val="%1%2.%3.%4　"/>
      <w:lvlJc w:val="left"/>
      <w:pPr>
        <w:ind w:left="0" w:firstLine="0"/>
      </w:pPr>
      <w:rPr>
        <w:rFonts w:hint="eastAsia" w:ascii="黑体" w:eastAsia="黑体"/>
        <w:b w:val="0"/>
        <w:i w:val="0"/>
        <w:sz w:val="21"/>
      </w:rPr>
    </w:lvl>
    <w:lvl w:ilvl="4" w:tentative="0">
      <w:start w:val="1"/>
      <w:numFmt w:val="decimal"/>
      <w:pStyle w:val="96"/>
      <w:suff w:val="nothing"/>
      <w:lvlText w:val="%1%2.%3.%4.%5　"/>
      <w:lvlJc w:val="left"/>
      <w:pPr>
        <w:ind w:left="0" w:firstLine="0"/>
      </w:pPr>
      <w:rPr>
        <w:rFonts w:hint="eastAsia" w:ascii="黑体" w:eastAsia="黑体"/>
        <w:b w:val="0"/>
        <w:i w:val="0"/>
        <w:sz w:val="21"/>
      </w:rPr>
    </w:lvl>
    <w:lvl w:ilvl="5" w:tentative="0">
      <w:start w:val="1"/>
      <w:numFmt w:val="decimal"/>
      <w:pStyle w:val="100"/>
      <w:suff w:val="nothing"/>
      <w:lvlText w:val="%1%2.%3.%4.%5.%6　"/>
      <w:lvlJc w:val="left"/>
      <w:pPr>
        <w:ind w:left="0" w:firstLine="0"/>
      </w:pPr>
      <w:rPr>
        <w:rFonts w:hint="eastAsia" w:ascii="黑体" w:eastAsia="黑体"/>
        <w:b w:val="0"/>
        <w:i w:val="0"/>
        <w:sz w:val="21"/>
      </w:rPr>
    </w:lvl>
    <w:lvl w:ilvl="6" w:tentative="0">
      <w:start w:val="1"/>
      <w:numFmt w:val="decimal"/>
      <w:pStyle w:val="105"/>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28">
    <w:nsid w:val="6DBF04F4"/>
    <w:multiLevelType w:val="multilevel"/>
    <w:tmpl w:val="6DBF04F4"/>
    <w:lvl w:ilvl="0" w:tentative="0">
      <w:start w:val="1"/>
      <w:numFmt w:val="none"/>
      <w:pStyle w:val="181"/>
      <w:lvlText w:val="%1注："/>
      <w:lvlJc w:val="left"/>
      <w:pPr>
        <w:ind w:left="737"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29">
    <w:nsid w:val="6DF35F19"/>
    <w:multiLevelType w:val="multilevel"/>
    <w:tmpl w:val="6DF35F19"/>
    <w:lvl w:ilvl="0" w:tentative="0">
      <w:start w:val="1"/>
      <w:numFmt w:val="decimal"/>
      <w:pStyle w:val="117"/>
      <w:suff w:val="nothing"/>
      <w:lvlText w:val="Tabl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30">
    <w:nsid w:val="76933334"/>
    <w:multiLevelType w:val="multilevel"/>
    <w:tmpl w:val="76933334"/>
    <w:lvl w:ilvl="0" w:tentative="0">
      <w:start w:val="1"/>
      <w:numFmt w:val="none"/>
      <w:pStyle w:val="141"/>
      <w:lvlText w:val="%1——"/>
      <w:lvlJc w:val="left"/>
      <w:pPr>
        <w:tabs>
          <w:tab w:val="left" w:pos="330"/>
        </w:tabs>
        <w:ind w:left="948"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0"/>
  </w:num>
  <w:num w:numId="2">
    <w:abstractNumId w:val="27"/>
  </w:num>
  <w:num w:numId="3">
    <w:abstractNumId w:val="5"/>
  </w:num>
  <w:num w:numId="4">
    <w:abstractNumId w:val="23"/>
  </w:num>
  <w:num w:numId="5">
    <w:abstractNumId w:val="18"/>
  </w:num>
  <w:num w:numId="6">
    <w:abstractNumId w:val="13"/>
  </w:num>
  <w:num w:numId="7">
    <w:abstractNumId w:val="8"/>
  </w:num>
  <w:num w:numId="8">
    <w:abstractNumId w:val="3"/>
  </w:num>
  <w:num w:numId="9">
    <w:abstractNumId w:val="9"/>
  </w:num>
  <w:num w:numId="10">
    <w:abstractNumId w:val="16"/>
  </w:num>
  <w:num w:numId="11">
    <w:abstractNumId w:val="25"/>
  </w:num>
  <w:num w:numId="12">
    <w:abstractNumId w:val="11"/>
  </w:num>
  <w:num w:numId="13">
    <w:abstractNumId w:val="12"/>
  </w:num>
  <w:num w:numId="14">
    <w:abstractNumId w:val="7"/>
  </w:num>
  <w:num w:numId="15">
    <w:abstractNumId w:val="19"/>
  </w:num>
  <w:num w:numId="16">
    <w:abstractNumId w:val="21"/>
  </w:num>
  <w:num w:numId="17">
    <w:abstractNumId w:val="17"/>
  </w:num>
  <w:num w:numId="18">
    <w:abstractNumId w:val="29"/>
  </w:num>
  <w:num w:numId="19">
    <w:abstractNumId w:val="15"/>
  </w:num>
  <w:num w:numId="20">
    <w:abstractNumId w:val="1"/>
  </w:num>
  <w:num w:numId="21">
    <w:abstractNumId w:val="10"/>
  </w:num>
  <w:num w:numId="22">
    <w:abstractNumId w:val="30"/>
  </w:num>
  <w:num w:numId="23">
    <w:abstractNumId w:val="20"/>
  </w:num>
  <w:num w:numId="24">
    <w:abstractNumId w:val="6"/>
  </w:num>
  <w:num w:numId="25">
    <w:abstractNumId w:val="26"/>
  </w:num>
  <w:num w:numId="26">
    <w:abstractNumId w:val="28"/>
  </w:num>
  <w:num w:numId="27">
    <w:abstractNumId w:val="2"/>
  </w:num>
  <w:num w:numId="28">
    <w:abstractNumId w:val="4"/>
  </w:num>
  <w:num w:numId="29">
    <w:abstractNumId w:val="14"/>
  </w:num>
  <w:num w:numId="30">
    <w:abstractNumId w:val="24"/>
  </w:num>
  <w:num w:numId="31">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attachedTemplate r:id="rId1"/>
  <w:documentProtection w:edit="forms" w:enforcement="1" w:cryptProviderType="rsaAES" w:cryptAlgorithmClass="hash" w:cryptAlgorithmType="typeAny" w:cryptAlgorithmSid="14" w:cryptSpinCount="100000" w:hash="+x1lBxwIjK3dsGX3P9OkSQ20/4SCWP0BZykAwASDWJIE2OYG0accPb05kxb8S5hWr/co+KddlS7StmeY3N+hSg==" w:salt="E9VBTr73K7tu5B6uq5s5fA=="/>
  <w:defaultTabStop w:val="420"/>
  <w:drawingGridHorizontalSpacing w:val="105"/>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YTNiNDgxMWNlYTI3MjcwYTFmN2MzODYyYzdhNjFmZWEifQ=="/>
  </w:docVars>
  <w:rsids>
    <w:rsidRoot w:val="00972A77"/>
    <w:rsid w:val="0000040A"/>
    <w:rsid w:val="00000A94"/>
    <w:rsid w:val="000010C8"/>
    <w:rsid w:val="00001972"/>
    <w:rsid w:val="00001D9A"/>
    <w:rsid w:val="0000319F"/>
    <w:rsid w:val="00003838"/>
    <w:rsid w:val="0000475D"/>
    <w:rsid w:val="00006596"/>
    <w:rsid w:val="00007B3A"/>
    <w:rsid w:val="00010655"/>
    <w:rsid w:val="000107DC"/>
    <w:rsid w:val="000107E0"/>
    <w:rsid w:val="00011EDE"/>
    <w:rsid w:val="00011FDE"/>
    <w:rsid w:val="00012FFD"/>
    <w:rsid w:val="00014162"/>
    <w:rsid w:val="00014340"/>
    <w:rsid w:val="00014A03"/>
    <w:rsid w:val="00016438"/>
    <w:rsid w:val="00016575"/>
    <w:rsid w:val="00016A9C"/>
    <w:rsid w:val="00017434"/>
    <w:rsid w:val="00020501"/>
    <w:rsid w:val="00022184"/>
    <w:rsid w:val="00022762"/>
    <w:rsid w:val="000238E0"/>
    <w:rsid w:val="000249DB"/>
    <w:rsid w:val="0002595E"/>
    <w:rsid w:val="00026EDB"/>
    <w:rsid w:val="00026F3D"/>
    <w:rsid w:val="000271BD"/>
    <w:rsid w:val="00030361"/>
    <w:rsid w:val="000303C3"/>
    <w:rsid w:val="00031853"/>
    <w:rsid w:val="00032737"/>
    <w:rsid w:val="000331D3"/>
    <w:rsid w:val="00033A26"/>
    <w:rsid w:val="000346A5"/>
    <w:rsid w:val="000359C3"/>
    <w:rsid w:val="00035A7D"/>
    <w:rsid w:val="000365ED"/>
    <w:rsid w:val="000406BE"/>
    <w:rsid w:val="0004249A"/>
    <w:rsid w:val="0004279A"/>
    <w:rsid w:val="00043282"/>
    <w:rsid w:val="00043795"/>
    <w:rsid w:val="00044286"/>
    <w:rsid w:val="000452F3"/>
    <w:rsid w:val="00046505"/>
    <w:rsid w:val="00047575"/>
    <w:rsid w:val="00047714"/>
    <w:rsid w:val="00047F28"/>
    <w:rsid w:val="000503AA"/>
    <w:rsid w:val="0005045D"/>
    <w:rsid w:val="000506A1"/>
    <w:rsid w:val="000515DD"/>
    <w:rsid w:val="0005265A"/>
    <w:rsid w:val="0005357B"/>
    <w:rsid w:val="000539DD"/>
    <w:rsid w:val="00053BD3"/>
    <w:rsid w:val="000556ED"/>
    <w:rsid w:val="00055748"/>
    <w:rsid w:val="00055EC3"/>
    <w:rsid w:val="00055FE2"/>
    <w:rsid w:val="0005616F"/>
    <w:rsid w:val="00060C2E"/>
    <w:rsid w:val="00061033"/>
    <w:rsid w:val="000619E9"/>
    <w:rsid w:val="000622D4"/>
    <w:rsid w:val="00063262"/>
    <w:rsid w:val="0006357D"/>
    <w:rsid w:val="00063A13"/>
    <w:rsid w:val="00064545"/>
    <w:rsid w:val="0006530E"/>
    <w:rsid w:val="0006543C"/>
    <w:rsid w:val="00065760"/>
    <w:rsid w:val="00067F1E"/>
    <w:rsid w:val="00070A1A"/>
    <w:rsid w:val="000711E9"/>
    <w:rsid w:val="00071CC0"/>
    <w:rsid w:val="000730E6"/>
    <w:rsid w:val="000733A2"/>
    <w:rsid w:val="00073C8C"/>
    <w:rsid w:val="00075779"/>
    <w:rsid w:val="00076157"/>
    <w:rsid w:val="00077B64"/>
    <w:rsid w:val="00080460"/>
    <w:rsid w:val="00080A1C"/>
    <w:rsid w:val="00082024"/>
    <w:rsid w:val="00082317"/>
    <w:rsid w:val="000831AC"/>
    <w:rsid w:val="00083D2C"/>
    <w:rsid w:val="0008631D"/>
    <w:rsid w:val="000866D0"/>
    <w:rsid w:val="00086AA1"/>
    <w:rsid w:val="00087A77"/>
    <w:rsid w:val="00090CA6"/>
    <w:rsid w:val="00092B8A"/>
    <w:rsid w:val="00092FB0"/>
    <w:rsid w:val="000934C5"/>
    <w:rsid w:val="00093D25"/>
    <w:rsid w:val="00093DAB"/>
    <w:rsid w:val="00094D73"/>
    <w:rsid w:val="00096D63"/>
    <w:rsid w:val="00097717"/>
    <w:rsid w:val="000A0494"/>
    <w:rsid w:val="000A0B60"/>
    <w:rsid w:val="000A0EB8"/>
    <w:rsid w:val="000A19FC"/>
    <w:rsid w:val="000A296B"/>
    <w:rsid w:val="000A4863"/>
    <w:rsid w:val="000A4AE7"/>
    <w:rsid w:val="000A57F2"/>
    <w:rsid w:val="000A6064"/>
    <w:rsid w:val="000A6B91"/>
    <w:rsid w:val="000A7311"/>
    <w:rsid w:val="000A7BEC"/>
    <w:rsid w:val="000A7C8E"/>
    <w:rsid w:val="000B060F"/>
    <w:rsid w:val="000B1592"/>
    <w:rsid w:val="000B1FF2"/>
    <w:rsid w:val="000B2A75"/>
    <w:rsid w:val="000B3CDA"/>
    <w:rsid w:val="000B593D"/>
    <w:rsid w:val="000B6A0B"/>
    <w:rsid w:val="000C0F6C"/>
    <w:rsid w:val="000C1136"/>
    <w:rsid w:val="000C11DB"/>
    <w:rsid w:val="000C1492"/>
    <w:rsid w:val="000C1531"/>
    <w:rsid w:val="000C2C8B"/>
    <w:rsid w:val="000C2FBD"/>
    <w:rsid w:val="000C4B41"/>
    <w:rsid w:val="000C57D6"/>
    <w:rsid w:val="000C5ABD"/>
    <w:rsid w:val="000C5BDF"/>
    <w:rsid w:val="000C6325"/>
    <w:rsid w:val="000C6362"/>
    <w:rsid w:val="000C7666"/>
    <w:rsid w:val="000D0A9C"/>
    <w:rsid w:val="000D0F87"/>
    <w:rsid w:val="000D1633"/>
    <w:rsid w:val="000D1795"/>
    <w:rsid w:val="000D2880"/>
    <w:rsid w:val="000D329A"/>
    <w:rsid w:val="000D3317"/>
    <w:rsid w:val="000D4B9C"/>
    <w:rsid w:val="000D4EB6"/>
    <w:rsid w:val="000D6299"/>
    <w:rsid w:val="000D6410"/>
    <w:rsid w:val="000D753B"/>
    <w:rsid w:val="000E1AE4"/>
    <w:rsid w:val="000E4C9E"/>
    <w:rsid w:val="000E5013"/>
    <w:rsid w:val="000E5804"/>
    <w:rsid w:val="000E5F00"/>
    <w:rsid w:val="000E6FD7"/>
    <w:rsid w:val="000E70BA"/>
    <w:rsid w:val="000E7287"/>
    <w:rsid w:val="000E7AA9"/>
    <w:rsid w:val="000F06E1"/>
    <w:rsid w:val="000F0E3C"/>
    <w:rsid w:val="000F19D5"/>
    <w:rsid w:val="000F2DB8"/>
    <w:rsid w:val="000F39DF"/>
    <w:rsid w:val="000F4055"/>
    <w:rsid w:val="000F4AEA"/>
    <w:rsid w:val="000F633F"/>
    <w:rsid w:val="000F6471"/>
    <w:rsid w:val="000F67E9"/>
    <w:rsid w:val="000F7FF5"/>
    <w:rsid w:val="001019A9"/>
    <w:rsid w:val="00101A45"/>
    <w:rsid w:val="00102003"/>
    <w:rsid w:val="00104926"/>
    <w:rsid w:val="00106DA4"/>
    <w:rsid w:val="001109CC"/>
    <w:rsid w:val="00112F0D"/>
    <w:rsid w:val="00113427"/>
    <w:rsid w:val="00113B1E"/>
    <w:rsid w:val="0011545C"/>
    <w:rsid w:val="0011711C"/>
    <w:rsid w:val="0012059C"/>
    <w:rsid w:val="001226B9"/>
    <w:rsid w:val="00124D4C"/>
    <w:rsid w:val="00124E4F"/>
    <w:rsid w:val="001260B7"/>
    <w:rsid w:val="001265CB"/>
    <w:rsid w:val="00126EEA"/>
    <w:rsid w:val="001310F8"/>
    <w:rsid w:val="00131F04"/>
    <w:rsid w:val="001321C6"/>
    <w:rsid w:val="001325C4"/>
    <w:rsid w:val="00132754"/>
    <w:rsid w:val="00133010"/>
    <w:rsid w:val="00133812"/>
    <w:rsid w:val="001338EE"/>
    <w:rsid w:val="00133AAE"/>
    <w:rsid w:val="001343C2"/>
    <w:rsid w:val="00135323"/>
    <w:rsid w:val="001356C4"/>
    <w:rsid w:val="00135E3F"/>
    <w:rsid w:val="0013730B"/>
    <w:rsid w:val="00137553"/>
    <w:rsid w:val="0014040D"/>
    <w:rsid w:val="00140CC6"/>
    <w:rsid w:val="00141114"/>
    <w:rsid w:val="00141637"/>
    <w:rsid w:val="00142969"/>
    <w:rsid w:val="00142B7C"/>
    <w:rsid w:val="001446C2"/>
    <w:rsid w:val="001457E7"/>
    <w:rsid w:val="00145D9D"/>
    <w:rsid w:val="00146388"/>
    <w:rsid w:val="001476BA"/>
    <w:rsid w:val="001529E5"/>
    <w:rsid w:val="001529E9"/>
    <w:rsid w:val="00153C7E"/>
    <w:rsid w:val="00153FC6"/>
    <w:rsid w:val="00155768"/>
    <w:rsid w:val="00155BC4"/>
    <w:rsid w:val="00155D68"/>
    <w:rsid w:val="00156B25"/>
    <w:rsid w:val="00156E1A"/>
    <w:rsid w:val="00157894"/>
    <w:rsid w:val="00157B55"/>
    <w:rsid w:val="00161BD4"/>
    <w:rsid w:val="001621F1"/>
    <w:rsid w:val="001642FA"/>
    <w:rsid w:val="0016458C"/>
    <w:rsid w:val="001649EB"/>
    <w:rsid w:val="00164BAF"/>
    <w:rsid w:val="00164FA8"/>
    <w:rsid w:val="00165065"/>
    <w:rsid w:val="00165434"/>
    <w:rsid w:val="0016580B"/>
    <w:rsid w:val="00165F49"/>
    <w:rsid w:val="00166726"/>
    <w:rsid w:val="00166B88"/>
    <w:rsid w:val="00166E85"/>
    <w:rsid w:val="00167468"/>
    <w:rsid w:val="00167634"/>
    <w:rsid w:val="0016770A"/>
    <w:rsid w:val="00170804"/>
    <w:rsid w:val="0017081E"/>
    <w:rsid w:val="001708E9"/>
    <w:rsid w:val="001724CE"/>
    <w:rsid w:val="0017340B"/>
    <w:rsid w:val="00173FB1"/>
    <w:rsid w:val="00176DFD"/>
    <w:rsid w:val="001830FB"/>
    <w:rsid w:val="001852C9"/>
    <w:rsid w:val="001866A0"/>
    <w:rsid w:val="00190087"/>
    <w:rsid w:val="001906D7"/>
    <w:rsid w:val="001913C4"/>
    <w:rsid w:val="00192D9E"/>
    <w:rsid w:val="0019348F"/>
    <w:rsid w:val="00193A07"/>
    <w:rsid w:val="00194C95"/>
    <w:rsid w:val="00195C34"/>
    <w:rsid w:val="00196347"/>
    <w:rsid w:val="00196EF5"/>
    <w:rsid w:val="00197469"/>
    <w:rsid w:val="001974E3"/>
    <w:rsid w:val="00197BDE"/>
    <w:rsid w:val="001A01B2"/>
    <w:rsid w:val="001A1A53"/>
    <w:rsid w:val="001A234A"/>
    <w:rsid w:val="001A3E74"/>
    <w:rsid w:val="001A4A99"/>
    <w:rsid w:val="001A4B95"/>
    <w:rsid w:val="001A4CF3"/>
    <w:rsid w:val="001A54FE"/>
    <w:rsid w:val="001A5D53"/>
    <w:rsid w:val="001A6919"/>
    <w:rsid w:val="001B0178"/>
    <w:rsid w:val="001B04FC"/>
    <w:rsid w:val="001B06E8"/>
    <w:rsid w:val="001B1C8F"/>
    <w:rsid w:val="001B31D6"/>
    <w:rsid w:val="001B62B6"/>
    <w:rsid w:val="001B6347"/>
    <w:rsid w:val="001B714C"/>
    <w:rsid w:val="001B71D0"/>
    <w:rsid w:val="001B71EE"/>
    <w:rsid w:val="001B73EE"/>
    <w:rsid w:val="001C04A8"/>
    <w:rsid w:val="001C2C03"/>
    <w:rsid w:val="001C2E16"/>
    <w:rsid w:val="001C42F7"/>
    <w:rsid w:val="001C49E5"/>
    <w:rsid w:val="001C4CCF"/>
    <w:rsid w:val="001C5214"/>
    <w:rsid w:val="001C58F5"/>
    <w:rsid w:val="001C680C"/>
    <w:rsid w:val="001C7FEA"/>
    <w:rsid w:val="001D00E3"/>
    <w:rsid w:val="001D0499"/>
    <w:rsid w:val="001D0BBE"/>
    <w:rsid w:val="001D0ED4"/>
    <w:rsid w:val="001D212F"/>
    <w:rsid w:val="001D2759"/>
    <w:rsid w:val="001D29D7"/>
    <w:rsid w:val="001D2D50"/>
    <w:rsid w:val="001D2DE7"/>
    <w:rsid w:val="001D411C"/>
    <w:rsid w:val="001D450C"/>
    <w:rsid w:val="001D6CC9"/>
    <w:rsid w:val="001D787F"/>
    <w:rsid w:val="001E08F9"/>
    <w:rsid w:val="001E0EE2"/>
    <w:rsid w:val="001E1B6A"/>
    <w:rsid w:val="001E2484"/>
    <w:rsid w:val="001E3CC4"/>
    <w:rsid w:val="001E409F"/>
    <w:rsid w:val="001E4444"/>
    <w:rsid w:val="001E4882"/>
    <w:rsid w:val="001E5478"/>
    <w:rsid w:val="001E6C73"/>
    <w:rsid w:val="001E73AB"/>
    <w:rsid w:val="001F092D"/>
    <w:rsid w:val="001F143A"/>
    <w:rsid w:val="001F1605"/>
    <w:rsid w:val="001F2508"/>
    <w:rsid w:val="001F4816"/>
    <w:rsid w:val="001F4EE9"/>
    <w:rsid w:val="001F69B4"/>
    <w:rsid w:val="001F77C7"/>
    <w:rsid w:val="00200183"/>
    <w:rsid w:val="00200333"/>
    <w:rsid w:val="0020107D"/>
    <w:rsid w:val="00202AA4"/>
    <w:rsid w:val="002031F7"/>
    <w:rsid w:val="00203A17"/>
    <w:rsid w:val="002040E6"/>
    <w:rsid w:val="0020527B"/>
    <w:rsid w:val="00205F2C"/>
    <w:rsid w:val="00210B15"/>
    <w:rsid w:val="002119D8"/>
    <w:rsid w:val="002126E9"/>
    <w:rsid w:val="002142EA"/>
    <w:rsid w:val="002204BB"/>
    <w:rsid w:val="00220EFA"/>
    <w:rsid w:val="00221B79"/>
    <w:rsid w:val="00221C6B"/>
    <w:rsid w:val="00222A13"/>
    <w:rsid w:val="002253A1"/>
    <w:rsid w:val="00225CF8"/>
    <w:rsid w:val="002271F6"/>
    <w:rsid w:val="00227390"/>
    <w:rsid w:val="002277FC"/>
    <w:rsid w:val="0022794E"/>
    <w:rsid w:val="00227F62"/>
    <w:rsid w:val="002305BD"/>
    <w:rsid w:val="00232692"/>
    <w:rsid w:val="00233D64"/>
    <w:rsid w:val="002342B3"/>
    <w:rsid w:val="00234564"/>
    <w:rsid w:val="0023482A"/>
    <w:rsid w:val="002359CB"/>
    <w:rsid w:val="00240602"/>
    <w:rsid w:val="00243540"/>
    <w:rsid w:val="00243C7C"/>
    <w:rsid w:val="0024497B"/>
    <w:rsid w:val="0024515B"/>
    <w:rsid w:val="00245608"/>
    <w:rsid w:val="00246021"/>
    <w:rsid w:val="0024666E"/>
    <w:rsid w:val="00247F52"/>
    <w:rsid w:val="00250A43"/>
    <w:rsid w:val="00250B25"/>
    <w:rsid w:val="00250BBE"/>
    <w:rsid w:val="002515C2"/>
    <w:rsid w:val="0025194F"/>
    <w:rsid w:val="002520FC"/>
    <w:rsid w:val="002530D6"/>
    <w:rsid w:val="00253299"/>
    <w:rsid w:val="00253ED5"/>
    <w:rsid w:val="00255F26"/>
    <w:rsid w:val="0026148A"/>
    <w:rsid w:val="00262696"/>
    <w:rsid w:val="00263D25"/>
    <w:rsid w:val="002643C3"/>
    <w:rsid w:val="00264A0C"/>
    <w:rsid w:val="00266EEB"/>
    <w:rsid w:val="00267231"/>
    <w:rsid w:val="002674C9"/>
    <w:rsid w:val="00267EF4"/>
    <w:rsid w:val="00270CB8"/>
    <w:rsid w:val="00272B08"/>
    <w:rsid w:val="00273760"/>
    <w:rsid w:val="00273FA2"/>
    <w:rsid w:val="002755B7"/>
    <w:rsid w:val="00276F14"/>
    <w:rsid w:val="00277A39"/>
    <w:rsid w:val="002809F2"/>
    <w:rsid w:val="00281BB8"/>
    <w:rsid w:val="00281E9E"/>
    <w:rsid w:val="00282405"/>
    <w:rsid w:val="0028292C"/>
    <w:rsid w:val="00285170"/>
    <w:rsid w:val="00285361"/>
    <w:rsid w:val="0029216B"/>
    <w:rsid w:val="00292D60"/>
    <w:rsid w:val="00293B30"/>
    <w:rsid w:val="00294D34"/>
    <w:rsid w:val="00294E3B"/>
    <w:rsid w:val="00296193"/>
    <w:rsid w:val="00296C66"/>
    <w:rsid w:val="00296EBE"/>
    <w:rsid w:val="002974E3"/>
    <w:rsid w:val="002A084B"/>
    <w:rsid w:val="002A0A52"/>
    <w:rsid w:val="002A1260"/>
    <w:rsid w:val="002A1589"/>
    <w:rsid w:val="002A1608"/>
    <w:rsid w:val="002A1A17"/>
    <w:rsid w:val="002A2599"/>
    <w:rsid w:val="002A25DC"/>
    <w:rsid w:val="002A2A85"/>
    <w:rsid w:val="002A3AAB"/>
    <w:rsid w:val="002A3B3C"/>
    <w:rsid w:val="002A3F9E"/>
    <w:rsid w:val="002A4CEA"/>
    <w:rsid w:val="002A527B"/>
    <w:rsid w:val="002A5977"/>
    <w:rsid w:val="002A5A13"/>
    <w:rsid w:val="002A757F"/>
    <w:rsid w:val="002A7947"/>
    <w:rsid w:val="002A7F44"/>
    <w:rsid w:val="002B0C40"/>
    <w:rsid w:val="002B1966"/>
    <w:rsid w:val="002B4508"/>
    <w:rsid w:val="002B4611"/>
    <w:rsid w:val="002B5764"/>
    <w:rsid w:val="002B5779"/>
    <w:rsid w:val="002B7332"/>
    <w:rsid w:val="002B7A8A"/>
    <w:rsid w:val="002B7F51"/>
    <w:rsid w:val="002C09E7"/>
    <w:rsid w:val="002C0E10"/>
    <w:rsid w:val="002C1906"/>
    <w:rsid w:val="002C1E06"/>
    <w:rsid w:val="002C1E1C"/>
    <w:rsid w:val="002C211C"/>
    <w:rsid w:val="002C2E5F"/>
    <w:rsid w:val="002C3F07"/>
    <w:rsid w:val="002C463D"/>
    <w:rsid w:val="002C5278"/>
    <w:rsid w:val="002C63D6"/>
    <w:rsid w:val="002C7EBB"/>
    <w:rsid w:val="002D06C1"/>
    <w:rsid w:val="002D0BC8"/>
    <w:rsid w:val="002D2AF5"/>
    <w:rsid w:val="002D37D4"/>
    <w:rsid w:val="002D42B5"/>
    <w:rsid w:val="002D4F1A"/>
    <w:rsid w:val="002D6EC6"/>
    <w:rsid w:val="002D79AC"/>
    <w:rsid w:val="002E039D"/>
    <w:rsid w:val="002E4D5A"/>
    <w:rsid w:val="002E6326"/>
    <w:rsid w:val="002E7F54"/>
    <w:rsid w:val="002F0580"/>
    <w:rsid w:val="002F17CB"/>
    <w:rsid w:val="002F30E0"/>
    <w:rsid w:val="002F35E4"/>
    <w:rsid w:val="002F3730"/>
    <w:rsid w:val="002F38E1"/>
    <w:rsid w:val="002F4FF9"/>
    <w:rsid w:val="002F6EC5"/>
    <w:rsid w:val="002F7AF6"/>
    <w:rsid w:val="0030003E"/>
    <w:rsid w:val="00300E42"/>
    <w:rsid w:val="00300E63"/>
    <w:rsid w:val="00302B2D"/>
    <w:rsid w:val="00302F5F"/>
    <w:rsid w:val="0030441D"/>
    <w:rsid w:val="00304D52"/>
    <w:rsid w:val="00304E49"/>
    <w:rsid w:val="00306063"/>
    <w:rsid w:val="0030708F"/>
    <w:rsid w:val="00310288"/>
    <w:rsid w:val="00310C99"/>
    <w:rsid w:val="003110E6"/>
    <w:rsid w:val="00311FC7"/>
    <w:rsid w:val="00312072"/>
    <w:rsid w:val="00313B85"/>
    <w:rsid w:val="0031450C"/>
    <w:rsid w:val="00317988"/>
    <w:rsid w:val="00317FC7"/>
    <w:rsid w:val="003221B4"/>
    <w:rsid w:val="0032258D"/>
    <w:rsid w:val="00322C9B"/>
    <w:rsid w:val="00322E62"/>
    <w:rsid w:val="00324D13"/>
    <w:rsid w:val="00324D2A"/>
    <w:rsid w:val="00324EDD"/>
    <w:rsid w:val="00326D6C"/>
    <w:rsid w:val="0032751B"/>
    <w:rsid w:val="00327C52"/>
    <w:rsid w:val="003302F1"/>
    <w:rsid w:val="00330EC4"/>
    <w:rsid w:val="00331E59"/>
    <w:rsid w:val="003331E4"/>
    <w:rsid w:val="00336C64"/>
    <w:rsid w:val="00337162"/>
    <w:rsid w:val="003371EE"/>
    <w:rsid w:val="0034066C"/>
    <w:rsid w:val="003408AA"/>
    <w:rsid w:val="0034194F"/>
    <w:rsid w:val="00342A5E"/>
    <w:rsid w:val="003431ED"/>
    <w:rsid w:val="00344605"/>
    <w:rsid w:val="003474AA"/>
    <w:rsid w:val="00350D1D"/>
    <w:rsid w:val="00350D9E"/>
    <w:rsid w:val="0035170F"/>
    <w:rsid w:val="00352C83"/>
    <w:rsid w:val="00353159"/>
    <w:rsid w:val="003577C4"/>
    <w:rsid w:val="003615D2"/>
    <w:rsid w:val="0036320A"/>
    <w:rsid w:val="0036379D"/>
    <w:rsid w:val="00363AF8"/>
    <w:rsid w:val="0036429C"/>
    <w:rsid w:val="00364A53"/>
    <w:rsid w:val="003654CB"/>
    <w:rsid w:val="00365AA9"/>
    <w:rsid w:val="00365F86"/>
    <w:rsid w:val="00365F87"/>
    <w:rsid w:val="00366E89"/>
    <w:rsid w:val="003705F4"/>
    <w:rsid w:val="00370D1F"/>
    <w:rsid w:val="00370D58"/>
    <w:rsid w:val="00371316"/>
    <w:rsid w:val="00372CAE"/>
    <w:rsid w:val="00374155"/>
    <w:rsid w:val="00374E72"/>
    <w:rsid w:val="00375B7E"/>
    <w:rsid w:val="00376713"/>
    <w:rsid w:val="00381815"/>
    <w:rsid w:val="003819AF"/>
    <w:rsid w:val="003820E9"/>
    <w:rsid w:val="00382DE7"/>
    <w:rsid w:val="0038442F"/>
    <w:rsid w:val="00384FFC"/>
    <w:rsid w:val="003872FC"/>
    <w:rsid w:val="00387ADC"/>
    <w:rsid w:val="00390020"/>
    <w:rsid w:val="003903D6"/>
    <w:rsid w:val="00390EE6"/>
    <w:rsid w:val="0039118F"/>
    <w:rsid w:val="00391850"/>
    <w:rsid w:val="00392AD7"/>
    <w:rsid w:val="003938D9"/>
    <w:rsid w:val="00394376"/>
    <w:rsid w:val="003943FF"/>
    <w:rsid w:val="00395700"/>
    <w:rsid w:val="0039729F"/>
    <w:rsid w:val="003974EB"/>
    <w:rsid w:val="00397CC5"/>
    <w:rsid w:val="003A1582"/>
    <w:rsid w:val="003A19A9"/>
    <w:rsid w:val="003A31B5"/>
    <w:rsid w:val="003A386D"/>
    <w:rsid w:val="003A4077"/>
    <w:rsid w:val="003A5BD1"/>
    <w:rsid w:val="003A62AD"/>
    <w:rsid w:val="003A75D1"/>
    <w:rsid w:val="003B09AD"/>
    <w:rsid w:val="003B1F18"/>
    <w:rsid w:val="003B4688"/>
    <w:rsid w:val="003B5BF0"/>
    <w:rsid w:val="003B5D1A"/>
    <w:rsid w:val="003B60BF"/>
    <w:rsid w:val="003B6BE3"/>
    <w:rsid w:val="003C010C"/>
    <w:rsid w:val="003C0A6C"/>
    <w:rsid w:val="003C14F8"/>
    <w:rsid w:val="003C4998"/>
    <w:rsid w:val="003C4BA2"/>
    <w:rsid w:val="003C4F41"/>
    <w:rsid w:val="003C5A43"/>
    <w:rsid w:val="003C6D27"/>
    <w:rsid w:val="003D0519"/>
    <w:rsid w:val="003D0C04"/>
    <w:rsid w:val="003D0E3B"/>
    <w:rsid w:val="003D0FF6"/>
    <w:rsid w:val="003D14B1"/>
    <w:rsid w:val="003D1D54"/>
    <w:rsid w:val="003D262C"/>
    <w:rsid w:val="003D5D3F"/>
    <w:rsid w:val="003D6D61"/>
    <w:rsid w:val="003D7070"/>
    <w:rsid w:val="003E091D"/>
    <w:rsid w:val="003E1C53"/>
    <w:rsid w:val="003E2A69"/>
    <w:rsid w:val="003E2D49"/>
    <w:rsid w:val="003E2FD4"/>
    <w:rsid w:val="003E339B"/>
    <w:rsid w:val="003E49F6"/>
    <w:rsid w:val="003E660F"/>
    <w:rsid w:val="003F0841"/>
    <w:rsid w:val="003F0DD8"/>
    <w:rsid w:val="003F12A8"/>
    <w:rsid w:val="003F23D3"/>
    <w:rsid w:val="003F3F08"/>
    <w:rsid w:val="003F49F1"/>
    <w:rsid w:val="003F6272"/>
    <w:rsid w:val="003F67FE"/>
    <w:rsid w:val="00400E72"/>
    <w:rsid w:val="00401400"/>
    <w:rsid w:val="00401D9B"/>
    <w:rsid w:val="00401DB5"/>
    <w:rsid w:val="00402BD2"/>
    <w:rsid w:val="00403600"/>
    <w:rsid w:val="00403BD1"/>
    <w:rsid w:val="00404869"/>
    <w:rsid w:val="00404911"/>
    <w:rsid w:val="00405884"/>
    <w:rsid w:val="004060F1"/>
    <w:rsid w:val="0040697A"/>
    <w:rsid w:val="00407B7C"/>
    <w:rsid w:val="00407D39"/>
    <w:rsid w:val="0041279C"/>
    <w:rsid w:val="004129DC"/>
    <w:rsid w:val="0041345E"/>
    <w:rsid w:val="0041477A"/>
    <w:rsid w:val="00414787"/>
    <w:rsid w:val="004153B9"/>
    <w:rsid w:val="0041596F"/>
    <w:rsid w:val="00415C6A"/>
    <w:rsid w:val="004167A3"/>
    <w:rsid w:val="004210EF"/>
    <w:rsid w:val="00423AA8"/>
    <w:rsid w:val="004247BE"/>
    <w:rsid w:val="004253EA"/>
    <w:rsid w:val="00432516"/>
    <w:rsid w:val="004325F2"/>
    <w:rsid w:val="00432DAA"/>
    <w:rsid w:val="00434305"/>
    <w:rsid w:val="00435DF7"/>
    <w:rsid w:val="00436869"/>
    <w:rsid w:val="0044083F"/>
    <w:rsid w:val="00440AB5"/>
    <w:rsid w:val="00441AE7"/>
    <w:rsid w:val="0044534E"/>
    <w:rsid w:val="00445574"/>
    <w:rsid w:val="00445D0D"/>
    <w:rsid w:val="004467FB"/>
    <w:rsid w:val="004476FF"/>
    <w:rsid w:val="00447FCB"/>
    <w:rsid w:val="00450509"/>
    <w:rsid w:val="00452D6B"/>
    <w:rsid w:val="00454484"/>
    <w:rsid w:val="00454638"/>
    <w:rsid w:val="00454D2B"/>
    <w:rsid w:val="0045517B"/>
    <w:rsid w:val="004561F7"/>
    <w:rsid w:val="0045656D"/>
    <w:rsid w:val="0046234D"/>
    <w:rsid w:val="00462422"/>
    <w:rsid w:val="0046282D"/>
    <w:rsid w:val="00462A6C"/>
    <w:rsid w:val="00463B77"/>
    <w:rsid w:val="00463C7B"/>
    <w:rsid w:val="004644A6"/>
    <w:rsid w:val="004659BD"/>
    <w:rsid w:val="00465BE4"/>
    <w:rsid w:val="00470775"/>
    <w:rsid w:val="00473B63"/>
    <w:rsid w:val="00474243"/>
    <w:rsid w:val="004746B1"/>
    <w:rsid w:val="00475834"/>
    <w:rsid w:val="0047583F"/>
    <w:rsid w:val="00475DE8"/>
    <w:rsid w:val="00481C44"/>
    <w:rsid w:val="00483E69"/>
    <w:rsid w:val="004841B7"/>
    <w:rsid w:val="00484936"/>
    <w:rsid w:val="00485594"/>
    <w:rsid w:val="00485C89"/>
    <w:rsid w:val="00486BE3"/>
    <w:rsid w:val="0048727A"/>
    <w:rsid w:val="0048731B"/>
    <w:rsid w:val="004905E4"/>
    <w:rsid w:val="00490A89"/>
    <w:rsid w:val="00490AB4"/>
    <w:rsid w:val="00492F02"/>
    <w:rsid w:val="0049355F"/>
    <w:rsid w:val="004939AE"/>
    <w:rsid w:val="00493ADB"/>
    <w:rsid w:val="00494850"/>
    <w:rsid w:val="00496482"/>
    <w:rsid w:val="004A12DF"/>
    <w:rsid w:val="004A17E6"/>
    <w:rsid w:val="004A1BA8"/>
    <w:rsid w:val="004A3E25"/>
    <w:rsid w:val="004A4B57"/>
    <w:rsid w:val="004A63FA"/>
    <w:rsid w:val="004A6502"/>
    <w:rsid w:val="004A7C31"/>
    <w:rsid w:val="004B0112"/>
    <w:rsid w:val="004B0272"/>
    <w:rsid w:val="004B07DC"/>
    <w:rsid w:val="004B1949"/>
    <w:rsid w:val="004B2701"/>
    <w:rsid w:val="004B2E1B"/>
    <w:rsid w:val="004B3497"/>
    <w:rsid w:val="004B3AA8"/>
    <w:rsid w:val="004B3B8E"/>
    <w:rsid w:val="004B3E93"/>
    <w:rsid w:val="004C1FBC"/>
    <w:rsid w:val="004C3F1D"/>
    <w:rsid w:val="004C458D"/>
    <w:rsid w:val="004C5069"/>
    <w:rsid w:val="004C5299"/>
    <w:rsid w:val="004C55CC"/>
    <w:rsid w:val="004C7556"/>
    <w:rsid w:val="004C7984"/>
    <w:rsid w:val="004C7E8B"/>
    <w:rsid w:val="004C7E9D"/>
    <w:rsid w:val="004C7F67"/>
    <w:rsid w:val="004D017F"/>
    <w:rsid w:val="004D06A9"/>
    <w:rsid w:val="004D076D"/>
    <w:rsid w:val="004D0E69"/>
    <w:rsid w:val="004D0EF1"/>
    <w:rsid w:val="004D2253"/>
    <w:rsid w:val="004D3488"/>
    <w:rsid w:val="004D4406"/>
    <w:rsid w:val="004D7C42"/>
    <w:rsid w:val="004E0465"/>
    <w:rsid w:val="004E07AD"/>
    <w:rsid w:val="004E127B"/>
    <w:rsid w:val="004E1C0A"/>
    <w:rsid w:val="004E2B06"/>
    <w:rsid w:val="004E30C5"/>
    <w:rsid w:val="004E465C"/>
    <w:rsid w:val="004E4AA5"/>
    <w:rsid w:val="004E4AEE"/>
    <w:rsid w:val="004E59E3"/>
    <w:rsid w:val="004E67C0"/>
    <w:rsid w:val="004F00DB"/>
    <w:rsid w:val="004F011C"/>
    <w:rsid w:val="004F028E"/>
    <w:rsid w:val="004F391A"/>
    <w:rsid w:val="004F3CFB"/>
    <w:rsid w:val="004F445F"/>
    <w:rsid w:val="004F4939"/>
    <w:rsid w:val="004F5502"/>
    <w:rsid w:val="004F6456"/>
    <w:rsid w:val="004F696E"/>
    <w:rsid w:val="004F6C71"/>
    <w:rsid w:val="004F79DA"/>
    <w:rsid w:val="00500C2C"/>
    <w:rsid w:val="00501139"/>
    <w:rsid w:val="0050363E"/>
    <w:rsid w:val="005039BC"/>
    <w:rsid w:val="005043BB"/>
    <w:rsid w:val="00504A3D"/>
    <w:rsid w:val="00505767"/>
    <w:rsid w:val="00506A24"/>
    <w:rsid w:val="005073F0"/>
    <w:rsid w:val="00510A7B"/>
    <w:rsid w:val="005119B8"/>
    <w:rsid w:val="005119C1"/>
    <w:rsid w:val="0051283A"/>
    <w:rsid w:val="00512A42"/>
    <w:rsid w:val="00512F6E"/>
    <w:rsid w:val="00513038"/>
    <w:rsid w:val="005133FB"/>
    <w:rsid w:val="00514174"/>
    <w:rsid w:val="00516088"/>
    <w:rsid w:val="00516B0B"/>
    <w:rsid w:val="00521932"/>
    <w:rsid w:val="005220EC"/>
    <w:rsid w:val="00523F95"/>
    <w:rsid w:val="00524D65"/>
    <w:rsid w:val="00525B16"/>
    <w:rsid w:val="00526719"/>
    <w:rsid w:val="0052756A"/>
    <w:rsid w:val="005304EC"/>
    <w:rsid w:val="00530DEB"/>
    <w:rsid w:val="0053102F"/>
    <w:rsid w:val="00533A01"/>
    <w:rsid w:val="00533D04"/>
    <w:rsid w:val="00534804"/>
    <w:rsid w:val="005348F3"/>
    <w:rsid w:val="00534BDF"/>
    <w:rsid w:val="005354EA"/>
    <w:rsid w:val="0053585F"/>
    <w:rsid w:val="00535EC4"/>
    <w:rsid w:val="00535ED9"/>
    <w:rsid w:val="0053692B"/>
    <w:rsid w:val="0053722F"/>
    <w:rsid w:val="00541853"/>
    <w:rsid w:val="00542BB7"/>
    <w:rsid w:val="0054333D"/>
    <w:rsid w:val="00543BDA"/>
    <w:rsid w:val="00543D35"/>
    <w:rsid w:val="005441CC"/>
    <w:rsid w:val="00544CB6"/>
    <w:rsid w:val="005479DA"/>
    <w:rsid w:val="00547BCC"/>
    <w:rsid w:val="0055013B"/>
    <w:rsid w:val="00551602"/>
    <w:rsid w:val="00551F6F"/>
    <w:rsid w:val="00552F6F"/>
    <w:rsid w:val="00555044"/>
    <w:rsid w:val="0055686B"/>
    <w:rsid w:val="00556BC7"/>
    <w:rsid w:val="0055753A"/>
    <w:rsid w:val="005607A5"/>
    <w:rsid w:val="0056109F"/>
    <w:rsid w:val="00561475"/>
    <w:rsid w:val="005618AD"/>
    <w:rsid w:val="00562D95"/>
    <w:rsid w:val="00563E8F"/>
    <w:rsid w:val="00564041"/>
    <w:rsid w:val="0056487B"/>
    <w:rsid w:val="00564FB9"/>
    <w:rsid w:val="00565032"/>
    <w:rsid w:val="00565826"/>
    <w:rsid w:val="005721F2"/>
    <w:rsid w:val="00572A21"/>
    <w:rsid w:val="00573D9E"/>
    <w:rsid w:val="00574CDE"/>
    <w:rsid w:val="00576288"/>
    <w:rsid w:val="005801E3"/>
    <w:rsid w:val="00580632"/>
    <w:rsid w:val="00581802"/>
    <w:rsid w:val="005836A8"/>
    <w:rsid w:val="0058409C"/>
    <w:rsid w:val="00584262"/>
    <w:rsid w:val="00585265"/>
    <w:rsid w:val="00586630"/>
    <w:rsid w:val="00587ADD"/>
    <w:rsid w:val="00587E6D"/>
    <w:rsid w:val="00590C59"/>
    <w:rsid w:val="005919B5"/>
    <w:rsid w:val="005920CC"/>
    <w:rsid w:val="005927D1"/>
    <w:rsid w:val="005956F3"/>
    <w:rsid w:val="005960BA"/>
    <w:rsid w:val="00596160"/>
    <w:rsid w:val="005966E2"/>
    <w:rsid w:val="00597007"/>
    <w:rsid w:val="005A02A1"/>
    <w:rsid w:val="005A0966"/>
    <w:rsid w:val="005A11B7"/>
    <w:rsid w:val="005A14EE"/>
    <w:rsid w:val="005A260B"/>
    <w:rsid w:val="005A2A82"/>
    <w:rsid w:val="005A4A1B"/>
    <w:rsid w:val="005A7197"/>
    <w:rsid w:val="005A7830"/>
    <w:rsid w:val="005A7FCE"/>
    <w:rsid w:val="005B0F3F"/>
    <w:rsid w:val="005B2803"/>
    <w:rsid w:val="005B3E32"/>
    <w:rsid w:val="005B4903"/>
    <w:rsid w:val="005B51CE"/>
    <w:rsid w:val="005B5885"/>
    <w:rsid w:val="005B5CD7"/>
    <w:rsid w:val="005B6CF6"/>
    <w:rsid w:val="005B73FB"/>
    <w:rsid w:val="005B7422"/>
    <w:rsid w:val="005C26CD"/>
    <w:rsid w:val="005C29B8"/>
    <w:rsid w:val="005C3329"/>
    <w:rsid w:val="005C5F21"/>
    <w:rsid w:val="005C7156"/>
    <w:rsid w:val="005C7B0A"/>
    <w:rsid w:val="005D0C75"/>
    <w:rsid w:val="005D0D10"/>
    <w:rsid w:val="005D1BBC"/>
    <w:rsid w:val="005D1C46"/>
    <w:rsid w:val="005D4171"/>
    <w:rsid w:val="005D436B"/>
    <w:rsid w:val="005D6A95"/>
    <w:rsid w:val="005D6B2C"/>
    <w:rsid w:val="005D6D9C"/>
    <w:rsid w:val="005E0707"/>
    <w:rsid w:val="005E2335"/>
    <w:rsid w:val="005E34CA"/>
    <w:rsid w:val="005E3C18"/>
    <w:rsid w:val="005E6812"/>
    <w:rsid w:val="005E7881"/>
    <w:rsid w:val="005E78E0"/>
    <w:rsid w:val="005E7A54"/>
    <w:rsid w:val="005F0988"/>
    <w:rsid w:val="005F0D9C"/>
    <w:rsid w:val="005F112C"/>
    <w:rsid w:val="005F284E"/>
    <w:rsid w:val="005F3D4D"/>
    <w:rsid w:val="005F4712"/>
    <w:rsid w:val="005F4CFD"/>
    <w:rsid w:val="005F59A2"/>
    <w:rsid w:val="005F7BCF"/>
    <w:rsid w:val="00600BCD"/>
    <w:rsid w:val="006015CE"/>
    <w:rsid w:val="00601A6A"/>
    <w:rsid w:val="00601D42"/>
    <w:rsid w:val="00602F54"/>
    <w:rsid w:val="00604784"/>
    <w:rsid w:val="00606419"/>
    <w:rsid w:val="00607D29"/>
    <w:rsid w:val="00612952"/>
    <w:rsid w:val="00612E28"/>
    <w:rsid w:val="00613A98"/>
    <w:rsid w:val="00614CC1"/>
    <w:rsid w:val="00615A9D"/>
    <w:rsid w:val="0061732B"/>
    <w:rsid w:val="00617365"/>
    <w:rsid w:val="00617387"/>
    <w:rsid w:val="006205D6"/>
    <w:rsid w:val="006241E5"/>
    <w:rsid w:val="00624F03"/>
    <w:rsid w:val="00624FFD"/>
    <w:rsid w:val="006252D8"/>
    <w:rsid w:val="006259BC"/>
    <w:rsid w:val="00625E63"/>
    <w:rsid w:val="0062636B"/>
    <w:rsid w:val="0063109F"/>
    <w:rsid w:val="00632182"/>
    <w:rsid w:val="00632AE0"/>
    <w:rsid w:val="0063322D"/>
    <w:rsid w:val="00633A67"/>
    <w:rsid w:val="00633C17"/>
    <w:rsid w:val="00634222"/>
    <w:rsid w:val="00634D9E"/>
    <w:rsid w:val="006354A7"/>
    <w:rsid w:val="00636CD8"/>
    <w:rsid w:val="00636E3E"/>
    <w:rsid w:val="006379F7"/>
    <w:rsid w:val="00637E4D"/>
    <w:rsid w:val="00640620"/>
    <w:rsid w:val="00641A1F"/>
    <w:rsid w:val="00644B3D"/>
    <w:rsid w:val="00645904"/>
    <w:rsid w:val="00645C3C"/>
    <w:rsid w:val="00647334"/>
    <w:rsid w:val="00651ACB"/>
    <w:rsid w:val="00651C47"/>
    <w:rsid w:val="00652AB2"/>
    <w:rsid w:val="00653484"/>
    <w:rsid w:val="00653FED"/>
    <w:rsid w:val="00654EC0"/>
    <w:rsid w:val="0065525B"/>
    <w:rsid w:val="00655D4F"/>
    <w:rsid w:val="00656C80"/>
    <w:rsid w:val="00656CD0"/>
    <w:rsid w:val="00656D29"/>
    <w:rsid w:val="00661673"/>
    <w:rsid w:val="00661786"/>
    <w:rsid w:val="00663A1D"/>
    <w:rsid w:val="006640E5"/>
    <w:rsid w:val="006646F1"/>
    <w:rsid w:val="00664929"/>
    <w:rsid w:val="00664F62"/>
    <w:rsid w:val="006655E1"/>
    <w:rsid w:val="00666166"/>
    <w:rsid w:val="00671FB9"/>
    <w:rsid w:val="00672060"/>
    <w:rsid w:val="00672BFD"/>
    <w:rsid w:val="00672F28"/>
    <w:rsid w:val="00673965"/>
    <w:rsid w:val="00675027"/>
    <w:rsid w:val="00675A3B"/>
    <w:rsid w:val="006762E0"/>
    <w:rsid w:val="006770F4"/>
    <w:rsid w:val="00677A84"/>
    <w:rsid w:val="0068026D"/>
    <w:rsid w:val="00680A27"/>
    <w:rsid w:val="006816A4"/>
    <w:rsid w:val="006819B8"/>
    <w:rsid w:val="00683867"/>
    <w:rsid w:val="006840A6"/>
    <w:rsid w:val="006850CD"/>
    <w:rsid w:val="00685AAB"/>
    <w:rsid w:val="00686854"/>
    <w:rsid w:val="00686C1F"/>
    <w:rsid w:val="00692A9D"/>
    <w:rsid w:val="0069373A"/>
    <w:rsid w:val="006A07AA"/>
    <w:rsid w:val="006A1602"/>
    <w:rsid w:val="006A1DE2"/>
    <w:rsid w:val="006A25E5"/>
    <w:rsid w:val="006A2B46"/>
    <w:rsid w:val="006A336D"/>
    <w:rsid w:val="006A37B9"/>
    <w:rsid w:val="006A41B0"/>
    <w:rsid w:val="006A7EE9"/>
    <w:rsid w:val="006B1279"/>
    <w:rsid w:val="006B1FDA"/>
    <w:rsid w:val="006B23B9"/>
    <w:rsid w:val="006B2672"/>
    <w:rsid w:val="006B3819"/>
    <w:rsid w:val="006B54BF"/>
    <w:rsid w:val="006B5F44"/>
    <w:rsid w:val="006B5F90"/>
    <w:rsid w:val="006B62E4"/>
    <w:rsid w:val="006B6817"/>
    <w:rsid w:val="006B6BCC"/>
    <w:rsid w:val="006C1AF4"/>
    <w:rsid w:val="006C1BBA"/>
    <w:rsid w:val="006C1C1F"/>
    <w:rsid w:val="006C2079"/>
    <w:rsid w:val="006C597A"/>
    <w:rsid w:val="006C5A62"/>
    <w:rsid w:val="006C5D68"/>
    <w:rsid w:val="006C6976"/>
    <w:rsid w:val="006C6D03"/>
    <w:rsid w:val="006C6DD0"/>
    <w:rsid w:val="006D04EA"/>
    <w:rsid w:val="006D09AC"/>
    <w:rsid w:val="006D1210"/>
    <w:rsid w:val="006D16C4"/>
    <w:rsid w:val="006D2800"/>
    <w:rsid w:val="006D3E96"/>
    <w:rsid w:val="006D4515"/>
    <w:rsid w:val="006D4BB1"/>
    <w:rsid w:val="006D59F3"/>
    <w:rsid w:val="006D6281"/>
    <w:rsid w:val="006D6593"/>
    <w:rsid w:val="006D6FB8"/>
    <w:rsid w:val="006D7837"/>
    <w:rsid w:val="006E23EA"/>
    <w:rsid w:val="006E2616"/>
    <w:rsid w:val="006E4D50"/>
    <w:rsid w:val="006F03A8"/>
    <w:rsid w:val="006F06E7"/>
    <w:rsid w:val="006F1071"/>
    <w:rsid w:val="006F252C"/>
    <w:rsid w:val="006F2ACA"/>
    <w:rsid w:val="006F2ADC"/>
    <w:rsid w:val="006F2BFE"/>
    <w:rsid w:val="006F31E9"/>
    <w:rsid w:val="006F3371"/>
    <w:rsid w:val="006F5526"/>
    <w:rsid w:val="006F6284"/>
    <w:rsid w:val="006F70AA"/>
    <w:rsid w:val="006F71FF"/>
    <w:rsid w:val="007002C5"/>
    <w:rsid w:val="00701D87"/>
    <w:rsid w:val="00704387"/>
    <w:rsid w:val="007051A4"/>
    <w:rsid w:val="007066E4"/>
    <w:rsid w:val="00707669"/>
    <w:rsid w:val="0071062E"/>
    <w:rsid w:val="00711983"/>
    <w:rsid w:val="00711CA6"/>
    <w:rsid w:val="00711CBA"/>
    <w:rsid w:val="00711FB5"/>
    <w:rsid w:val="007121B9"/>
    <w:rsid w:val="0071289E"/>
    <w:rsid w:val="00712A01"/>
    <w:rsid w:val="00714F58"/>
    <w:rsid w:val="0071678F"/>
    <w:rsid w:val="0071767D"/>
    <w:rsid w:val="007211C2"/>
    <w:rsid w:val="00722FBF"/>
    <w:rsid w:val="00722FC2"/>
    <w:rsid w:val="007243AA"/>
    <w:rsid w:val="00724734"/>
    <w:rsid w:val="00724879"/>
    <w:rsid w:val="00724E1B"/>
    <w:rsid w:val="00725949"/>
    <w:rsid w:val="00727FA2"/>
    <w:rsid w:val="00730435"/>
    <w:rsid w:val="007322D9"/>
    <w:rsid w:val="00732BC0"/>
    <w:rsid w:val="0073377C"/>
    <w:rsid w:val="00734E89"/>
    <w:rsid w:val="0073720F"/>
    <w:rsid w:val="00737796"/>
    <w:rsid w:val="0074094C"/>
    <w:rsid w:val="007411F2"/>
    <w:rsid w:val="0074165C"/>
    <w:rsid w:val="0074240C"/>
    <w:rsid w:val="00742C35"/>
    <w:rsid w:val="007432CA"/>
    <w:rsid w:val="007439EB"/>
    <w:rsid w:val="00743CB4"/>
    <w:rsid w:val="00743F0A"/>
    <w:rsid w:val="007444E8"/>
    <w:rsid w:val="00744FC6"/>
    <w:rsid w:val="0074548E"/>
    <w:rsid w:val="00745773"/>
    <w:rsid w:val="00745A54"/>
    <w:rsid w:val="00745D36"/>
    <w:rsid w:val="007465D5"/>
    <w:rsid w:val="00746800"/>
    <w:rsid w:val="007501A8"/>
    <w:rsid w:val="00750D61"/>
    <w:rsid w:val="00750EE1"/>
    <w:rsid w:val="00751ADF"/>
    <w:rsid w:val="00752B4D"/>
    <w:rsid w:val="00753980"/>
    <w:rsid w:val="00755402"/>
    <w:rsid w:val="00756B26"/>
    <w:rsid w:val="00756EDF"/>
    <w:rsid w:val="00757228"/>
    <w:rsid w:val="007600E3"/>
    <w:rsid w:val="0076104E"/>
    <w:rsid w:val="00762FEC"/>
    <w:rsid w:val="00764A20"/>
    <w:rsid w:val="00765C43"/>
    <w:rsid w:val="00765E1E"/>
    <w:rsid w:val="00765EFB"/>
    <w:rsid w:val="007668DF"/>
    <w:rsid w:val="00766A25"/>
    <w:rsid w:val="00766DE2"/>
    <w:rsid w:val="007671CA"/>
    <w:rsid w:val="00767C61"/>
    <w:rsid w:val="0077008A"/>
    <w:rsid w:val="0077222C"/>
    <w:rsid w:val="00773213"/>
    <w:rsid w:val="00773C1F"/>
    <w:rsid w:val="00774B09"/>
    <w:rsid w:val="00774DA4"/>
    <w:rsid w:val="00775322"/>
    <w:rsid w:val="007756DC"/>
    <w:rsid w:val="00776599"/>
    <w:rsid w:val="007768C0"/>
    <w:rsid w:val="007803D5"/>
    <w:rsid w:val="00780E51"/>
    <w:rsid w:val="0078114B"/>
    <w:rsid w:val="007812FF"/>
    <w:rsid w:val="00781DD2"/>
    <w:rsid w:val="00783ECF"/>
    <w:rsid w:val="00783F94"/>
    <w:rsid w:val="0078413A"/>
    <w:rsid w:val="00790724"/>
    <w:rsid w:val="00792955"/>
    <w:rsid w:val="007930AA"/>
    <w:rsid w:val="0079411A"/>
    <w:rsid w:val="007959E8"/>
    <w:rsid w:val="00795E9C"/>
    <w:rsid w:val="007966D5"/>
    <w:rsid w:val="007A0521"/>
    <w:rsid w:val="007A05AD"/>
    <w:rsid w:val="007A2E12"/>
    <w:rsid w:val="007A2ED4"/>
    <w:rsid w:val="007A3040"/>
    <w:rsid w:val="007A3475"/>
    <w:rsid w:val="007A41C8"/>
    <w:rsid w:val="007A52A1"/>
    <w:rsid w:val="007A54CE"/>
    <w:rsid w:val="007A6897"/>
    <w:rsid w:val="007A6FD9"/>
    <w:rsid w:val="007A7FFA"/>
    <w:rsid w:val="007B00AA"/>
    <w:rsid w:val="007B04EB"/>
    <w:rsid w:val="007B092B"/>
    <w:rsid w:val="007B0D4F"/>
    <w:rsid w:val="007B31BE"/>
    <w:rsid w:val="007B4D5F"/>
    <w:rsid w:val="007B5A3D"/>
    <w:rsid w:val="007B5B95"/>
    <w:rsid w:val="007B6630"/>
    <w:rsid w:val="007B68EA"/>
    <w:rsid w:val="007B7453"/>
    <w:rsid w:val="007C1E8B"/>
    <w:rsid w:val="007C2D89"/>
    <w:rsid w:val="007C34E2"/>
    <w:rsid w:val="007C360C"/>
    <w:rsid w:val="007C4593"/>
    <w:rsid w:val="007C5309"/>
    <w:rsid w:val="007C5A68"/>
    <w:rsid w:val="007C6069"/>
    <w:rsid w:val="007D06C4"/>
    <w:rsid w:val="007D0B10"/>
    <w:rsid w:val="007D1257"/>
    <w:rsid w:val="007D1352"/>
    <w:rsid w:val="007D1F82"/>
    <w:rsid w:val="007D2109"/>
    <w:rsid w:val="007D2508"/>
    <w:rsid w:val="007D3227"/>
    <w:rsid w:val="007D346A"/>
    <w:rsid w:val="007D6518"/>
    <w:rsid w:val="007D76BD"/>
    <w:rsid w:val="007E0461"/>
    <w:rsid w:val="007E0BF1"/>
    <w:rsid w:val="007E1A7A"/>
    <w:rsid w:val="007E3CB4"/>
    <w:rsid w:val="007E6619"/>
    <w:rsid w:val="007F0473"/>
    <w:rsid w:val="007F0ED8"/>
    <w:rsid w:val="007F0F63"/>
    <w:rsid w:val="007F6682"/>
    <w:rsid w:val="007F75CE"/>
    <w:rsid w:val="007F7F3C"/>
    <w:rsid w:val="008013A4"/>
    <w:rsid w:val="00802796"/>
    <w:rsid w:val="008027CE"/>
    <w:rsid w:val="00802F42"/>
    <w:rsid w:val="0080372F"/>
    <w:rsid w:val="0080387D"/>
    <w:rsid w:val="00804383"/>
    <w:rsid w:val="00804BB7"/>
    <w:rsid w:val="00804D41"/>
    <w:rsid w:val="00805385"/>
    <w:rsid w:val="00807418"/>
    <w:rsid w:val="00810257"/>
    <w:rsid w:val="008104F5"/>
    <w:rsid w:val="00811072"/>
    <w:rsid w:val="0081129E"/>
    <w:rsid w:val="00811369"/>
    <w:rsid w:val="00813F6D"/>
    <w:rsid w:val="00814ED2"/>
    <w:rsid w:val="00815419"/>
    <w:rsid w:val="008163C8"/>
    <w:rsid w:val="008164A1"/>
    <w:rsid w:val="008164B2"/>
    <w:rsid w:val="00817325"/>
    <w:rsid w:val="008209E6"/>
    <w:rsid w:val="00822181"/>
    <w:rsid w:val="00823303"/>
    <w:rsid w:val="008233B2"/>
    <w:rsid w:val="00823A9F"/>
    <w:rsid w:val="00823C85"/>
    <w:rsid w:val="00825138"/>
    <w:rsid w:val="008264B9"/>
    <w:rsid w:val="008269DD"/>
    <w:rsid w:val="00830621"/>
    <w:rsid w:val="00831294"/>
    <w:rsid w:val="00831FF4"/>
    <w:rsid w:val="008321CF"/>
    <w:rsid w:val="0083348C"/>
    <w:rsid w:val="00833A40"/>
    <w:rsid w:val="00835FED"/>
    <w:rsid w:val="00836B88"/>
    <w:rsid w:val="008373D3"/>
    <w:rsid w:val="00840617"/>
    <w:rsid w:val="00840F84"/>
    <w:rsid w:val="0084231C"/>
    <w:rsid w:val="00842A47"/>
    <w:rsid w:val="00843C13"/>
    <w:rsid w:val="008454F8"/>
    <w:rsid w:val="00846CCE"/>
    <w:rsid w:val="0085173A"/>
    <w:rsid w:val="00852275"/>
    <w:rsid w:val="00852FB2"/>
    <w:rsid w:val="0085603C"/>
    <w:rsid w:val="00856316"/>
    <w:rsid w:val="00856E5A"/>
    <w:rsid w:val="008603CE"/>
    <w:rsid w:val="008620FC"/>
    <w:rsid w:val="008626D8"/>
    <w:rsid w:val="008627A5"/>
    <w:rsid w:val="00863E05"/>
    <w:rsid w:val="008644D1"/>
    <w:rsid w:val="008657F1"/>
    <w:rsid w:val="00865ACA"/>
    <w:rsid w:val="00865D28"/>
    <w:rsid w:val="00865F85"/>
    <w:rsid w:val="00866088"/>
    <w:rsid w:val="00867C10"/>
    <w:rsid w:val="00870439"/>
    <w:rsid w:val="00870DA1"/>
    <w:rsid w:val="00871F41"/>
    <w:rsid w:val="00875E29"/>
    <w:rsid w:val="008775A8"/>
    <w:rsid w:val="00880558"/>
    <w:rsid w:val="008808DA"/>
    <w:rsid w:val="008836B5"/>
    <w:rsid w:val="00883F93"/>
    <w:rsid w:val="00884DB3"/>
    <w:rsid w:val="00885763"/>
    <w:rsid w:val="00885A9D"/>
    <w:rsid w:val="008864F6"/>
    <w:rsid w:val="00887751"/>
    <w:rsid w:val="0089049D"/>
    <w:rsid w:val="00890EAE"/>
    <w:rsid w:val="008923F0"/>
    <w:rsid w:val="008928C9"/>
    <w:rsid w:val="008930CB"/>
    <w:rsid w:val="008938DC"/>
    <w:rsid w:val="00893FD1"/>
    <w:rsid w:val="00894836"/>
    <w:rsid w:val="00895172"/>
    <w:rsid w:val="00895680"/>
    <w:rsid w:val="00895814"/>
    <w:rsid w:val="00896D16"/>
    <w:rsid w:val="00896DFF"/>
    <w:rsid w:val="0089762C"/>
    <w:rsid w:val="00897CF0"/>
    <w:rsid w:val="00897D1F"/>
    <w:rsid w:val="008A045F"/>
    <w:rsid w:val="008A1893"/>
    <w:rsid w:val="008A3215"/>
    <w:rsid w:val="008A57E6"/>
    <w:rsid w:val="008A6C1D"/>
    <w:rsid w:val="008A6F81"/>
    <w:rsid w:val="008A769A"/>
    <w:rsid w:val="008B0C9C"/>
    <w:rsid w:val="008B103B"/>
    <w:rsid w:val="008B166D"/>
    <w:rsid w:val="008B17F4"/>
    <w:rsid w:val="008B3615"/>
    <w:rsid w:val="008B47D7"/>
    <w:rsid w:val="008B486D"/>
    <w:rsid w:val="008B48E2"/>
    <w:rsid w:val="008B4AC4"/>
    <w:rsid w:val="008B50C8"/>
    <w:rsid w:val="008B5281"/>
    <w:rsid w:val="008B5DEA"/>
    <w:rsid w:val="008B69E0"/>
    <w:rsid w:val="008B7E05"/>
    <w:rsid w:val="008C1797"/>
    <w:rsid w:val="008C219C"/>
    <w:rsid w:val="008C2B1D"/>
    <w:rsid w:val="008C31F7"/>
    <w:rsid w:val="008C475E"/>
    <w:rsid w:val="008C5415"/>
    <w:rsid w:val="008C56B3"/>
    <w:rsid w:val="008C5B81"/>
    <w:rsid w:val="008C619A"/>
    <w:rsid w:val="008C6F1E"/>
    <w:rsid w:val="008D0CE8"/>
    <w:rsid w:val="008D2D1D"/>
    <w:rsid w:val="008D31F1"/>
    <w:rsid w:val="008D3373"/>
    <w:rsid w:val="008D453D"/>
    <w:rsid w:val="008D53AD"/>
    <w:rsid w:val="008D562B"/>
    <w:rsid w:val="008D5733"/>
    <w:rsid w:val="008D5C0F"/>
    <w:rsid w:val="008D622B"/>
    <w:rsid w:val="008D638D"/>
    <w:rsid w:val="008D666C"/>
    <w:rsid w:val="008D6851"/>
    <w:rsid w:val="008D7B54"/>
    <w:rsid w:val="008D7CF5"/>
    <w:rsid w:val="008E0856"/>
    <w:rsid w:val="008E0C9D"/>
    <w:rsid w:val="008E1648"/>
    <w:rsid w:val="008E1B3E"/>
    <w:rsid w:val="008E2319"/>
    <w:rsid w:val="008E3E91"/>
    <w:rsid w:val="008E4BB6"/>
    <w:rsid w:val="008E5518"/>
    <w:rsid w:val="008E6A84"/>
    <w:rsid w:val="008E6B10"/>
    <w:rsid w:val="008F0CDC"/>
    <w:rsid w:val="008F17A3"/>
    <w:rsid w:val="008F1ED3"/>
    <w:rsid w:val="008F23A5"/>
    <w:rsid w:val="008F4C29"/>
    <w:rsid w:val="008F70BD"/>
    <w:rsid w:val="008F788F"/>
    <w:rsid w:val="008F7EA2"/>
    <w:rsid w:val="00900E9C"/>
    <w:rsid w:val="00902722"/>
    <w:rsid w:val="009027BC"/>
    <w:rsid w:val="009034EF"/>
    <w:rsid w:val="00905327"/>
    <w:rsid w:val="00906107"/>
    <w:rsid w:val="00906220"/>
    <w:rsid w:val="009062E6"/>
    <w:rsid w:val="0090674D"/>
    <w:rsid w:val="00911BE5"/>
    <w:rsid w:val="00913480"/>
    <w:rsid w:val="00913792"/>
    <w:rsid w:val="00913CA9"/>
    <w:rsid w:val="009145AE"/>
    <w:rsid w:val="009146CE"/>
    <w:rsid w:val="00914CA7"/>
    <w:rsid w:val="00915525"/>
    <w:rsid w:val="009157FE"/>
    <w:rsid w:val="00915C3E"/>
    <w:rsid w:val="009161A8"/>
    <w:rsid w:val="00917FEB"/>
    <w:rsid w:val="009217B2"/>
    <w:rsid w:val="00921F2F"/>
    <w:rsid w:val="009245F5"/>
    <w:rsid w:val="009249EC"/>
    <w:rsid w:val="009273B3"/>
    <w:rsid w:val="009305B5"/>
    <w:rsid w:val="00934015"/>
    <w:rsid w:val="00936A5E"/>
    <w:rsid w:val="00937AD8"/>
    <w:rsid w:val="009412AE"/>
    <w:rsid w:val="00941672"/>
    <w:rsid w:val="0094275F"/>
    <w:rsid w:val="009429D5"/>
    <w:rsid w:val="00942A1D"/>
    <w:rsid w:val="00942BF1"/>
    <w:rsid w:val="0094481C"/>
    <w:rsid w:val="00945180"/>
    <w:rsid w:val="00945428"/>
    <w:rsid w:val="0094607B"/>
    <w:rsid w:val="009466AA"/>
    <w:rsid w:val="00947362"/>
    <w:rsid w:val="00947950"/>
    <w:rsid w:val="00951358"/>
    <w:rsid w:val="009517A1"/>
    <w:rsid w:val="00953604"/>
    <w:rsid w:val="0095466B"/>
    <w:rsid w:val="0095496B"/>
    <w:rsid w:val="00955531"/>
    <w:rsid w:val="00955863"/>
    <w:rsid w:val="0095606E"/>
    <w:rsid w:val="009610DC"/>
    <w:rsid w:val="00961490"/>
    <w:rsid w:val="0096370C"/>
    <w:rsid w:val="0096381A"/>
    <w:rsid w:val="00965E04"/>
    <w:rsid w:val="009674AD"/>
    <w:rsid w:val="00970CDC"/>
    <w:rsid w:val="0097174E"/>
    <w:rsid w:val="00972A77"/>
    <w:rsid w:val="00977010"/>
    <w:rsid w:val="00977D02"/>
    <w:rsid w:val="009809BB"/>
    <w:rsid w:val="0098364B"/>
    <w:rsid w:val="00985EA9"/>
    <w:rsid w:val="009911AF"/>
    <w:rsid w:val="00991875"/>
    <w:rsid w:val="00991F92"/>
    <w:rsid w:val="00992985"/>
    <w:rsid w:val="0099311B"/>
    <w:rsid w:val="00993889"/>
    <w:rsid w:val="0099551B"/>
    <w:rsid w:val="00996CE8"/>
    <w:rsid w:val="00997BF1"/>
    <w:rsid w:val="009A089C"/>
    <w:rsid w:val="009A0C81"/>
    <w:rsid w:val="009A118E"/>
    <w:rsid w:val="009A21CD"/>
    <w:rsid w:val="009A278C"/>
    <w:rsid w:val="009A2BC2"/>
    <w:rsid w:val="009A41FC"/>
    <w:rsid w:val="009A42C1"/>
    <w:rsid w:val="009A5429"/>
    <w:rsid w:val="009A72AD"/>
    <w:rsid w:val="009B09E0"/>
    <w:rsid w:val="009B0BC5"/>
    <w:rsid w:val="009B1247"/>
    <w:rsid w:val="009B2B6F"/>
    <w:rsid w:val="009B3C92"/>
    <w:rsid w:val="009B6029"/>
    <w:rsid w:val="009B6971"/>
    <w:rsid w:val="009B780D"/>
    <w:rsid w:val="009C1DAF"/>
    <w:rsid w:val="009C27F1"/>
    <w:rsid w:val="009C311D"/>
    <w:rsid w:val="009C3152"/>
    <w:rsid w:val="009C4CFA"/>
    <w:rsid w:val="009C5070"/>
    <w:rsid w:val="009D112C"/>
    <w:rsid w:val="009D1E48"/>
    <w:rsid w:val="009D26ED"/>
    <w:rsid w:val="009D30E5"/>
    <w:rsid w:val="009D39F0"/>
    <w:rsid w:val="009D3A7C"/>
    <w:rsid w:val="009D419D"/>
    <w:rsid w:val="009D47FA"/>
    <w:rsid w:val="009D4C5B"/>
    <w:rsid w:val="009D50D2"/>
    <w:rsid w:val="009D670E"/>
    <w:rsid w:val="009D6BCA"/>
    <w:rsid w:val="009D6D33"/>
    <w:rsid w:val="009E05D5"/>
    <w:rsid w:val="009E0F62"/>
    <w:rsid w:val="009E3974"/>
    <w:rsid w:val="009E3A77"/>
    <w:rsid w:val="009E4A58"/>
    <w:rsid w:val="009E5A2D"/>
    <w:rsid w:val="009E5AB2"/>
    <w:rsid w:val="009E6219"/>
    <w:rsid w:val="009E639D"/>
    <w:rsid w:val="009E7573"/>
    <w:rsid w:val="009E7753"/>
    <w:rsid w:val="009F03B3"/>
    <w:rsid w:val="009F49B7"/>
    <w:rsid w:val="009F5E4A"/>
    <w:rsid w:val="00A0096C"/>
    <w:rsid w:val="00A00E19"/>
    <w:rsid w:val="00A01757"/>
    <w:rsid w:val="00A028C0"/>
    <w:rsid w:val="00A02BAE"/>
    <w:rsid w:val="00A03BC1"/>
    <w:rsid w:val="00A03DA0"/>
    <w:rsid w:val="00A055D2"/>
    <w:rsid w:val="00A057D6"/>
    <w:rsid w:val="00A06091"/>
    <w:rsid w:val="00A06A6B"/>
    <w:rsid w:val="00A07B45"/>
    <w:rsid w:val="00A07E47"/>
    <w:rsid w:val="00A10B73"/>
    <w:rsid w:val="00A129D0"/>
    <w:rsid w:val="00A12C33"/>
    <w:rsid w:val="00A134E5"/>
    <w:rsid w:val="00A138BA"/>
    <w:rsid w:val="00A14C8E"/>
    <w:rsid w:val="00A153D9"/>
    <w:rsid w:val="00A15F09"/>
    <w:rsid w:val="00A169B6"/>
    <w:rsid w:val="00A201CD"/>
    <w:rsid w:val="00A225C0"/>
    <w:rsid w:val="00A2271D"/>
    <w:rsid w:val="00A22F17"/>
    <w:rsid w:val="00A232E9"/>
    <w:rsid w:val="00A237D5"/>
    <w:rsid w:val="00A24684"/>
    <w:rsid w:val="00A24FE9"/>
    <w:rsid w:val="00A264D5"/>
    <w:rsid w:val="00A30EFC"/>
    <w:rsid w:val="00A31412"/>
    <w:rsid w:val="00A31984"/>
    <w:rsid w:val="00A31F12"/>
    <w:rsid w:val="00A32D73"/>
    <w:rsid w:val="00A3367B"/>
    <w:rsid w:val="00A3597D"/>
    <w:rsid w:val="00A36DD1"/>
    <w:rsid w:val="00A36DF7"/>
    <w:rsid w:val="00A4006C"/>
    <w:rsid w:val="00A40091"/>
    <w:rsid w:val="00A4030F"/>
    <w:rsid w:val="00A41239"/>
    <w:rsid w:val="00A41C79"/>
    <w:rsid w:val="00A41CB5"/>
    <w:rsid w:val="00A42CDF"/>
    <w:rsid w:val="00A4452E"/>
    <w:rsid w:val="00A4472C"/>
    <w:rsid w:val="00A44E69"/>
    <w:rsid w:val="00A4661E"/>
    <w:rsid w:val="00A527A3"/>
    <w:rsid w:val="00A55BD6"/>
    <w:rsid w:val="00A55D50"/>
    <w:rsid w:val="00A57142"/>
    <w:rsid w:val="00A60384"/>
    <w:rsid w:val="00A6327F"/>
    <w:rsid w:val="00A638E7"/>
    <w:rsid w:val="00A648CD"/>
    <w:rsid w:val="00A6537A"/>
    <w:rsid w:val="00A6741A"/>
    <w:rsid w:val="00A674AF"/>
    <w:rsid w:val="00A67866"/>
    <w:rsid w:val="00A67EB7"/>
    <w:rsid w:val="00A703F3"/>
    <w:rsid w:val="00A70602"/>
    <w:rsid w:val="00A70B07"/>
    <w:rsid w:val="00A71BDF"/>
    <w:rsid w:val="00A723F8"/>
    <w:rsid w:val="00A72D8C"/>
    <w:rsid w:val="00A74FD0"/>
    <w:rsid w:val="00A76AA8"/>
    <w:rsid w:val="00A77CCB"/>
    <w:rsid w:val="00A77CF5"/>
    <w:rsid w:val="00A77F9E"/>
    <w:rsid w:val="00A808AC"/>
    <w:rsid w:val="00A81C34"/>
    <w:rsid w:val="00A83D8D"/>
    <w:rsid w:val="00A83F35"/>
    <w:rsid w:val="00A8446B"/>
    <w:rsid w:val="00A846BB"/>
    <w:rsid w:val="00A8473F"/>
    <w:rsid w:val="00A84C7E"/>
    <w:rsid w:val="00A85E8A"/>
    <w:rsid w:val="00A862D6"/>
    <w:rsid w:val="00A8715E"/>
    <w:rsid w:val="00A9295B"/>
    <w:rsid w:val="00A93B09"/>
    <w:rsid w:val="00A94247"/>
    <w:rsid w:val="00A9483E"/>
    <w:rsid w:val="00A951D7"/>
    <w:rsid w:val="00A952D7"/>
    <w:rsid w:val="00A963F7"/>
    <w:rsid w:val="00A96AD8"/>
    <w:rsid w:val="00A96FE0"/>
    <w:rsid w:val="00AA052C"/>
    <w:rsid w:val="00AA1E45"/>
    <w:rsid w:val="00AA25D7"/>
    <w:rsid w:val="00AA4286"/>
    <w:rsid w:val="00AA456B"/>
    <w:rsid w:val="00AA57F5"/>
    <w:rsid w:val="00AA672E"/>
    <w:rsid w:val="00AA6EC9"/>
    <w:rsid w:val="00AB09CF"/>
    <w:rsid w:val="00AB310B"/>
    <w:rsid w:val="00AB41D5"/>
    <w:rsid w:val="00AB4221"/>
    <w:rsid w:val="00AB6309"/>
    <w:rsid w:val="00AB6C5F"/>
    <w:rsid w:val="00AB7129"/>
    <w:rsid w:val="00AC1746"/>
    <w:rsid w:val="00AC1A8B"/>
    <w:rsid w:val="00AC27A6"/>
    <w:rsid w:val="00AC30F7"/>
    <w:rsid w:val="00AC3718"/>
    <w:rsid w:val="00AC3A5A"/>
    <w:rsid w:val="00AC4D95"/>
    <w:rsid w:val="00AC51EB"/>
    <w:rsid w:val="00AC5C6B"/>
    <w:rsid w:val="00AC5DF4"/>
    <w:rsid w:val="00AD0AEF"/>
    <w:rsid w:val="00AD0C6F"/>
    <w:rsid w:val="00AD0E27"/>
    <w:rsid w:val="00AD0E2D"/>
    <w:rsid w:val="00AD11B7"/>
    <w:rsid w:val="00AD1A94"/>
    <w:rsid w:val="00AD1C05"/>
    <w:rsid w:val="00AD2737"/>
    <w:rsid w:val="00AD3CB5"/>
    <w:rsid w:val="00AD4126"/>
    <w:rsid w:val="00AD421C"/>
    <w:rsid w:val="00AD44FA"/>
    <w:rsid w:val="00AD6522"/>
    <w:rsid w:val="00AD7125"/>
    <w:rsid w:val="00AE00AD"/>
    <w:rsid w:val="00AE070A"/>
    <w:rsid w:val="00AE101C"/>
    <w:rsid w:val="00AE103A"/>
    <w:rsid w:val="00AE1E5E"/>
    <w:rsid w:val="00AE29B3"/>
    <w:rsid w:val="00AE2AC5"/>
    <w:rsid w:val="00AE37E5"/>
    <w:rsid w:val="00AE4A9B"/>
    <w:rsid w:val="00AE5179"/>
    <w:rsid w:val="00AE5E84"/>
    <w:rsid w:val="00AE5EB4"/>
    <w:rsid w:val="00AE6C26"/>
    <w:rsid w:val="00AF0C18"/>
    <w:rsid w:val="00AF0C76"/>
    <w:rsid w:val="00AF161D"/>
    <w:rsid w:val="00AF2609"/>
    <w:rsid w:val="00AF2745"/>
    <w:rsid w:val="00AF47C5"/>
    <w:rsid w:val="00AF4F36"/>
    <w:rsid w:val="00AF5398"/>
    <w:rsid w:val="00B01150"/>
    <w:rsid w:val="00B02355"/>
    <w:rsid w:val="00B02F7E"/>
    <w:rsid w:val="00B03EBB"/>
    <w:rsid w:val="00B049AF"/>
    <w:rsid w:val="00B04D06"/>
    <w:rsid w:val="00B05ACA"/>
    <w:rsid w:val="00B07242"/>
    <w:rsid w:val="00B10534"/>
    <w:rsid w:val="00B113DB"/>
    <w:rsid w:val="00B11D8A"/>
    <w:rsid w:val="00B12981"/>
    <w:rsid w:val="00B14208"/>
    <w:rsid w:val="00B147DD"/>
    <w:rsid w:val="00B14E7E"/>
    <w:rsid w:val="00B156FD"/>
    <w:rsid w:val="00B16A20"/>
    <w:rsid w:val="00B1784F"/>
    <w:rsid w:val="00B17DE9"/>
    <w:rsid w:val="00B21B82"/>
    <w:rsid w:val="00B21F61"/>
    <w:rsid w:val="00B23CA6"/>
    <w:rsid w:val="00B24F98"/>
    <w:rsid w:val="00B261F1"/>
    <w:rsid w:val="00B265BC"/>
    <w:rsid w:val="00B26D9B"/>
    <w:rsid w:val="00B276B0"/>
    <w:rsid w:val="00B309D7"/>
    <w:rsid w:val="00B31FB1"/>
    <w:rsid w:val="00B33952"/>
    <w:rsid w:val="00B33C5E"/>
    <w:rsid w:val="00B33F79"/>
    <w:rsid w:val="00B342F4"/>
    <w:rsid w:val="00B34369"/>
    <w:rsid w:val="00B34DC2"/>
    <w:rsid w:val="00B36ED9"/>
    <w:rsid w:val="00B378E5"/>
    <w:rsid w:val="00B424EC"/>
    <w:rsid w:val="00B431E2"/>
    <w:rsid w:val="00B4346D"/>
    <w:rsid w:val="00B440F4"/>
    <w:rsid w:val="00B447A5"/>
    <w:rsid w:val="00B4528E"/>
    <w:rsid w:val="00B462B2"/>
    <w:rsid w:val="00B4654C"/>
    <w:rsid w:val="00B46D26"/>
    <w:rsid w:val="00B47293"/>
    <w:rsid w:val="00B5030C"/>
    <w:rsid w:val="00B50E50"/>
    <w:rsid w:val="00B51529"/>
    <w:rsid w:val="00B52120"/>
    <w:rsid w:val="00B53E71"/>
    <w:rsid w:val="00B54ABC"/>
    <w:rsid w:val="00B54CD0"/>
    <w:rsid w:val="00B54DDE"/>
    <w:rsid w:val="00B55546"/>
    <w:rsid w:val="00B56FBE"/>
    <w:rsid w:val="00B600F4"/>
    <w:rsid w:val="00B609A1"/>
    <w:rsid w:val="00B60ACF"/>
    <w:rsid w:val="00B623A6"/>
    <w:rsid w:val="00B62B58"/>
    <w:rsid w:val="00B62F31"/>
    <w:rsid w:val="00B637A1"/>
    <w:rsid w:val="00B637D0"/>
    <w:rsid w:val="00B65149"/>
    <w:rsid w:val="00B65904"/>
    <w:rsid w:val="00B66567"/>
    <w:rsid w:val="00B66F52"/>
    <w:rsid w:val="00B66FE5"/>
    <w:rsid w:val="00B671A8"/>
    <w:rsid w:val="00B67CBE"/>
    <w:rsid w:val="00B71D3D"/>
    <w:rsid w:val="00B723A1"/>
    <w:rsid w:val="00B72880"/>
    <w:rsid w:val="00B733E1"/>
    <w:rsid w:val="00B7455B"/>
    <w:rsid w:val="00B75755"/>
    <w:rsid w:val="00B758BF"/>
    <w:rsid w:val="00B761D6"/>
    <w:rsid w:val="00B777E8"/>
    <w:rsid w:val="00B77EC8"/>
    <w:rsid w:val="00B82338"/>
    <w:rsid w:val="00B827A6"/>
    <w:rsid w:val="00B831CE"/>
    <w:rsid w:val="00B83E5A"/>
    <w:rsid w:val="00B8481D"/>
    <w:rsid w:val="00B86677"/>
    <w:rsid w:val="00B869B4"/>
    <w:rsid w:val="00B87131"/>
    <w:rsid w:val="00B8777F"/>
    <w:rsid w:val="00B939B1"/>
    <w:rsid w:val="00B96289"/>
    <w:rsid w:val="00B96D40"/>
    <w:rsid w:val="00B97327"/>
    <w:rsid w:val="00B97386"/>
    <w:rsid w:val="00BA02BC"/>
    <w:rsid w:val="00BA263B"/>
    <w:rsid w:val="00BA42B2"/>
    <w:rsid w:val="00BA58D4"/>
    <w:rsid w:val="00BA5B9E"/>
    <w:rsid w:val="00BA7C3D"/>
    <w:rsid w:val="00BA7C9A"/>
    <w:rsid w:val="00BB2ED7"/>
    <w:rsid w:val="00BB3E7D"/>
    <w:rsid w:val="00BB5F8F"/>
    <w:rsid w:val="00BB60D1"/>
    <w:rsid w:val="00BB657A"/>
    <w:rsid w:val="00BB73F5"/>
    <w:rsid w:val="00BC1A4E"/>
    <w:rsid w:val="00BC232E"/>
    <w:rsid w:val="00BC2B1F"/>
    <w:rsid w:val="00BC2F76"/>
    <w:rsid w:val="00BC5DC7"/>
    <w:rsid w:val="00BC65F3"/>
    <w:rsid w:val="00BC660A"/>
    <w:rsid w:val="00BC6B8B"/>
    <w:rsid w:val="00BC73D8"/>
    <w:rsid w:val="00BD105D"/>
    <w:rsid w:val="00BD1545"/>
    <w:rsid w:val="00BD1E46"/>
    <w:rsid w:val="00BD1FA9"/>
    <w:rsid w:val="00BD52D7"/>
    <w:rsid w:val="00BD5AD2"/>
    <w:rsid w:val="00BD7CFC"/>
    <w:rsid w:val="00BE0147"/>
    <w:rsid w:val="00BE0C24"/>
    <w:rsid w:val="00BE1B29"/>
    <w:rsid w:val="00BE22F3"/>
    <w:rsid w:val="00BE294A"/>
    <w:rsid w:val="00BE46CF"/>
    <w:rsid w:val="00BE4AA2"/>
    <w:rsid w:val="00BE518E"/>
    <w:rsid w:val="00BE5B52"/>
    <w:rsid w:val="00BE7B8D"/>
    <w:rsid w:val="00BE7CFB"/>
    <w:rsid w:val="00BF0692"/>
    <w:rsid w:val="00BF0814"/>
    <w:rsid w:val="00BF0993"/>
    <w:rsid w:val="00BF10A9"/>
    <w:rsid w:val="00BF1703"/>
    <w:rsid w:val="00BF193F"/>
    <w:rsid w:val="00BF231C"/>
    <w:rsid w:val="00BF4578"/>
    <w:rsid w:val="00BF51E5"/>
    <w:rsid w:val="00BF6655"/>
    <w:rsid w:val="00BF74A6"/>
    <w:rsid w:val="00BF79AD"/>
    <w:rsid w:val="00C013AD"/>
    <w:rsid w:val="00C01AC1"/>
    <w:rsid w:val="00C04691"/>
    <w:rsid w:val="00C04904"/>
    <w:rsid w:val="00C056B3"/>
    <w:rsid w:val="00C068A9"/>
    <w:rsid w:val="00C103E5"/>
    <w:rsid w:val="00C10976"/>
    <w:rsid w:val="00C13319"/>
    <w:rsid w:val="00C13553"/>
    <w:rsid w:val="00C13EE9"/>
    <w:rsid w:val="00C14E45"/>
    <w:rsid w:val="00C15108"/>
    <w:rsid w:val="00C1625C"/>
    <w:rsid w:val="00C20D43"/>
    <w:rsid w:val="00C21540"/>
    <w:rsid w:val="00C21906"/>
    <w:rsid w:val="00C21BFA"/>
    <w:rsid w:val="00C22148"/>
    <w:rsid w:val="00C24C8D"/>
    <w:rsid w:val="00C25FE2"/>
    <w:rsid w:val="00C26408"/>
    <w:rsid w:val="00C26532"/>
    <w:rsid w:val="00C26B53"/>
    <w:rsid w:val="00C279B2"/>
    <w:rsid w:val="00C27D76"/>
    <w:rsid w:val="00C32AC3"/>
    <w:rsid w:val="00C3347C"/>
    <w:rsid w:val="00C33E50"/>
    <w:rsid w:val="00C34C20"/>
    <w:rsid w:val="00C35A3E"/>
    <w:rsid w:val="00C35FE5"/>
    <w:rsid w:val="00C400D5"/>
    <w:rsid w:val="00C42130"/>
    <w:rsid w:val="00C423A4"/>
    <w:rsid w:val="00C44BF5"/>
    <w:rsid w:val="00C4535B"/>
    <w:rsid w:val="00C521D6"/>
    <w:rsid w:val="00C522E9"/>
    <w:rsid w:val="00C52BDE"/>
    <w:rsid w:val="00C54B35"/>
    <w:rsid w:val="00C55232"/>
    <w:rsid w:val="00C553A4"/>
    <w:rsid w:val="00C55A06"/>
    <w:rsid w:val="00C55D03"/>
    <w:rsid w:val="00C56303"/>
    <w:rsid w:val="00C57A38"/>
    <w:rsid w:val="00C601BC"/>
    <w:rsid w:val="00C607F8"/>
    <w:rsid w:val="00C6329F"/>
    <w:rsid w:val="00C63340"/>
    <w:rsid w:val="00C643F9"/>
    <w:rsid w:val="00C64E95"/>
    <w:rsid w:val="00C65F75"/>
    <w:rsid w:val="00C71372"/>
    <w:rsid w:val="00C72410"/>
    <w:rsid w:val="00C7287F"/>
    <w:rsid w:val="00C738A0"/>
    <w:rsid w:val="00C73AAA"/>
    <w:rsid w:val="00C80CB8"/>
    <w:rsid w:val="00C819F8"/>
    <w:rsid w:val="00C8248C"/>
    <w:rsid w:val="00C848EF"/>
    <w:rsid w:val="00C84D56"/>
    <w:rsid w:val="00C84E33"/>
    <w:rsid w:val="00C855D1"/>
    <w:rsid w:val="00C86D6F"/>
    <w:rsid w:val="00C905FC"/>
    <w:rsid w:val="00C907C8"/>
    <w:rsid w:val="00C9143F"/>
    <w:rsid w:val="00C91C6F"/>
    <w:rsid w:val="00C92A92"/>
    <w:rsid w:val="00C92D03"/>
    <w:rsid w:val="00C9319C"/>
    <w:rsid w:val="00C93569"/>
    <w:rsid w:val="00C93829"/>
    <w:rsid w:val="00C9435D"/>
    <w:rsid w:val="00C94DF2"/>
    <w:rsid w:val="00C96741"/>
    <w:rsid w:val="00CA2D1B"/>
    <w:rsid w:val="00CA375D"/>
    <w:rsid w:val="00CA662A"/>
    <w:rsid w:val="00CA7AFD"/>
    <w:rsid w:val="00CA7C3C"/>
    <w:rsid w:val="00CB0189"/>
    <w:rsid w:val="00CB0BA2"/>
    <w:rsid w:val="00CB1709"/>
    <w:rsid w:val="00CB1A42"/>
    <w:rsid w:val="00CB1B0C"/>
    <w:rsid w:val="00CB23E0"/>
    <w:rsid w:val="00CB250B"/>
    <w:rsid w:val="00CB2C0B"/>
    <w:rsid w:val="00CB517D"/>
    <w:rsid w:val="00CC038D"/>
    <w:rsid w:val="00CC08DB"/>
    <w:rsid w:val="00CC23E8"/>
    <w:rsid w:val="00CC39FF"/>
    <w:rsid w:val="00CC3C2F"/>
    <w:rsid w:val="00CC4AC8"/>
    <w:rsid w:val="00CC5233"/>
    <w:rsid w:val="00CC5DE6"/>
    <w:rsid w:val="00CC6E4E"/>
    <w:rsid w:val="00CC6FE8"/>
    <w:rsid w:val="00CC7202"/>
    <w:rsid w:val="00CD213A"/>
    <w:rsid w:val="00CD2808"/>
    <w:rsid w:val="00CD28BF"/>
    <w:rsid w:val="00CD3116"/>
    <w:rsid w:val="00CD4092"/>
    <w:rsid w:val="00CD4430"/>
    <w:rsid w:val="00CD4A20"/>
    <w:rsid w:val="00CD50A1"/>
    <w:rsid w:val="00CD519E"/>
    <w:rsid w:val="00CD70B7"/>
    <w:rsid w:val="00CD7322"/>
    <w:rsid w:val="00CD7B0D"/>
    <w:rsid w:val="00CE0C4F"/>
    <w:rsid w:val="00CE2281"/>
    <w:rsid w:val="00CE2CD0"/>
    <w:rsid w:val="00CE30EA"/>
    <w:rsid w:val="00CE3113"/>
    <w:rsid w:val="00CE34C1"/>
    <w:rsid w:val="00CE4123"/>
    <w:rsid w:val="00CE4363"/>
    <w:rsid w:val="00CE6839"/>
    <w:rsid w:val="00CE77B0"/>
    <w:rsid w:val="00CF00D4"/>
    <w:rsid w:val="00CF048A"/>
    <w:rsid w:val="00CF155A"/>
    <w:rsid w:val="00CF2947"/>
    <w:rsid w:val="00CF2E50"/>
    <w:rsid w:val="00CF3529"/>
    <w:rsid w:val="00CF40FB"/>
    <w:rsid w:val="00CF44A7"/>
    <w:rsid w:val="00CF4E38"/>
    <w:rsid w:val="00CF4FA4"/>
    <w:rsid w:val="00CF686F"/>
    <w:rsid w:val="00CF6E60"/>
    <w:rsid w:val="00CF7BCA"/>
    <w:rsid w:val="00D008FD"/>
    <w:rsid w:val="00D0193D"/>
    <w:rsid w:val="00D0321C"/>
    <w:rsid w:val="00D032E7"/>
    <w:rsid w:val="00D035EC"/>
    <w:rsid w:val="00D04C9B"/>
    <w:rsid w:val="00D06AB1"/>
    <w:rsid w:val="00D072ED"/>
    <w:rsid w:val="00D07A16"/>
    <w:rsid w:val="00D1067E"/>
    <w:rsid w:val="00D10C55"/>
    <w:rsid w:val="00D10F50"/>
    <w:rsid w:val="00D11254"/>
    <w:rsid w:val="00D11272"/>
    <w:rsid w:val="00D126F5"/>
    <w:rsid w:val="00D1489E"/>
    <w:rsid w:val="00D15303"/>
    <w:rsid w:val="00D200AC"/>
    <w:rsid w:val="00D2062E"/>
    <w:rsid w:val="00D20737"/>
    <w:rsid w:val="00D21E81"/>
    <w:rsid w:val="00D2211B"/>
    <w:rsid w:val="00D223DE"/>
    <w:rsid w:val="00D22BE2"/>
    <w:rsid w:val="00D23E4B"/>
    <w:rsid w:val="00D25E37"/>
    <w:rsid w:val="00D2661A"/>
    <w:rsid w:val="00D27582"/>
    <w:rsid w:val="00D27EC4"/>
    <w:rsid w:val="00D307F7"/>
    <w:rsid w:val="00D32719"/>
    <w:rsid w:val="00D32B80"/>
    <w:rsid w:val="00D33333"/>
    <w:rsid w:val="00D33457"/>
    <w:rsid w:val="00D3436A"/>
    <w:rsid w:val="00D34C28"/>
    <w:rsid w:val="00D352A2"/>
    <w:rsid w:val="00D35DF0"/>
    <w:rsid w:val="00D37372"/>
    <w:rsid w:val="00D37B20"/>
    <w:rsid w:val="00D4156D"/>
    <w:rsid w:val="00D4162B"/>
    <w:rsid w:val="00D439DD"/>
    <w:rsid w:val="00D4514F"/>
    <w:rsid w:val="00D451E2"/>
    <w:rsid w:val="00D4546E"/>
    <w:rsid w:val="00D45DA9"/>
    <w:rsid w:val="00D45E89"/>
    <w:rsid w:val="00D45E8D"/>
    <w:rsid w:val="00D46574"/>
    <w:rsid w:val="00D466AE"/>
    <w:rsid w:val="00D4734F"/>
    <w:rsid w:val="00D50C04"/>
    <w:rsid w:val="00D51BF3"/>
    <w:rsid w:val="00D52188"/>
    <w:rsid w:val="00D528C7"/>
    <w:rsid w:val="00D54284"/>
    <w:rsid w:val="00D56D3F"/>
    <w:rsid w:val="00D6067B"/>
    <w:rsid w:val="00D60FF0"/>
    <w:rsid w:val="00D644E1"/>
    <w:rsid w:val="00D66846"/>
    <w:rsid w:val="00D675FB"/>
    <w:rsid w:val="00D71F25"/>
    <w:rsid w:val="00D72A9C"/>
    <w:rsid w:val="00D744A9"/>
    <w:rsid w:val="00D74678"/>
    <w:rsid w:val="00D74AB1"/>
    <w:rsid w:val="00D76D4D"/>
    <w:rsid w:val="00D77031"/>
    <w:rsid w:val="00D7714E"/>
    <w:rsid w:val="00D81805"/>
    <w:rsid w:val="00D8394D"/>
    <w:rsid w:val="00D83AFF"/>
    <w:rsid w:val="00D83EE4"/>
    <w:rsid w:val="00D8444E"/>
    <w:rsid w:val="00D84941"/>
    <w:rsid w:val="00D84FA1"/>
    <w:rsid w:val="00D851F0"/>
    <w:rsid w:val="00D852FC"/>
    <w:rsid w:val="00D857CE"/>
    <w:rsid w:val="00D86DB7"/>
    <w:rsid w:val="00D91ABF"/>
    <w:rsid w:val="00D926D0"/>
    <w:rsid w:val="00D93030"/>
    <w:rsid w:val="00D950E1"/>
    <w:rsid w:val="00D952A6"/>
    <w:rsid w:val="00D95971"/>
    <w:rsid w:val="00D96BB2"/>
    <w:rsid w:val="00D9723E"/>
    <w:rsid w:val="00D97469"/>
    <w:rsid w:val="00D97F99"/>
    <w:rsid w:val="00DA0A2A"/>
    <w:rsid w:val="00DA17BC"/>
    <w:rsid w:val="00DA1E08"/>
    <w:rsid w:val="00DA24F8"/>
    <w:rsid w:val="00DA28E8"/>
    <w:rsid w:val="00DA38D3"/>
    <w:rsid w:val="00DA391C"/>
    <w:rsid w:val="00DA3932"/>
    <w:rsid w:val="00DA3AFC"/>
    <w:rsid w:val="00DA64F8"/>
    <w:rsid w:val="00DA6C15"/>
    <w:rsid w:val="00DB0258"/>
    <w:rsid w:val="00DB38EE"/>
    <w:rsid w:val="00DB498B"/>
    <w:rsid w:val="00DB50FB"/>
    <w:rsid w:val="00DB5154"/>
    <w:rsid w:val="00DB5F22"/>
    <w:rsid w:val="00DB66CA"/>
    <w:rsid w:val="00DB6BCA"/>
    <w:rsid w:val="00DB73F7"/>
    <w:rsid w:val="00DB765E"/>
    <w:rsid w:val="00DC0321"/>
    <w:rsid w:val="00DC3067"/>
    <w:rsid w:val="00DC3656"/>
    <w:rsid w:val="00DC370B"/>
    <w:rsid w:val="00DC3B2A"/>
    <w:rsid w:val="00DC59F3"/>
    <w:rsid w:val="00DC5B90"/>
    <w:rsid w:val="00DC7CEA"/>
    <w:rsid w:val="00DD00FF"/>
    <w:rsid w:val="00DD0619"/>
    <w:rsid w:val="00DD07FB"/>
    <w:rsid w:val="00DD1BD1"/>
    <w:rsid w:val="00DD25C6"/>
    <w:rsid w:val="00DD2E58"/>
    <w:rsid w:val="00DD2EAE"/>
    <w:rsid w:val="00DD3236"/>
    <w:rsid w:val="00DD4F06"/>
    <w:rsid w:val="00DD4FE5"/>
    <w:rsid w:val="00DD54B0"/>
    <w:rsid w:val="00DD57EE"/>
    <w:rsid w:val="00DD5A6C"/>
    <w:rsid w:val="00DD6ABB"/>
    <w:rsid w:val="00DD6BCC"/>
    <w:rsid w:val="00DD7B42"/>
    <w:rsid w:val="00DE059D"/>
    <w:rsid w:val="00DE0A4B"/>
    <w:rsid w:val="00DE1D80"/>
    <w:rsid w:val="00DE225A"/>
    <w:rsid w:val="00DE2410"/>
    <w:rsid w:val="00DE2939"/>
    <w:rsid w:val="00DE2A09"/>
    <w:rsid w:val="00DE31FE"/>
    <w:rsid w:val="00DE3CA7"/>
    <w:rsid w:val="00DE4BB3"/>
    <w:rsid w:val="00DE5EE5"/>
    <w:rsid w:val="00DE6E81"/>
    <w:rsid w:val="00DE703F"/>
    <w:rsid w:val="00DE7595"/>
    <w:rsid w:val="00DE79BE"/>
    <w:rsid w:val="00DF07D3"/>
    <w:rsid w:val="00DF0A29"/>
    <w:rsid w:val="00DF1961"/>
    <w:rsid w:val="00DF31BA"/>
    <w:rsid w:val="00DF338E"/>
    <w:rsid w:val="00DF44DE"/>
    <w:rsid w:val="00DF4A23"/>
    <w:rsid w:val="00DF4F4E"/>
    <w:rsid w:val="00DF5F11"/>
    <w:rsid w:val="00DF6965"/>
    <w:rsid w:val="00E00293"/>
    <w:rsid w:val="00E01138"/>
    <w:rsid w:val="00E01758"/>
    <w:rsid w:val="00E02DFB"/>
    <w:rsid w:val="00E030F9"/>
    <w:rsid w:val="00E0311A"/>
    <w:rsid w:val="00E03138"/>
    <w:rsid w:val="00E03277"/>
    <w:rsid w:val="00E03A53"/>
    <w:rsid w:val="00E05C3E"/>
    <w:rsid w:val="00E06404"/>
    <w:rsid w:val="00E0785A"/>
    <w:rsid w:val="00E07CF0"/>
    <w:rsid w:val="00E11A85"/>
    <w:rsid w:val="00E1201D"/>
    <w:rsid w:val="00E12495"/>
    <w:rsid w:val="00E12633"/>
    <w:rsid w:val="00E15CCD"/>
    <w:rsid w:val="00E175AA"/>
    <w:rsid w:val="00E2020B"/>
    <w:rsid w:val="00E202EF"/>
    <w:rsid w:val="00E210B5"/>
    <w:rsid w:val="00E220C5"/>
    <w:rsid w:val="00E23B08"/>
    <w:rsid w:val="00E23D99"/>
    <w:rsid w:val="00E24546"/>
    <w:rsid w:val="00E2552F"/>
    <w:rsid w:val="00E25868"/>
    <w:rsid w:val="00E27B99"/>
    <w:rsid w:val="00E30EC1"/>
    <w:rsid w:val="00E30F0C"/>
    <w:rsid w:val="00E3137A"/>
    <w:rsid w:val="00E31766"/>
    <w:rsid w:val="00E32CCF"/>
    <w:rsid w:val="00E33702"/>
    <w:rsid w:val="00E33C36"/>
    <w:rsid w:val="00E34A98"/>
    <w:rsid w:val="00E34D60"/>
    <w:rsid w:val="00E3572C"/>
    <w:rsid w:val="00E35D1E"/>
    <w:rsid w:val="00E364F9"/>
    <w:rsid w:val="00E365FA"/>
    <w:rsid w:val="00E36789"/>
    <w:rsid w:val="00E375D8"/>
    <w:rsid w:val="00E416B5"/>
    <w:rsid w:val="00E41AA7"/>
    <w:rsid w:val="00E425E7"/>
    <w:rsid w:val="00E43228"/>
    <w:rsid w:val="00E43EA0"/>
    <w:rsid w:val="00E44158"/>
    <w:rsid w:val="00E443F4"/>
    <w:rsid w:val="00E44A83"/>
    <w:rsid w:val="00E47CF6"/>
    <w:rsid w:val="00E47E81"/>
    <w:rsid w:val="00E47EF0"/>
    <w:rsid w:val="00E502C1"/>
    <w:rsid w:val="00E502DD"/>
    <w:rsid w:val="00E50D3A"/>
    <w:rsid w:val="00E51387"/>
    <w:rsid w:val="00E51E68"/>
    <w:rsid w:val="00E52EFD"/>
    <w:rsid w:val="00E5408A"/>
    <w:rsid w:val="00E54B4C"/>
    <w:rsid w:val="00E56504"/>
    <w:rsid w:val="00E56800"/>
    <w:rsid w:val="00E60C63"/>
    <w:rsid w:val="00E62FF9"/>
    <w:rsid w:val="00E635D6"/>
    <w:rsid w:val="00E639BC"/>
    <w:rsid w:val="00E63DC1"/>
    <w:rsid w:val="00E64CB5"/>
    <w:rsid w:val="00E652A2"/>
    <w:rsid w:val="00E664CC"/>
    <w:rsid w:val="00E70388"/>
    <w:rsid w:val="00E70F92"/>
    <w:rsid w:val="00E71B70"/>
    <w:rsid w:val="00E74C54"/>
    <w:rsid w:val="00E75DDE"/>
    <w:rsid w:val="00E77A03"/>
    <w:rsid w:val="00E822E8"/>
    <w:rsid w:val="00E82554"/>
    <w:rsid w:val="00E82606"/>
    <w:rsid w:val="00E839EF"/>
    <w:rsid w:val="00E8401E"/>
    <w:rsid w:val="00E846C8"/>
    <w:rsid w:val="00E84957"/>
    <w:rsid w:val="00E84A55"/>
    <w:rsid w:val="00E85BFF"/>
    <w:rsid w:val="00E90391"/>
    <w:rsid w:val="00E906C2"/>
    <w:rsid w:val="00E90E00"/>
    <w:rsid w:val="00E91C68"/>
    <w:rsid w:val="00E9311F"/>
    <w:rsid w:val="00E934D1"/>
    <w:rsid w:val="00E945E2"/>
    <w:rsid w:val="00E94AF0"/>
    <w:rsid w:val="00E95D13"/>
    <w:rsid w:val="00E95DD3"/>
    <w:rsid w:val="00E964A8"/>
    <w:rsid w:val="00E96719"/>
    <w:rsid w:val="00E969D5"/>
    <w:rsid w:val="00E97D95"/>
    <w:rsid w:val="00EA4704"/>
    <w:rsid w:val="00EA47CD"/>
    <w:rsid w:val="00EA4953"/>
    <w:rsid w:val="00EA4ACC"/>
    <w:rsid w:val="00EA5846"/>
    <w:rsid w:val="00EA58D1"/>
    <w:rsid w:val="00EA61BC"/>
    <w:rsid w:val="00EA6252"/>
    <w:rsid w:val="00EA6315"/>
    <w:rsid w:val="00EA681A"/>
    <w:rsid w:val="00EA69C3"/>
    <w:rsid w:val="00EA735B"/>
    <w:rsid w:val="00EA7515"/>
    <w:rsid w:val="00EB14FE"/>
    <w:rsid w:val="00EB17DE"/>
    <w:rsid w:val="00EB1E69"/>
    <w:rsid w:val="00EB2086"/>
    <w:rsid w:val="00EB5EDF"/>
    <w:rsid w:val="00EB60FE"/>
    <w:rsid w:val="00EB6880"/>
    <w:rsid w:val="00EB6958"/>
    <w:rsid w:val="00EB74DB"/>
    <w:rsid w:val="00EC0A6A"/>
    <w:rsid w:val="00EC2ED1"/>
    <w:rsid w:val="00EC4B18"/>
    <w:rsid w:val="00EC5359"/>
    <w:rsid w:val="00EC562A"/>
    <w:rsid w:val="00EC7975"/>
    <w:rsid w:val="00ED045F"/>
    <w:rsid w:val="00ED067A"/>
    <w:rsid w:val="00ED2B50"/>
    <w:rsid w:val="00ED3EFD"/>
    <w:rsid w:val="00ED4053"/>
    <w:rsid w:val="00ED4A10"/>
    <w:rsid w:val="00EE0350"/>
    <w:rsid w:val="00EE0719"/>
    <w:rsid w:val="00EE0E80"/>
    <w:rsid w:val="00EE20A4"/>
    <w:rsid w:val="00EE54A6"/>
    <w:rsid w:val="00EE5B9C"/>
    <w:rsid w:val="00EE613F"/>
    <w:rsid w:val="00EE7295"/>
    <w:rsid w:val="00EE7869"/>
    <w:rsid w:val="00EF054A"/>
    <w:rsid w:val="00EF2BAC"/>
    <w:rsid w:val="00EF3235"/>
    <w:rsid w:val="00EF3E28"/>
    <w:rsid w:val="00EF6715"/>
    <w:rsid w:val="00EF71C0"/>
    <w:rsid w:val="00EF7E72"/>
    <w:rsid w:val="00F012CB"/>
    <w:rsid w:val="00F05006"/>
    <w:rsid w:val="00F06D37"/>
    <w:rsid w:val="00F07B9D"/>
    <w:rsid w:val="00F07C6A"/>
    <w:rsid w:val="00F11586"/>
    <w:rsid w:val="00F1183B"/>
    <w:rsid w:val="00F11C9F"/>
    <w:rsid w:val="00F12263"/>
    <w:rsid w:val="00F125BF"/>
    <w:rsid w:val="00F13775"/>
    <w:rsid w:val="00F1409D"/>
    <w:rsid w:val="00F14214"/>
    <w:rsid w:val="00F157A9"/>
    <w:rsid w:val="00F20987"/>
    <w:rsid w:val="00F21166"/>
    <w:rsid w:val="00F21E89"/>
    <w:rsid w:val="00F23864"/>
    <w:rsid w:val="00F24415"/>
    <w:rsid w:val="00F24C41"/>
    <w:rsid w:val="00F258B1"/>
    <w:rsid w:val="00F25BB6"/>
    <w:rsid w:val="00F25BE5"/>
    <w:rsid w:val="00F26B7E"/>
    <w:rsid w:val="00F273A9"/>
    <w:rsid w:val="00F27A3B"/>
    <w:rsid w:val="00F32D2F"/>
    <w:rsid w:val="00F33817"/>
    <w:rsid w:val="00F3716D"/>
    <w:rsid w:val="00F420D5"/>
    <w:rsid w:val="00F428CF"/>
    <w:rsid w:val="00F451EA"/>
    <w:rsid w:val="00F45447"/>
    <w:rsid w:val="00F456C6"/>
    <w:rsid w:val="00F4577B"/>
    <w:rsid w:val="00F46496"/>
    <w:rsid w:val="00F4716C"/>
    <w:rsid w:val="00F474D0"/>
    <w:rsid w:val="00F47DE1"/>
    <w:rsid w:val="00F50179"/>
    <w:rsid w:val="00F50C10"/>
    <w:rsid w:val="00F515EE"/>
    <w:rsid w:val="00F54E1A"/>
    <w:rsid w:val="00F56360"/>
    <w:rsid w:val="00F56511"/>
    <w:rsid w:val="00F60273"/>
    <w:rsid w:val="00F6194E"/>
    <w:rsid w:val="00F61BA8"/>
    <w:rsid w:val="00F623AC"/>
    <w:rsid w:val="00F624B9"/>
    <w:rsid w:val="00F62BEA"/>
    <w:rsid w:val="00F6412A"/>
    <w:rsid w:val="00F642DC"/>
    <w:rsid w:val="00F6471F"/>
    <w:rsid w:val="00F65893"/>
    <w:rsid w:val="00F667A7"/>
    <w:rsid w:val="00F66A4A"/>
    <w:rsid w:val="00F679DB"/>
    <w:rsid w:val="00F71E22"/>
    <w:rsid w:val="00F72142"/>
    <w:rsid w:val="00F72AE7"/>
    <w:rsid w:val="00F76002"/>
    <w:rsid w:val="00F76274"/>
    <w:rsid w:val="00F8052C"/>
    <w:rsid w:val="00F81141"/>
    <w:rsid w:val="00F833BA"/>
    <w:rsid w:val="00F84FD0"/>
    <w:rsid w:val="00F859A8"/>
    <w:rsid w:val="00F86301"/>
    <w:rsid w:val="00F86D87"/>
    <w:rsid w:val="00F87B54"/>
    <w:rsid w:val="00F9108B"/>
    <w:rsid w:val="00F91349"/>
    <w:rsid w:val="00F93A8A"/>
    <w:rsid w:val="00F95248"/>
    <w:rsid w:val="00F956A9"/>
    <w:rsid w:val="00F95884"/>
    <w:rsid w:val="00F95A48"/>
    <w:rsid w:val="00F95C61"/>
    <w:rsid w:val="00F960F4"/>
    <w:rsid w:val="00F963ED"/>
    <w:rsid w:val="00F966CF"/>
    <w:rsid w:val="00F96CAE"/>
    <w:rsid w:val="00F96F45"/>
    <w:rsid w:val="00F97957"/>
    <w:rsid w:val="00F97C99"/>
    <w:rsid w:val="00FA006D"/>
    <w:rsid w:val="00FA0B93"/>
    <w:rsid w:val="00FA4183"/>
    <w:rsid w:val="00FA4DAC"/>
    <w:rsid w:val="00FA662D"/>
    <w:rsid w:val="00FA7172"/>
    <w:rsid w:val="00FA73B1"/>
    <w:rsid w:val="00FA742A"/>
    <w:rsid w:val="00FA7BA0"/>
    <w:rsid w:val="00FA7EA5"/>
    <w:rsid w:val="00FB0CB9"/>
    <w:rsid w:val="00FB231D"/>
    <w:rsid w:val="00FB3137"/>
    <w:rsid w:val="00FB354D"/>
    <w:rsid w:val="00FB45F1"/>
    <w:rsid w:val="00FB4A72"/>
    <w:rsid w:val="00FB54E8"/>
    <w:rsid w:val="00FB6777"/>
    <w:rsid w:val="00FB7054"/>
    <w:rsid w:val="00FB71CE"/>
    <w:rsid w:val="00FC17B7"/>
    <w:rsid w:val="00FC1A0C"/>
    <w:rsid w:val="00FC1EFB"/>
    <w:rsid w:val="00FC2CB7"/>
    <w:rsid w:val="00FC4090"/>
    <w:rsid w:val="00FC55B4"/>
    <w:rsid w:val="00FD00E6"/>
    <w:rsid w:val="00FD09A1"/>
    <w:rsid w:val="00FD1642"/>
    <w:rsid w:val="00FD18A1"/>
    <w:rsid w:val="00FD2A7C"/>
    <w:rsid w:val="00FD333C"/>
    <w:rsid w:val="00FD59EB"/>
    <w:rsid w:val="00FD7299"/>
    <w:rsid w:val="00FE1C8E"/>
    <w:rsid w:val="00FE1FBE"/>
    <w:rsid w:val="00FE3758"/>
    <w:rsid w:val="00FE3901"/>
    <w:rsid w:val="00FE39D3"/>
    <w:rsid w:val="00FE3A53"/>
    <w:rsid w:val="00FE4899"/>
    <w:rsid w:val="00FE4BCE"/>
    <w:rsid w:val="00FE54AE"/>
    <w:rsid w:val="00FE576A"/>
    <w:rsid w:val="00FE6186"/>
    <w:rsid w:val="00FE72DE"/>
    <w:rsid w:val="00FE7561"/>
    <w:rsid w:val="00FE7E79"/>
    <w:rsid w:val="00FE7F6B"/>
    <w:rsid w:val="00FF0527"/>
    <w:rsid w:val="00FF2D27"/>
    <w:rsid w:val="00FF2F1C"/>
    <w:rsid w:val="00FF3E7D"/>
    <w:rsid w:val="00FF4FF4"/>
    <w:rsid w:val="00FF5B99"/>
    <w:rsid w:val="00FF5C81"/>
    <w:rsid w:val="00FF730C"/>
    <w:rsid w:val="00FF73F4"/>
    <w:rsid w:val="00FF7CE4"/>
    <w:rsid w:val="00FF7E39"/>
    <w:rsid w:val="00FF7FA6"/>
    <w:rsid w:val="01582ECE"/>
    <w:rsid w:val="04426B94"/>
    <w:rsid w:val="0E0572C2"/>
    <w:rsid w:val="16EC5C67"/>
    <w:rsid w:val="21554126"/>
    <w:rsid w:val="21D108B0"/>
    <w:rsid w:val="25427E28"/>
    <w:rsid w:val="27AF7BEE"/>
    <w:rsid w:val="2D355E3C"/>
    <w:rsid w:val="30DF0053"/>
    <w:rsid w:val="34311D01"/>
    <w:rsid w:val="364C0992"/>
    <w:rsid w:val="378325C5"/>
    <w:rsid w:val="3A0E3B6E"/>
    <w:rsid w:val="56890AC5"/>
    <w:rsid w:val="5EE236BA"/>
    <w:rsid w:val="614242CC"/>
    <w:rsid w:val="62A0377C"/>
    <w:rsid w:val="67115854"/>
    <w:rsid w:val="69F70B22"/>
    <w:rsid w:val="6D02061A"/>
    <w:rsid w:val="6D766E7A"/>
    <w:rsid w:val="6F1D0C97"/>
    <w:rsid w:val="752B5EEA"/>
    <w:rsid w:val="7B334E2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semiHidden="0" w:name="toc 1"/>
    <w:lsdException w:uiPriority="39" w:semiHidden="0" w:name="toc 2"/>
    <w:lsdException w:qFormat="1" w:uiPriority="39" w:semiHidden="0" w:name="toc 3"/>
    <w:lsdException w:qFormat="1" w:uiPriority="39" w:semiHidden="0" w:name="toc 4"/>
    <w:lsdException w:uiPriority="39" w:semiHidden="0" w:name="toc 5"/>
    <w:lsdException w:uiPriority="39" w:semiHidden="0" w:name="toc 6"/>
    <w:lsdException w:uiPriority="39" w:semiHidden="0" w:name="toc 7"/>
    <w:lsdException w:uiPriority="0" w:name="toc 8"/>
    <w:lsdException w:uiPriority="0" w:name="toc 9"/>
    <w:lsdException w:qFormat="1" w:unhideWhenUsed="0" w:uiPriority="0" w:semiHidden="0" w:name="Normal Indent"/>
    <w:lsdException w:qFormat="1" w:unhideWhenUsed="0" w:uiPriority="0"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qFormat="1" w:unhideWhenUsed="0" w:uiPriority="0" w:name="table of figures"/>
    <w:lsdException w:uiPriority="99" w:name="envelope address"/>
    <w:lsdException w:uiPriority="99" w:name="envelope return"/>
    <w:lsdException w:qFormat="1" w:unhideWhenUsed="0" w:uiPriority="0" w:name="footnote reference"/>
    <w:lsdException w:uiPriority="99" w:name="annotation reference"/>
    <w:lsdException w:uiPriority="99" w:name="line number"/>
    <w:lsdException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9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400" w:lineRule="exact"/>
      <w:jc w:val="both"/>
    </w:pPr>
    <w:rPr>
      <w:rFonts w:ascii="Calibri" w:hAnsi="Calibri" w:eastAsia="宋体" w:cs="Times New Roman"/>
      <w:kern w:val="2"/>
      <w:sz w:val="21"/>
      <w:szCs w:val="21"/>
      <w:lang w:val="en-US" w:eastAsia="zh-CN" w:bidi="ar-SA"/>
    </w:rPr>
  </w:style>
  <w:style w:type="paragraph" w:styleId="2">
    <w:name w:val="heading 1"/>
    <w:basedOn w:val="1"/>
    <w:next w:val="1"/>
    <w:link w:val="36"/>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37"/>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38"/>
    <w:qFormat/>
    <w:uiPriority w:val="0"/>
    <w:pPr>
      <w:keepNext/>
      <w:keepLines/>
      <w:spacing w:before="260" w:after="260" w:line="416" w:lineRule="auto"/>
      <w:outlineLvl w:val="2"/>
    </w:pPr>
    <w:rPr>
      <w:b/>
      <w:bCs/>
      <w:sz w:val="32"/>
      <w:szCs w:val="32"/>
    </w:rPr>
  </w:style>
  <w:style w:type="paragraph" w:styleId="5">
    <w:name w:val="heading 4"/>
    <w:basedOn w:val="1"/>
    <w:next w:val="1"/>
    <w:link w:val="39"/>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40"/>
    <w:qFormat/>
    <w:uiPriority w:val="0"/>
    <w:pPr>
      <w:keepNext/>
      <w:keepLines/>
      <w:adjustRightInd/>
      <w:spacing w:before="280" w:after="290" w:line="376" w:lineRule="auto"/>
      <w:outlineLvl w:val="4"/>
    </w:pPr>
    <w:rPr>
      <w:b/>
      <w:bCs/>
      <w:sz w:val="28"/>
      <w:szCs w:val="28"/>
    </w:rPr>
  </w:style>
  <w:style w:type="paragraph" w:styleId="7">
    <w:name w:val="heading 6"/>
    <w:basedOn w:val="1"/>
    <w:next w:val="1"/>
    <w:link w:val="41"/>
    <w:qFormat/>
    <w:uiPriority w:val="0"/>
    <w:pPr>
      <w:keepNext/>
      <w:keepLines/>
      <w:adjustRightInd/>
      <w:spacing w:before="240" w:after="64" w:line="320" w:lineRule="auto"/>
      <w:outlineLvl w:val="5"/>
    </w:pPr>
    <w:rPr>
      <w:rFonts w:ascii="Arial" w:hAnsi="Arial" w:eastAsia="黑体"/>
      <w:b/>
      <w:bCs/>
      <w:sz w:val="24"/>
      <w:szCs w:val="24"/>
    </w:rPr>
  </w:style>
  <w:style w:type="paragraph" w:styleId="8">
    <w:name w:val="heading 7"/>
    <w:basedOn w:val="1"/>
    <w:next w:val="1"/>
    <w:link w:val="42"/>
    <w:qFormat/>
    <w:uiPriority w:val="0"/>
    <w:pPr>
      <w:keepNext/>
      <w:keepLines/>
      <w:adjustRightInd/>
      <w:spacing w:before="240" w:after="64" w:line="320" w:lineRule="auto"/>
      <w:outlineLvl w:val="6"/>
    </w:pPr>
    <w:rPr>
      <w:b/>
      <w:bCs/>
      <w:sz w:val="24"/>
      <w:szCs w:val="24"/>
    </w:rPr>
  </w:style>
  <w:style w:type="paragraph" w:styleId="9">
    <w:name w:val="heading 8"/>
    <w:basedOn w:val="1"/>
    <w:next w:val="1"/>
    <w:link w:val="43"/>
    <w:qFormat/>
    <w:uiPriority w:val="0"/>
    <w:pPr>
      <w:keepNext/>
      <w:keepLines/>
      <w:adjustRightInd/>
      <w:spacing w:before="240" w:after="64" w:line="320" w:lineRule="auto"/>
      <w:outlineLvl w:val="7"/>
    </w:pPr>
    <w:rPr>
      <w:rFonts w:ascii="Arial" w:hAnsi="Arial" w:eastAsia="黑体"/>
      <w:sz w:val="24"/>
      <w:szCs w:val="24"/>
    </w:rPr>
  </w:style>
  <w:style w:type="paragraph" w:styleId="10">
    <w:name w:val="heading 9"/>
    <w:basedOn w:val="1"/>
    <w:next w:val="1"/>
    <w:link w:val="44"/>
    <w:qFormat/>
    <w:uiPriority w:val="0"/>
    <w:pPr>
      <w:keepNext/>
      <w:keepLines/>
      <w:adjustRightInd/>
      <w:spacing w:before="240" w:after="64" w:line="320" w:lineRule="auto"/>
      <w:outlineLvl w:val="8"/>
    </w:pPr>
    <w:rPr>
      <w:rFonts w:ascii="Arial" w:hAnsi="Arial" w:eastAsia="黑体"/>
    </w:rPr>
  </w:style>
  <w:style w:type="character" w:default="1" w:styleId="29">
    <w:name w:val="Default Paragraph Font"/>
    <w:semiHidden/>
    <w:unhideWhenUsed/>
    <w:qFormat/>
    <w:uiPriority w:val="1"/>
  </w:style>
  <w:style w:type="table" w:default="1" w:styleId="27">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unhideWhenUsed/>
    <w:uiPriority w:val="39"/>
    <w:pPr>
      <w:tabs>
        <w:tab w:val="right" w:leader="dot" w:pos="9344"/>
      </w:tabs>
      <w:spacing w:line="300" w:lineRule="exact"/>
      <w:ind w:left="1259"/>
    </w:pPr>
    <w:rPr>
      <w:rFonts w:ascii="宋体"/>
    </w:rPr>
  </w:style>
  <w:style w:type="paragraph" w:styleId="12">
    <w:name w:val="Normal Indent"/>
    <w:basedOn w:val="1"/>
    <w:qFormat/>
    <w:uiPriority w:val="0"/>
    <w:pPr>
      <w:ind w:firstLine="420"/>
    </w:pPr>
  </w:style>
  <w:style w:type="paragraph" w:styleId="13">
    <w:name w:val="Document Map"/>
    <w:basedOn w:val="1"/>
    <w:link w:val="232"/>
    <w:semiHidden/>
    <w:unhideWhenUsed/>
    <w:qFormat/>
    <w:uiPriority w:val="99"/>
    <w:rPr>
      <w:rFonts w:ascii="宋体"/>
      <w:sz w:val="18"/>
      <w:szCs w:val="18"/>
    </w:rPr>
  </w:style>
  <w:style w:type="paragraph" w:styleId="14">
    <w:name w:val="Body Text"/>
    <w:basedOn w:val="1"/>
    <w:link w:val="88"/>
    <w:qFormat/>
    <w:uiPriority w:val="0"/>
    <w:pPr>
      <w:spacing w:after="120"/>
    </w:pPr>
  </w:style>
  <w:style w:type="paragraph" w:styleId="15">
    <w:name w:val="toc 5"/>
    <w:basedOn w:val="1"/>
    <w:next w:val="1"/>
    <w:unhideWhenUsed/>
    <w:uiPriority w:val="39"/>
    <w:pPr>
      <w:ind w:left="839"/>
    </w:pPr>
    <w:rPr>
      <w:rFonts w:ascii="宋体"/>
    </w:rPr>
  </w:style>
  <w:style w:type="paragraph" w:styleId="16">
    <w:name w:val="toc 3"/>
    <w:basedOn w:val="1"/>
    <w:next w:val="1"/>
    <w:unhideWhenUsed/>
    <w:qFormat/>
    <w:uiPriority w:val="39"/>
    <w:pPr>
      <w:spacing w:line="300" w:lineRule="exact"/>
      <w:ind w:left="420"/>
    </w:pPr>
    <w:rPr>
      <w:rFonts w:ascii="宋体"/>
    </w:rPr>
  </w:style>
  <w:style w:type="paragraph" w:styleId="17">
    <w:name w:val="Balloon Text"/>
    <w:basedOn w:val="1"/>
    <w:link w:val="47"/>
    <w:semiHidden/>
    <w:unhideWhenUsed/>
    <w:qFormat/>
    <w:uiPriority w:val="99"/>
    <w:rPr>
      <w:sz w:val="18"/>
      <w:szCs w:val="18"/>
    </w:rPr>
  </w:style>
  <w:style w:type="paragraph" w:styleId="18">
    <w:name w:val="footer"/>
    <w:basedOn w:val="1"/>
    <w:link w:val="46"/>
    <w:qFormat/>
    <w:uiPriority w:val="99"/>
    <w:pPr>
      <w:tabs>
        <w:tab w:val="center" w:pos="4153"/>
        <w:tab w:val="right" w:pos="8306"/>
      </w:tabs>
      <w:adjustRightInd/>
      <w:snapToGrid w:val="0"/>
      <w:spacing w:line="240" w:lineRule="auto"/>
      <w:jc w:val="right"/>
    </w:pPr>
    <w:rPr>
      <w:rFonts w:ascii="宋体"/>
      <w:sz w:val="18"/>
      <w:szCs w:val="18"/>
    </w:rPr>
  </w:style>
  <w:style w:type="paragraph" w:styleId="19">
    <w:name w:val="header"/>
    <w:basedOn w:val="1"/>
    <w:link w:val="45"/>
    <w:qFormat/>
    <w:uiPriority w:val="99"/>
    <w:pPr>
      <w:tabs>
        <w:tab w:val="center" w:pos="4153"/>
        <w:tab w:val="right" w:pos="8306"/>
      </w:tabs>
      <w:adjustRightInd/>
      <w:snapToGrid w:val="0"/>
      <w:jc w:val="center"/>
    </w:pPr>
    <w:rPr>
      <w:sz w:val="18"/>
      <w:szCs w:val="18"/>
    </w:rPr>
  </w:style>
  <w:style w:type="paragraph" w:styleId="20">
    <w:name w:val="toc 1"/>
    <w:basedOn w:val="1"/>
    <w:next w:val="1"/>
    <w:unhideWhenUsed/>
    <w:uiPriority w:val="39"/>
    <w:rPr>
      <w:rFonts w:ascii="宋体"/>
    </w:rPr>
  </w:style>
  <w:style w:type="paragraph" w:styleId="21">
    <w:name w:val="toc 4"/>
    <w:basedOn w:val="1"/>
    <w:next w:val="1"/>
    <w:unhideWhenUsed/>
    <w:qFormat/>
    <w:uiPriority w:val="39"/>
    <w:pPr>
      <w:tabs>
        <w:tab w:val="right" w:leader="dot" w:pos="9344"/>
      </w:tabs>
      <w:spacing w:line="300" w:lineRule="exact"/>
      <w:ind w:left="629"/>
    </w:pPr>
    <w:rPr>
      <w:rFonts w:ascii="宋体"/>
    </w:rPr>
  </w:style>
  <w:style w:type="paragraph" w:styleId="22">
    <w:name w:val="footnote text"/>
    <w:basedOn w:val="1"/>
    <w:next w:val="1"/>
    <w:link w:val="101"/>
    <w:semiHidden/>
    <w:qFormat/>
    <w:uiPriority w:val="0"/>
    <w:pPr>
      <w:adjustRightInd/>
      <w:snapToGrid w:val="0"/>
      <w:spacing w:line="300" w:lineRule="exact"/>
      <w:ind w:left="400" w:leftChars="200" w:hanging="200" w:hangingChars="200"/>
      <w:jc w:val="left"/>
    </w:pPr>
    <w:rPr>
      <w:rFonts w:ascii="宋体"/>
      <w:sz w:val="18"/>
      <w:szCs w:val="18"/>
    </w:rPr>
  </w:style>
  <w:style w:type="paragraph" w:styleId="23">
    <w:name w:val="toc 6"/>
    <w:basedOn w:val="1"/>
    <w:next w:val="1"/>
    <w:unhideWhenUsed/>
    <w:uiPriority w:val="39"/>
    <w:pPr>
      <w:spacing w:line="300" w:lineRule="exact"/>
      <w:ind w:left="1049"/>
    </w:pPr>
    <w:rPr>
      <w:rFonts w:ascii="宋体"/>
    </w:rPr>
  </w:style>
  <w:style w:type="paragraph" w:styleId="24">
    <w:name w:val="table of figures"/>
    <w:basedOn w:val="1"/>
    <w:next w:val="1"/>
    <w:semiHidden/>
    <w:qFormat/>
    <w:uiPriority w:val="0"/>
    <w:pPr>
      <w:adjustRightInd/>
      <w:spacing w:line="240" w:lineRule="auto"/>
      <w:jc w:val="left"/>
    </w:pPr>
    <w:rPr>
      <w:szCs w:val="24"/>
    </w:rPr>
  </w:style>
  <w:style w:type="paragraph" w:styleId="25">
    <w:name w:val="toc 2"/>
    <w:basedOn w:val="1"/>
    <w:next w:val="1"/>
    <w:unhideWhenUsed/>
    <w:uiPriority w:val="39"/>
    <w:pPr>
      <w:tabs>
        <w:tab w:val="right" w:leader="dot" w:pos="9344"/>
      </w:tabs>
      <w:spacing w:line="300" w:lineRule="exact"/>
      <w:ind w:left="210"/>
    </w:pPr>
    <w:rPr>
      <w:rFonts w:ascii="宋体"/>
    </w:rPr>
  </w:style>
  <w:style w:type="paragraph" w:styleId="26">
    <w:name w:val="Title"/>
    <w:basedOn w:val="1"/>
    <w:link w:val="50"/>
    <w:qFormat/>
    <w:uiPriority w:val="0"/>
    <w:pPr>
      <w:spacing w:before="240" w:after="60"/>
      <w:jc w:val="center"/>
      <w:outlineLvl w:val="0"/>
    </w:pPr>
    <w:rPr>
      <w:rFonts w:ascii="Arial" w:hAnsi="Arial" w:cs="Arial"/>
      <w:b/>
      <w:bCs/>
      <w:sz w:val="32"/>
      <w:szCs w:val="32"/>
    </w:rPr>
  </w:style>
  <w:style w:type="table" w:styleId="28">
    <w:name w:val="Table Grid"/>
    <w:basedOn w:val="27"/>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0">
    <w:name w:val="Strong"/>
    <w:qFormat/>
    <w:uiPriority w:val="22"/>
    <w:rPr>
      <w:b/>
      <w:bCs/>
    </w:rPr>
  </w:style>
  <w:style w:type="character" w:styleId="31">
    <w:name w:val="page number"/>
    <w:uiPriority w:val="0"/>
    <w:rPr>
      <w:rFonts w:ascii="宋体" w:hAnsi="Times New Roman" w:eastAsia="宋体"/>
      <w:sz w:val="18"/>
    </w:rPr>
  </w:style>
  <w:style w:type="character" w:styleId="32">
    <w:name w:val="FollowedHyperlink"/>
    <w:basedOn w:val="29"/>
    <w:semiHidden/>
    <w:unhideWhenUsed/>
    <w:qFormat/>
    <w:uiPriority w:val="99"/>
    <w:rPr>
      <w:color w:val="954F72" w:themeColor="followedHyperlink"/>
      <w:u w:val="single"/>
    </w:rPr>
  </w:style>
  <w:style w:type="character" w:styleId="33">
    <w:name w:val="Emphasis"/>
    <w:qFormat/>
    <w:uiPriority w:val="20"/>
    <w:rPr>
      <w:i/>
      <w:iCs/>
    </w:rPr>
  </w:style>
  <w:style w:type="character" w:styleId="34">
    <w:name w:val="Hyperlink"/>
    <w:qFormat/>
    <w:uiPriority w:val="99"/>
    <w:rPr>
      <w:rFonts w:ascii="宋体" w:hAnsi="Times New Roman" w:eastAsia="宋体"/>
      <w:color w:val="auto"/>
      <w:spacing w:val="0"/>
      <w:w w:val="100"/>
      <w:position w:val="0"/>
      <w:sz w:val="21"/>
      <w:u w:val="none"/>
      <w:vertAlign w:val="baseline"/>
    </w:rPr>
  </w:style>
  <w:style w:type="character" w:styleId="35">
    <w:name w:val="footnote reference"/>
    <w:semiHidden/>
    <w:qFormat/>
    <w:uiPriority w:val="0"/>
    <w:rPr>
      <w:rFonts w:ascii="宋体" w:hAnsi="宋体" w:eastAsia="宋体" w:cs="Times New Roman"/>
      <w:spacing w:val="0"/>
      <w:sz w:val="18"/>
      <w:vertAlign w:val="superscript"/>
    </w:rPr>
  </w:style>
  <w:style w:type="character" w:customStyle="1" w:styleId="36">
    <w:name w:val="标题 1 字符"/>
    <w:link w:val="2"/>
    <w:qFormat/>
    <w:uiPriority w:val="0"/>
    <w:rPr>
      <w:rFonts w:ascii="Times New Roman" w:hAnsi="Times New Roman" w:eastAsia="宋体" w:cs="Times New Roman"/>
      <w:b/>
      <w:bCs/>
      <w:kern w:val="44"/>
      <w:sz w:val="44"/>
      <w:szCs w:val="44"/>
    </w:rPr>
  </w:style>
  <w:style w:type="character" w:customStyle="1" w:styleId="37">
    <w:name w:val="标题 2 字符"/>
    <w:link w:val="3"/>
    <w:qFormat/>
    <w:uiPriority w:val="0"/>
    <w:rPr>
      <w:rFonts w:ascii="Arial" w:hAnsi="Arial" w:eastAsia="黑体" w:cs="Times New Roman"/>
      <w:b/>
      <w:bCs/>
      <w:sz w:val="32"/>
      <w:szCs w:val="32"/>
    </w:rPr>
  </w:style>
  <w:style w:type="character" w:customStyle="1" w:styleId="38">
    <w:name w:val="标题 3 字符"/>
    <w:link w:val="4"/>
    <w:qFormat/>
    <w:uiPriority w:val="0"/>
    <w:rPr>
      <w:rFonts w:ascii="Times New Roman" w:hAnsi="Times New Roman" w:eastAsia="宋体" w:cs="Times New Roman"/>
      <w:b/>
      <w:bCs/>
      <w:sz w:val="32"/>
      <w:szCs w:val="32"/>
    </w:rPr>
  </w:style>
  <w:style w:type="character" w:customStyle="1" w:styleId="39">
    <w:name w:val="标题 4 字符"/>
    <w:link w:val="5"/>
    <w:qFormat/>
    <w:uiPriority w:val="0"/>
    <w:rPr>
      <w:rFonts w:ascii="Arial" w:hAnsi="Arial" w:eastAsia="黑体" w:cs="Times New Roman"/>
      <w:b/>
      <w:bCs/>
      <w:sz w:val="28"/>
      <w:szCs w:val="28"/>
    </w:rPr>
  </w:style>
  <w:style w:type="character" w:customStyle="1" w:styleId="40">
    <w:name w:val="标题 5 字符"/>
    <w:link w:val="6"/>
    <w:qFormat/>
    <w:uiPriority w:val="0"/>
    <w:rPr>
      <w:rFonts w:ascii="Times New Roman" w:hAnsi="Times New Roman" w:eastAsia="宋体" w:cs="Times New Roman"/>
      <w:b/>
      <w:bCs/>
      <w:sz w:val="28"/>
      <w:szCs w:val="28"/>
    </w:rPr>
  </w:style>
  <w:style w:type="character" w:customStyle="1" w:styleId="41">
    <w:name w:val="标题 6 字符"/>
    <w:link w:val="7"/>
    <w:qFormat/>
    <w:uiPriority w:val="0"/>
    <w:rPr>
      <w:rFonts w:ascii="Arial" w:hAnsi="Arial" w:eastAsia="黑体" w:cs="Times New Roman"/>
      <w:b/>
      <w:bCs/>
      <w:sz w:val="24"/>
      <w:szCs w:val="24"/>
    </w:rPr>
  </w:style>
  <w:style w:type="character" w:customStyle="1" w:styleId="42">
    <w:name w:val="标题 7 字符"/>
    <w:link w:val="8"/>
    <w:qFormat/>
    <w:uiPriority w:val="0"/>
    <w:rPr>
      <w:rFonts w:ascii="Times New Roman" w:hAnsi="Times New Roman" w:eastAsia="宋体" w:cs="Times New Roman"/>
      <w:b/>
      <w:bCs/>
      <w:sz w:val="24"/>
      <w:szCs w:val="24"/>
    </w:rPr>
  </w:style>
  <w:style w:type="character" w:customStyle="1" w:styleId="43">
    <w:name w:val="标题 8 字符"/>
    <w:link w:val="9"/>
    <w:qFormat/>
    <w:uiPriority w:val="0"/>
    <w:rPr>
      <w:rFonts w:ascii="Arial" w:hAnsi="Arial" w:eastAsia="黑体" w:cs="Times New Roman"/>
      <w:sz w:val="24"/>
      <w:szCs w:val="24"/>
    </w:rPr>
  </w:style>
  <w:style w:type="character" w:customStyle="1" w:styleId="44">
    <w:name w:val="标题 9 字符"/>
    <w:link w:val="10"/>
    <w:qFormat/>
    <w:uiPriority w:val="0"/>
    <w:rPr>
      <w:rFonts w:ascii="Arial" w:hAnsi="Arial" w:eastAsia="黑体" w:cs="Times New Roman"/>
      <w:szCs w:val="21"/>
    </w:rPr>
  </w:style>
  <w:style w:type="character" w:customStyle="1" w:styleId="45">
    <w:name w:val="页眉 字符"/>
    <w:link w:val="19"/>
    <w:qFormat/>
    <w:uiPriority w:val="99"/>
    <w:rPr>
      <w:rFonts w:ascii="Times New Roman" w:hAnsi="Times New Roman" w:eastAsia="宋体" w:cs="Times New Roman"/>
      <w:sz w:val="18"/>
      <w:szCs w:val="18"/>
    </w:rPr>
  </w:style>
  <w:style w:type="character" w:customStyle="1" w:styleId="46">
    <w:name w:val="页脚 字符"/>
    <w:link w:val="18"/>
    <w:qFormat/>
    <w:uiPriority w:val="99"/>
    <w:rPr>
      <w:rFonts w:ascii="宋体" w:hAnsi="Times New Roman" w:eastAsia="宋体" w:cs="Times New Roman"/>
      <w:sz w:val="18"/>
      <w:szCs w:val="18"/>
    </w:rPr>
  </w:style>
  <w:style w:type="character" w:customStyle="1" w:styleId="47">
    <w:name w:val="批注框文本 字符"/>
    <w:link w:val="17"/>
    <w:semiHidden/>
    <w:qFormat/>
    <w:uiPriority w:val="99"/>
    <w:rPr>
      <w:sz w:val="18"/>
      <w:szCs w:val="18"/>
    </w:rPr>
  </w:style>
  <w:style w:type="paragraph" w:styleId="48">
    <w:name w:val="Quote"/>
    <w:basedOn w:val="1"/>
    <w:next w:val="1"/>
    <w:link w:val="49"/>
    <w:qFormat/>
    <w:uiPriority w:val="29"/>
    <w:rPr>
      <w:i/>
      <w:iCs/>
      <w:color w:val="000000"/>
    </w:rPr>
  </w:style>
  <w:style w:type="character" w:customStyle="1" w:styleId="49">
    <w:name w:val="引用 字符"/>
    <w:link w:val="48"/>
    <w:qFormat/>
    <w:uiPriority w:val="29"/>
    <w:rPr>
      <w:i/>
      <w:iCs/>
      <w:color w:val="000000"/>
    </w:rPr>
  </w:style>
  <w:style w:type="character" w:customStyle="1" w:styleId="50">
    <w:name w:val="标题 字符"/>
    <w:link w:val="26"/>
    <w:qFormat/>
    <w:uiPriority w:val="0"/>
    <w:rPr>
      <w:rFonts w:ascii="Arial" w:hAnsi="Arial" w:eastAsia="宋体" w:cs="Arial"/>
      <w:b/>
      <w:bCs/>
      <w:sz w:val="32"/>
      <w:szCs w:val="32"/>
    </w:rPr>
  </w:style>
  <w:style w:type="paragraph" w:customStyle="1" w:styleId="51">
    <w:name w:val="标准标志"/>
    <w:next w:val="1"/>
    <w:qFormat/>
    <w:uiPriority w:val="0"/>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52">
    <w:name w:val="标准称谓"/>
    <w:next w:val="1"/>
    <w:qFormat/>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w w:val="148"/>
      <w:sz w:val="52"/>
      <w:lang w:val="en-US" w:eastAsia="zh-CN" w:bidi="ar-SA"/>
    </w:rPr>
  </w:style>
  <w:style w:type="paragraph" w:customStyle="1" w:styleId="53">
    <w:name w:val="标准文件_页脚偶数页"/>
    <w:qFormat/>
    <w:uiPriority w:val="0"/>
    <w:pPr>
      <w:ind w:left="198"/>
    </w:pPr>
    <w:rPr>
      <w:rFonts w:ascii="宋体" w:hAnsi="Times New Roman" w:eastAsia="宋体" w:cs="Times New Roman"/>
      <w:sz w:val="18"/>
      <w:lang w:val="en-US" w:eastAsia="zh-CN" w:bidi="ar-SA"/>
    </w:rPr>
  </w:style>
  <w:style w:type="paragraph" w:customStyle="1" w:styleId="54">
    <w:name w:val="标准文件_页脚奇数页"/>
    <w:qFormat/>
    <w:uiPriority w:val="0"/>
    <w:pPr>
      <w:ind w:right="227"/>
      <w:jc w:val="right"/>
    </w:pPr>
    <w:rPr>
      <w:rFonts w:ascii="宋体" w:hAnsi="Times New Roman" w:eastAsia="宋体" w:cs="Times New Roman"/>
      <w:sz w:val="18"/>
      <w:lang w:val="en-US" w:eastAsia="zh-CN" w:bidi="ar-SA"/>
    </w:rPr>
  </w:style>
  <w:style w:type="paragraph" w:customStyle="1" w:styleId="55">
    <w:name w:val="标准书眉一"/>
    <w:qFormat/>
    <w:uiPriority w:val="0"/>
    <w:pPr>
      <w:jc w:val="both"/>
    </w:pPr>
    <w:rPr>
      <w:rFonts w:ascii="Times New Roman" w:hAnsi="Times New Roman" w:eastAsia="宋体" w:cs="Times New Roman"/>
      <w:lang w:val="en-US" w:eastAsia="zh-CN" w:bidi="ar-SA"/>
    </w:rPr>
  </w:style>
  <w:style w:type="paragraph" w:customStyle="1" w:styleId="56">
    <w:name w:val="标准文件_ICS"/>
    <w:basedOn w:val="1"/>
    <w:qFormat/>
    <w:uiPriority w:val="0"/>
    <w:pPr>
      <w:spacing w:line="0" w:lineRule="atLeast"/>
    </w:pPr>
    <w:rPr>
      <w:rFonts w:ascii="黑体" w:hAnsi="宋体" w:eastAsia="黑体"/>
    </w:rPr>
  </w:style>
  <w:style w:type="paragraph" w:customStyle="1" w:styleId="57">
    <w:name w:val="标准文件_标准正文"/>
    <w:basedOn w:val="1"/>
    <w:next w:val="58"/>
    <w:qFormat/>
    <w:uiPriority w:val="0"/>
    <w:pPr>
      <w:snapToGrid w:val="0"/>
      <w:ind w:firstLine="200" w:firstLineChars="200"/>
    </w:pPr>
    <w:rPr>
      <w:kern w:val="0"/>
    </w:rPr>
  </w:style>
  <w:style w:type="paragraph" w:customStyle="1" w:styleId="58">
    <w:name w:val="标准文件_段"/>
    <w:link w:val="186"/>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59">
    <w:name w:val="标准文件_版本"/>
    <w:basedOn w:val="57"/>
    <w:qFormat/>
    <w:uiPriority w:val="0"/>
    <w:pPr>
      <w:adjustRightInd/>
      <w:snapToGrid/>
      <w:ind w:firstLine="0" w:firstLineChars="0"/>
    </w:pPr>
    <w:rPr>
      <w:rFonts w:ascii="宋体" w:hAnsi="宋体"/>
      <w:kern w:val="2"/>
    </w:rPr>
  </w:style>
  <w:style w:type="paragraph" w:customStyle="1" w:styleId="60">
    <w:name w:val="标准文件_标准部门"/>
    <w:basedOn w:val="1"/>
    <w:qFormat/>
    <w:uiPriority w:val="0"/>
    <w:pPr>
      <w:jc w:val="center"/>
    </w:pPr>
    <w:rPr>
      <w:rFonts w:ascii="黑体" w:eastAsia="黑体"/>
      <w:kern w:val="0"/>
      <w:sz w:val="44"/>
    </w:rPr>
  </w:style>
  <w:style w:type="paragraph" w:customStyle="1" w:styleId="61">
    <w:name w:val="标准文件_标准代替"/>
    <w:basedOn w:val="1"/>
    <w:next w:val="1"/>
    <w:qFormat/>
    <w:uiPriority w:val="0"/>
    <w:pPr>
      <w:spacing w:line="310" w:lineRule="exact"/>
      <w:jc w:val="right"/>
    </w:pPr>
    <w:rPr>
      <w:rFonts w:ascii="宋体" w:hAnsi="宋体"/>
      <w:kern w:val="0"/>
    </w:rPr>
  </w:style>
  <w:style w:type="paragraph" w:customStyle="1" w:styleId="62">
    <w:name w:val="标准文件_标准名称标题"/>
    <w:basedOn w:val="1"/>
    <w:next w:val="1"/>
    <w:qFormat/>
    <w:uiPriority w:val="0"/>
    <w:pPr>
      <w:widowControl/>
      <w:shd w:val="clear" w:color="FFFFFF" w:fill="FFFFFF"/>
      <w:adjustRightInd/>
      <w:spacing w:before="640" w:after="100"/>
      <w:jc w:val="center"/>
    </w:pPr>
    <w:rPr>
      <w:rFonts w:ascii="黑体" w:eastAsia="黑体"/>
      <w:kern w:val="0"/>
      <w:sz w:val="32"/>
    </w:rPr>
  </w:style>
  <w:style w:type="paragraph" w:customStyle="1" w:styleId="63">
    <w:name w:val="标准文件_页眉奇数页"/>
    <w:next w:val="1"/>
    <w:qFormat/>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64">
    <w:name w:val="标准文件_页眉偶数页"/>
    <w:basedOn w:val="63"/>
    <w:next w:val="1"/>
    <w:qFormat/>
    <w:uiPriority w:val="0"/>
    <w:pPr>
      <w:jc w:val="left"/>
    </w:pPr>
  </w:style>
  <w:style w:type="paragraph" w:customStyle="1" w:styleId="65">
    <w:name w:val="标准文件_参考文献标题"/>
    <w:basedOn w:val="1"/>
    <w:next w:val="1"/>
    <w:qFormat/>
    <w:uiPriority w:val="0"/>
    <w:pPr>
      <w:widowControl/>
      <w:shd w:val="clear" w:color="FFFFFF" w:fill="FFFFFF"/>
      <w:adjustRightInd/>
      <w:spacing w:beforeLines="40" w:afterLines="50" w:line="240" w:lineRule="auto"/>
      <w:jc w:val="center"/>
      <w:outlineLvl w:val="0"/>
    </w:pPr>
    <w:rPr>
      <w:rFonts w:ascii="黑体" w:eastAsia="黑体"/>
      <w:kern w:val="0"/>
    </w:rPr>
  </w:style>
  <w:style w:type="paragraph" w:customStyle="1" w:styleId="66">
    <w:name w:val="标准文件_参考文献条目"/>
    <w:qFormat/>
    <w:uiPriority w:val="0"/>
    <w:pPr>
      <w:numPr>
        <w:ilvl w:val="0"/>
        <w:numId w:val="1"/>
      </w:numPr>
    </w:pPr>
    <w:rPr>
      <w:rFonts w:ascii="宋体" w:hAnsi="Times New Roman" w:eastAsia="宋体" w:cs="Times New Roman"/>
      <w:lang w:val="en-US" w:eastAsia="zh-CN" w:bidi="ar-SA"/>
    </w:rPr>
  </w:style>
  <w:style w:type="paragraph" w:customStyle="1" w:styleId="67">
    <w:name w:val="标准文件_二级条标题"/>
    <w:next w:val="58"/>
    <w:qFormat/>
    <w:uiPriority w:val="0"/>
    <w:pPr>
      <w:widowControl w:val="0"/>
      <w:numPr>
        <w:ilvl w:val="3"/>
        <w:numId w:val="2"/>
      </w:numPr>
      <w:spacing w:beforeLines="50" w:afterLines="50"/>
      <w:jc w:val="both"/>
      <w:outlineLvl w:val="2"/>
    </w:pPr>
    <w:rPr>
      <w:rFonts w:ascii="黑体" w:hAnsi="Times New Roman" w:eastAsia="黑体" w:cs="Times New Roman"/>
      <w:sz w:val="21"/>
      <w:lang w:val="en-US" w:eastAsia="zh-CN" w:bidi="ar-SA"/>
    </w:rPr>
  </w:style>
  <w:style w:type="character" w:customStyle="1" w:styleId="68">
    <w:name w:val="标准文件_发布"/>
    <w:qFormat/>
    <w:uiPriority w:val="0"/>
    <w:rPr>
      <w:rFonts w:ascii="黑体" w:eastAsia="黑体"/>
      <w:spacing w:val="0"/>
      <w:w w:val="100"/>
      <w:position w:val="3"/>
      <w:sz w:val="28"/>
    </w:rPr>
  </w:style>
  <w:style w:type="paragraph" w:customStyle="1" w:styleId="69">
    <w:name w:val="标准文件_方框数字列项"/>
    <w:basedOn w:val="58"/>
    <w:qFormat/>
    <w:uiPriority w:val="0"/>
    <w:pPr>
      <w:numPr>
        <w:ilvl w:val="0"/>
        <w:numId w:val="3"/>
      </w:numPr>
      <w:ind w:firstLine="0" w:firstLineChars="0"/>
    </w:pPr>
  </w:style>
  <w:style w:type="paragraph" w:customStyle="1" w:styleId="70">
    <w:name w:val="标准文件_封面标准编号"/>
    <w:basedOn w:val="1"/>
    <w:next w:val="61"/>
    <w:qFormat/>
    <w:uiPriority w:val="0"/>
    <w:pPr>
      <w:spacing w:line="310" w:lineRule="exact"/>
      <w:jc w:val="right"/>
    </w:pPr>
    <w:rPr>
      <w:rFonts w:ascii="黑体" w:eastAsia="黑体"/>
      <w:kern w:val="0"/>
      <w:sz w:val="28"/>
    </w:rPr>
  </w:style>
  <w:style w:type="paragraph" w:customStyle="1" w:styleId="71">
    <w:name w:val="标准文件_封面标准分类号"/>
    <w:basedOn w:val="1"/>
    <w:qFormat/>
    <w:uiPriority w:val="0"/>
    <w:rPr>
      <w:rFonts w:ascii="黑体" w:eastAsia="黑体"/>
      <w:b/>
      <w:kern w:val="0"/>
      <w:sz w:val="28"/>
    </w:rPr>
  </w:style>
  <w:style w:type="paragraph" w:customStyle="1" w:styleId="72">
    <w:name w:val="标准文件_封面标准名称"/>
    <w:basedOn w:val="1"/>
    <w:qFormat/>
    <w:uiPriority w:val="0"/>
    <w:pPr>
      <w:spacing w:line="240" w:lineRule="auto"/>
      <w:jc w:val="center"/>
    </w:pPr>
    <w:rPr>
      <w:rFonts w:ascii="黑体" w:eastAsia="黑体"/>
      <w:kern w:val="0"/>
      <w:sz w:val="52"/>
    </w:rPr>
  </w:style>
  <w:style w:type="paragraph" w:customStyle="1" w:styleId="73">
    <w:name w:val="标准文件_封面标准英文名称"/>
    <w:basedOn w:val="1"/>
    <w:qFormat/>
    <w:uiPriority w:val="0"/>
    <w:pPr>
      <w:spacing w:line="240" w:lineRule="auto"/>
      <w:jc w:val="center"/>
    </w:pPr>
    <w:rPr>
      <w:rFonts w:ascii="黑体" w:eastAsia="黑体"/>
      <w:b/>
      <w:sz w:val="28"/>
    </w:rPr>
  </w:style>
  <w:style w:type="paragraph" w:customStyle="1" w:styleId="74">
    <w:name w:val="标准文件_封面发布日期"/>
    <w:basedOn w:val="1"/>
    <w:qFormat/>
    <w:uiPriority w:val="0"/>
    <w:pPr>
      <w:spacing w:line="310" w:lineRule="exact"/>
    </w:pPr>
    <w:rPr>
      <w:rFonts w:ascii="黑体" w:eastAsia="黑体"/>
      <w:kern w:val="0"/>
      <w:sz w:val="28"/>
    </w:rPr>
  </w:style>
  <w:style w:type="paragraph" w:customStyle="1" w:styleId="75">
    <w:name w:val="标准文件_封面密级"/>
    <w:basedOn w:val="1"/>
    <w:qFormat/>
    <w:uiPriority w:val="0"/>
    <w:rPr>
      <w:rFonts w:eastAsia="黑体"/>
      <w:sz w:val="32"/>
    </w:rPr>
  </w:style>
  <w:style w:type="paragraph" w:customStyle="1" w:styleId="76">
    <w:name w:val="标准文件_封面实施日期"/>
    <w:basedOn w:val="1"/>
    <w:qFormat/>
    <w:uiPriority w:val="0"/>
    <w:pPr>
      <w:spacing w:line="310" w:lineRule="exact"/>
      <w:jc w:val="right"/>
    </w:pPr>
    <w:rPr>
      <w:rFonts w:ascii="黑体" w:eastAsia="黑体"/>
      <w:sz w:val="28"/>
    </w:rPr>
  </w:style>
  <w:style w:type="paragraph" w:customStyle="1" w:styleId="77">
    <w:name w:val="标准文件_封面抬头"/>
    <w:basedOn w:val="58"/>
    <w:qFormat/>
    <w:uiPriority w:val="0"/>
    <w:pPr>
      <w:adjustRightInd w:val="0"/>
      <w:spacing w:line="800" w:lineRule="exact"/>
      <w:ind w:firstLine="0" w:firstLineChars="0"/>
      <w:jc w:val="distribute"/>
    </w:pPr>
    <w:rPr>
      <w:rFonts w:ascii="黑体" w:eastAsia="黑体"/>
      <w:b/>
      <w:sz w:val="64"/>
    </w:rPr>
  </w:style>
  <w:style w:type="paragraph" w:customStyle="1" w:styleId="78">
    <w:name w:val="标准文件_附录标识"/>
    <w:next w:val="58"/>
    <w:qFormat/>
    <w:uiPriority w:val="0"/>
    <w:pPr>
      <w:numPr>
        <w:ilvl w:val="0"/>
        <w:numId w:val="4"/>
      </w:numPr>
      <w:shd w:val="clear" w:color="FFFFFF" w:fill="FFFFFF"/>
      <w:tabs>
        <w:tab w:val="left" w:pos="6406"/>
      </w:tabs>
      <w:spacing w:beforeLines="25" w:afterLines="50"/>
      <w:jc w:val="center"/>
      <w:outlineLvl w:val="0"/>
    </w:pPr>
    <w:rPr>
      <w:rFonts w:ascii="黑体" w:hAnsi="Times New Roman" w:eastAsia="黑体" w:cs="Times New Roman"/>
      <w:sz w:val="21"/>
      <w:lang w:val="en-US" w:eastAsia="zh-CN" w:bidi="ar-SA"/>
    </w:rPr>
  </w:style>
  <w:style w:type="paragraph" w:customStyle="1" w:styleId="79">
    <w:name w:val="标准文件_附录表标题"/>
    <w:next w:val="58"/>
    <w:qFormat/>
    <w:uiPriority w:val="0"/>
    <w:pPr>
      <w:numPr>
        <w:ilvl w:val="1"/>
        <w:numId w:val="5"/>
      </w:numPr>
      <w:adjustRightInd w:val="0"/>
      <w:snapToGrid w:val="0"/>
      <w:spacing w:beforeLines="50" w:afterLines="50"/>
      <w:ind w:firstLine="420"/>
      <w:jc w:val="center"/>
      <w:textAlignment w:val="baseline"/>
    </w:pPr>
    <w:rPr>
      <w:rFonts w:ascii="黑体" w:hAnsi="Times New Roman" w:eastAsia="黑体" w:cs="Times New Roman"/>
      <w:kern w:val="21"/>
      <w:sz w:val="21"/>
      <w:lang w:val="en-US" w:eastAsia="zh-CN" w:bidi="ar-SA"/>
    </w:rPr>
  </w:style>
  <w:style w:type="paragraph" w:customStyle="1" w:styleId="80">
    <w:name w:val="标准文件_附录一级条标题"/>
    <w:next w:val="58"/>
    <w:qFormat/>
    <w:uiPriority w:val="0"/>
    <w:pPr>
      <w:widowControl w:val="0"/>
      <w:numPr>
        <w:ilvl w:val="1"/>
        <w:numId w:val="4"/>
      </w:numPr>
      <w:spacing w:beforeLines="50" w:afterLines="50"/>
      <w:jc w:val="both"/>
      <w:outlineLvl w:val="2"/>
    </w:pPr>
    <w:rPr>
      <w:rFonts w:ascii="黑体" w:hAnsi="Times New Roman" w:eastAsia="黑体" w:cs="Times New Roman"/>
      <w:kern w:val="21"/>
      <w:sz w:val="21"/>
      <w:lang w:val="en-US" w:eastAsia="zh-CN" w:bidi="ar-SA"/>
    </w:rPr>
  </w:style>
  <w:style w:type="paragraph" w:customStyle="1" w:styleId="81">
    <w:name w:val="标准文件_附录二级条标题"/>
    <w:basedOn w:val="80"/>
    <w:next w:val="58"/>
    <w:qFormat/>
    <w:uiPriority w:val="0"/>
    <w:pPr>
      <w:widowControl/>
      <w:numPr>
        <w:ilvl w:val="2"/>
      </w:numPr>
      <w:wordWrap w:val="0"/>
      <w:overflowPunct w:val="0"/>
      <w:autoSpaceDE w:val="0"/>
      <w:autoSpaceDN w:val="0"/>
      <w:textAlignment w:val="baseline"/>
      <w:outlineLvl w:val="3"/>
    </w:pPr>
  </w:style>
  <w:style w:type="paragraph" w:customStyle="1" w:styleId="82">
    <w:name w:val="标准文件_附录公式"/>
    <w:basedOn w:val="57"/>
    <w:next w:val="57"/>
    <w:qFormat/>
    <w:uiPriority w:val="0"/>
    <w:pPr>
      <w:tabs>
        <w:tab w:val="center" w:pos="4678"/>
        <w:tab w:val="right" w:leader="middleDot" w:pos="9356"/>
      </w:tabs>
      <w:spacing w:line="240" w:lineRule="auto"/>
      <w:ind w:right="-51" w:firstLine="0" w:firstLineChars="0"/>
    </w:pPr>
    <w:rPr>
      <w:rFonts w:ascii="宋体" w:hAnsi="宋体"/>
    </w:rPr>
  </w:style>
  <w:style w:type="paragraph" w:customStyle="1" w:styleId="83">
    <w:name w:val="标准文件_附录三级条标题"/>
    <w:next w:val="58"/>
    <w:qFormat/>
    <w:uiPriority w:val="0"/>
    <w:pPr>
      <w:widowControl w:val="0"/>
      <w:numPr>
        <w:ilvl w:val="3"/>
        <w:numId w:val="4"/>
      </w:numPr>
      <w:spacing w:beforeLines="50" w:afterLines="50"/>
      <w:jc w:val="both"/>
      <w:outlineLvl w:val="4"/>
    </w:pPr>
    <w:rPr>
      <w:rFonts w:ascii="黑体" w:hAnsi="Times New Roman" w:eastAsia="黑体" w:cs="Times New Roman"/>
      <w:kern w:val="21"/>
      <w:sz w:val="21"/>
      <w:lang w:val="en-US" w:eastAsia="zh-CN" w:bidi="ar-SA"/>
    </w:rPr>
  </w:style>
  <w:style w:type="paragraph" w:customStyle="1" w:styleId="84">
    <w:name w:val="标准文件_附录四级条标题"/>
    <w:next w:val="58"/>
    <w:qFormat/>
    <w:uiPriority w:val="0"/>
    <w:pPr>
      <w:widowControl w:val="0"/>
      <w:numPr>
        <w:ilvl w:val="4"/>
        <w:numId w:val="4"/>
      </w:numPr>
      <w:spacing w:beforeLines="50" w:afterLines="50"/>
      <w:jc w:val="both"/>
      <w:outlineLvl w:val="5"/>
    </w:pPr>
    <w:rPr>
      <w:rFonts w:ascii="黑体" w:hAnsi="Times New Roman" w:eastAsia="黑体" w:cs="Times New Roman"/>
      <w:kern w:val="21"/>
      <w:sz w:val="21"/>
      <w:lang w:val="en-US" w:eastAsia="zh-CN" w:bidi="ar-SA"/>
    </w:rPr>
  </w:style>
  <w:style w:type="paragraph" w:customStyle="1" w:styleId="85">
    <w:name w:val="标准文件_附录图标题"/>
    <w:next w:val="58"/>
    <w:qFormat/>
    <w:uiPriority w:val="0"/>
    <w:pPr>
      <w:numPr>
        <w:ilvl w:val="1"/>
        <w:numId w:val="6"/>
      </w:numPr>
      <w:adjustRightInd w:val="0"/>
      <w:snapToGrid w:val="0"/>
      <w:spacing w:beforeLines="50" w:afterLines="50"/>
      <w:ind w:firstLine="420"/>
      <w:jc w:val="center"/>
    </w:pPr>
    <w:rPr>
      <w:rFonts w:ascii="黑体" w:hAnsi="Times New Roman" w:eastAsia="黑体" w:cs="Times New Roman"/>
      <w:sz w:val="21"/>
      <w:lang w:val="en-US" w:eastAsia="zh-CN" w:bidi="ar-SA"/>
    </w:rPr>
  </w:style>
  <w:style w:type="paragraph" w:customStyle="1" w:styleId="86">
    <w:name w:val="标准文件_附录五级条标题"/>
    <w:next w:val="58"/>
    <w:qFormat/>
    <w:uiPriority w:val="0"/>
    <w:pPr>
      <w:widowControl w:val="0"/>
      <w:numPr>
        <w:ilvl w:val="5"/>
        <w:numId w:val="4"/>
      </w:numPr>
      <w:spacing w:beforeLines="50" w:afterLines="50"/>
      <w:jc w:val="both"/>
      <w:outlineLvl w:val="6"/>
    </w:pPr>
    <w:rPr>
      <w:rFonts w:ascii="黑体" w:hAnsi="Times New Roman" w:eastAsia="黑体" w:cs="Times New Roman"/>
      <w:kern w:val="21"/>
      <w:sz w:val="21"/>
      <w:lang w:val="en-US" w:eastAsia="zh-CN" w:bidi="ar-SA"/>
    </w:rPr>
  </w:style>
  <w:style w:type="paragraph" w:customStyle="1" w:styleId="87">
    <w:name w:val="标准文件_附录英文标识"/>
    <w:next w:val="14"/>
    <w:qFormat/>
    <w:uiPriority w:val="0"/>
    <w:pPr>
      <w:numPr>
        <w:ilvl w:val="0"/>
        <w:numId w:val="7"/>
      </w:numPr>
      <w:tabs>
        <w:tab w:val="left" w:pos="6406"/>
      </w:tabs>
      <w:spacing w:before="220" w:after="320"/>
      <w:jc w:val="center"/>
      <w:outlineLvl w:val="0"/>
    </w:pPr>
    <w:rPr>
      <w:rFonts w:ascii="黑体" w:hAnsi="Times New Roman" w:eastAsia="黑体" w:cs="Times New Roman"/>
      <w:sz w:val="21"/>
      <w:lang w:val="en-US" w:eastAsia="zh-CN" w:bidi="ar-SA"/>
    </w:rPr>
  </w:style>
  <w:style w:type="character" w:customStyle="1" w:styleId="88">
    <w:name w:val="正文文本 字符"/>
    <w:link w:val="14"/>
    <w:qFormat/>
    <w:uiPriority w:val="0"/>
    <w:rPr>
      <w:rFonts w:ascii="Times New Roman" w:hAnsi="Times New Roman" w:eastAsia="宋体" w:cs="Times New Roman"/>
      <w:szCs w:val="20"/>
    </w:rPr>
  </w:style>
  <w:style w:type="paragraph" w:customStyle="1" w:styleId="89">
    <w:name w:val="标准文件_附录章标题"/>
    <w:next w:val="58"/>
    <w:qFormat/>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90">
    <w:name w:val="标准文件_公式后的破折号"/>
    <w:basedOn w:val="58"/>
    <w:next w:val="58"/>
    <w:qFormat/>
    <w:uiPriority w:val="0"/>
    <w:pPr>
      <w:ind w:left="488" w:leftChars="200" w:hanging="289" w:hangingChars="290"/>
    </w:pPr>
  </w:style>
  <w:style w:type="paragraph" w:customStyle="1" w:styleId="91">
    <w:name w:val="标准文件_前言、引言标题"/>
    <w:next w:val="1"/>
    <w:qFormat/>
    <w:uiPriority w:val="0"/>
    <w:pPr>
      <w:numPr>
        <w:ilvl w:val="0"/>
        <w:numId w:val="8"/>
      </w:numPr>
      <w:shd w:val="clear" w:color="FFFFFF" w:fill="FFFFFF"/>
      <w:spacing w:afterLines="150"/>
      <w:ind w:left="0" w:firstLine="0"/>
      <w:jc w:val="center"/>
      <w:outlineLvl w:val="0"/>
    </w:pPr>
    <w:rPr>
      <w:rFonts w:ascii="黑体" w:hAnsi="Times New Roman" w:eastAsia="黑体" w:cs="Times New Roman"/>
      <w:sz w:val="32"/>
      <w:lang w:val="en-US" w:eastAsia="zh-CN" w:bidi="ar-SA"/>
    </w:rPr>
  </w:style>
  <w:style w:type="paragraph" w:customStyle="1" w:styleId="92">
    <w:name w:val="标准文件_目次、标准名称标题"/>
    <w:basedOn w:val="91"/>
    <w:next w:val="58"/>
    <w:qFormat/>
    <w:uiPriority w:val="0"/>
    <w:pPr>
      <w:spacing w:line="460" w:lineRule="exact"/>
    </w:pPr>
  </w:style>
  <w:style w:type="paragraph" w:customStyle="1" w:styleId="93">
    <w:name w:val="标准文件_目录标题"/>
    <w:basedOn w:val="1"/>
    <w:qFormat/>
    <w:uiPriority w:val="0"/>
    <w:pPr>
      <w:spacing w:afterLines="150" w:line="240" w:lineRule="auto"/>
      <w:jc w:val="center"/>
    </w:pPr>
    <w:rPr>
      <w:rFonts w:ascii="黑体" w:eastAsia="黑体"/>
      <w:sz w:val="32"/>
    </w:rPr>
  </w:style>
  <w:style w:type="paragraph" w:customStyle="1" w:styleId="94">
    <w:name w:val="标准文件_破折号列项"/>
    <w:qFormat/>
    <w:uiPriority w:val="0"/>
    <w:pPr>
      <w:numPr>
        <w:ilvl w:val="0"/>
        <w:numId w:val="9"/>
      </w:numPr>
      <w:adjustRightInd w:val="0"/>
      <w:snapToGrid w:val="0"/>
      <w:ind w:left="0" w:firstLine="200" w:firstLineChars="200"/>
    </w:pPr>
    <w:rPr>
      <w:rFonts w:ascii="Times New Roman" w:hAnsi="Times New Roman" w:eastAsia="宋体" w:cs="Times New Roman"/>
      <w:sz w:val="21"/>
      <w:lang w:val="en-US" w:eastAsia="zh-CN" w:bidi="ar-SA"/>
    </w:rPr>
  </w:style>
  <w:style w:type="paragraph" w:customStyle="1" w:styleId="95">
    <w:name w:val="标准文件_破折号列项（二级）"/>
    <w:basedOn w:val="94"/>
    <w:qFormat/>
    <w:uiPriority w:val="0"/>
    <w:pPr>
      <w:numPr>
        <w:numId w:val="10"/>
      </w:numPr>
      <w:ind w:left="0" w:firstLine="200"/>
    </w:pPr>
  </w:style>
  <w:style w:type="paragraph" w:customStyle="1" w:styleId="96">
    <w:name w:val="标准文件_三级条标题"/>
    <w:basedOn w:val="67"/>
    <w:next w:val="58"/>
    <w:qFormat/>
    <w:uiPriority w:val="0"/>
    <w:pPr>
      <w:widowControl/>
      <w:numPr>
        <w:ilvl w:val="4"/>
      </w:numPr>
      <w:outlineLvl w:val="3"/>
    </w:pPr>
  </w:style>
  <w:style w:type="character" w:customStyle="1" w:styleId="97">
    <w:name w:val="Subtle Reference"/>
    <w:qFormat/>
    <w:uiPriority w:val="31"/>
    <w:rPr>
      <w:smallCaps/>
      <w:color w:val="C0504D"/>
      <w:u w:val="single"/>
    </w:rPr>
  </w:style>
  <w:style w:type="paragraph" w:customStyle="1" w:styleId="98">
    <w:name w:val="标准文件_示例后续"/>
    <w:basedOn w:val="1"/>
    <w:qFormat/>
    <w:uiPriority w:val="0"/>
    <w:pPr>
      <w:adjustRightInd/>
      <w:spacing w:line="240" w:lineRule="auto"/>
      <w:ind w:firstLine="200" w:firstLineChars="200"/>
    </w:pPr>
    <w:rPr>
      <w:sz w:val="18"/>
      <w:szCs w:val="24"/>
    </w:rPr>
  </w:style>
  <w:style w:type="paragraph" w:customStyle="1" w:styleId="99">
    <w:name w:val="标准文件_数字编号列项"/>
    <w:qFormat/>
    <w:uiPriority w:val="0"/>
    <w:pPr>
      <w:numPr>
        <w:ilvl w:val="0"/>
        <w:numId w:val="11"/>
      </w:numPr>
      <w:jc w:val="both"/>
    </w:pPr>
    <w:rPr>
      <w:rFonts w:ascii="宋体" w:hAnsi="宋体" w:eastAsia="宋体" w:cs="Times New Roman"/>
      <w:sz w:val="21"/>
      <w:lang w:val="en-US" w:eastAsia="zh-CN" w:bidi="ar-SA"/>
    </w:rPr>
  </w:style>
  <w:style w:type="paragraph" w:customStyle="1" w:styleId="100">
    <w:name w:val="标准文件_四级条标题"/>
    <w:next w:val="58"/>
    <w:qFormat/>
    <w:uiPriority w:val="0"/>
    <w:pPr>
      <w:widowControl w:val="0"/>
      <w:numPr>
        <w:ilvl w:val="5"/>
        <w:numId w:val="2"/>
      </w:numPr>
      <w:spacing w:beforeLines="50" w:afterLines="50"/>
      <w:jc w:val="both"/>
      <w:outlineLvl w:val="4"/>
    </w:pPr>
    <w:rPr>
      <w:rFonts w:ascii="黑体" w:hAnsi="Times New Roman" w:eastAsia="黑体" w:cs="Times New Roman"/>
      <w:sz w:val="21"/>
      <w:lang w:val="en-US" w:eastAsia="zh-CN" w:bidi="ar-SA"/>
    </w:rPr>
  </w:style>
  <w:style w:type="character" w:customStyle="1" w:styleId="101">
    <w:name w:val="脚注文本 字符"/>
    <w:link w:val="22"/>
    <w:semiHidden/>
    <w:qFormat/>
    <w:uiPriority w:val="0"/>
    <w:rPr>
      <w:rFonts w:ascii="宋体" w:hAnsi="Times New Roman" w:eastAsia="宋体" w:cs="Times New Roman"/>
      <w:sz w:val="18"/>
      <w:szCs w:val="18"/>
    </w:rPr>
  </w:style>
  <w:style w:type="paragraph" w:customStyle="1" w:styleId="102">
    <w:name w:val="标准文件_条文脚注"/>
    <w:basedOn w:val="22"/>
    <w:qFormat/>
    <w:uiPriority w:val="0"/>
    <w:pPr>
      <w:adjustRightInd w:val="0"/>
      <w:spacing w:line="240" w:lineRule="auto"/>
      <w:ind w:left="0" w:leftChars="0" w:firstLine="200" w:firstLineChars="200"/>
      <w:jc w:val="both"/>
    </w:pPr>
    <w:rPr>
      <w:rFonts w:hAnsi="宋体"/>
    </w:rPr>
  </w:style>
  <w:style w:type="paragraph" w:customStyle="1" w:styleId="103">
    <w:name w:val="标准文件_图表脚注"/>
    <w:basedOn w:val="1"/>
    <w:next w:val="58"/>
    <w:qFormat/>
    <w:uiPriority w:val="0"/>
    <w:pPr>
      <w:numPr>
        <w:ilvl w:val="0"/>
        <w:numId w:val="12"/>
      </w:numPr>
      <w:spacing w:line="240" w:lineRule="auto"/>
      <w:jc w:val="left"/>
    </w:pPr>
    <w:rPr>
      <w:rFonts w:ascii="宋体" w:hAnsi="宋体"/>
      <w:sz w:val="18"/>
    </w:rPr>
  </w:style>
  <w:style w:type="character" w:customStyle="1" w:styleId="104">
    <w:name w:val="标准文件_图表脚注内容"/>
    <w:qFormat/>
    <w:uiPriority w:val="0"/>
    <w:rPr>
      <w:rFonts w:ascii="宋体" w:hAnsi="宋体" w:eastAsia="宋体" w:cs="Times New Roman"/>
      <w:spacing w:val="0"/>
      <w:sz w:val="18"/>
      <w:vertAlign w:val="superscript"/>
    </w:rPr>
  </w:style>
  <w:style w:type="paragraph" w:customStyle="1" w:styleId="105">
    <w:name w:val="标准文件_五级条标题"/>
    <w:next w:val="58"/>
    <w:qFormat/>
    <w:uiPriority w:val="0"/>
    <w:pPr>
      <w:widowControl w:val="0"/>
      <w:numPr>
        <w:ilvl w:val="6"/>
        <w:numId w:val="2"/>
      </w:numPr>
      <w:spacing w:beforeLines="50" w:afterLines="50"/>
      <w:jc w:val="both"/>
      <w:outlineLvl w:val="5"/>
    </w:pPr>
    <w:rPr>
      <w:rFonts w:ascii="黑体" w:hAnsi="Times New Roman" w:eastAsia="黑体" w:cs="Times New Roman"/>
      <w:sz w:val="21"/>
      <w:lang w:val="en-US" w:eastAsia="zh-CN" w:bidi="ar-SA"/>
    </w:rPr>
  </w:style>
  <w:style w:type="paragraph" w:customStyle="1" w:styleId="106">
    <w:name w:val="标准文件_章标题"/>
    <w:next w:val="58"/>
    <w:qFormat/>
    <w:uiPriority w:val="0"/>
    <w:pPr>
      <w:numPr>
        <w:ilvl w:val="1"/>
        <w:numId w:val="2"/>
      </w:numPr>
      <w:spacing w:beforeLines="100" w:afterLines="100"/>
      <w:ind w:left="1135"/>
      <w:jc w:val="both"/>
      <w:outlineLvl w:val="0"/>
    </w:pPr>
    <w:rPr>
      <w:rFonts w:ascii="黑体" w:hAnsi="Times New Roman" w:eastAsia="黑体" w:cs="Times New Roman"/>
      <w:sz w:val="21"/>
      <w:lang w:val="en-US" w:eastAsia="zh-CN" w:bidi="ar-SA"/>
    </w:rPr>
  </w:style>
  <w:style w:type="paragraph" w:customStyle="1" w:styleId="107">
    <w:name w:val="标准文件_一级条标题"/>
    <w:basedOn w:val="106"/>
    <w:next w:val="58"/>
    <w:qFormat/>
    <w:uiPriority w:val="0"/>
    <w:pPr>
      <w:numPr>
        <w:ilvl w:val="2"/>
      </w:numPr>
      <w:spacing w:beforeLines="50" w:afterLines="50"/>
      <w:outlineLvl w:val="1"/>
    </w:pPr>
  </w:style>
  <w:style w:type="paragraph" w:customStyle="1" w:styleId="108">
    <w:name w:val="标准文件_一致程度"/>
    <w:basedOn w:val="1"/>
    <w:qFormat/>
    <w:uiPriority w:val="0"/>
    <w:pPr>
      <w:spacing w:line="440" w:lineRule="exact"/>
      <w:jc w:val="center"/>
    </w:pPr>
    <w:rPr>
      <w:sz w:val="28"/>
    </w:rPr>
  </w:style>
  <w:style w:type="paragraph" w:customStyle="1" w:styleId="109">
    <w:name w:val="标准文件_引言标题"/>
    <w:next w:val="1"/>
    <w:qFormat/>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10">
    <w:name w:val="标准文件_英文图表脚注"/>
    <w:basedOn w:val="57"/>
    <w:qFormat/>
    <w:uiPriority w:val="0"/>
    <w:pPr>
      <w:widowControl/>
      <w:adjustRightInd/>
      <w:snapToGrid/>
      <w:spacing w:line="240" w:lineRule="auto"/>
      <w:ind w:left="79" w:hanging="79" w:hangingChars="80"/>
    </w:pPr>
    <w:rPr>
      <w:rFonts w:ascii="宋体" w:hAnsi="宋体"/>
    </w:rPr>
  </w:style>
  <w:style w:type="paragraph" w:customStyle="1" w:styleId="111">
    <w:name w:val="标准文件_数字编号列项（二级）"/>
    <w:qFormat/>
    <w:uiPriority w:val="0"/>
    <w:pPr>
      <w:numPr>
        <w:ilvl w:val="1"/>
        <w:numId w:val="13"/>
      </w:numPr>
      <w:jc w:val="both"/>
    </w:pPr>
    <w:rPr>
      <w:rFonts w:ascii="宋体" w:hAnsi="Times New Roman" w:eastAsia="宋体" w:cs="Times New Roman"/>
      <w:sz w:val="21"/>
      <w:lang w:val="en-US" w:eastAsia="zh-CN" w:bidi="ar-SA"/>
    </w:rPr>
  </w:style>
  <w:style w:type="paragraph" w:customStyle="1" w:styleId="112">
    <w:name w:val="标准文件_英文注："/>
    <w:basedOn w:val="1"/>
    <w:next w:val="58"/>
    <w:qFormat/>
    <w:uiPriority w:val="0"/>
    <w:pPr>
      <w:numPr>
        <w:ilvl w:val="0"/>
        <w:numId w:val="14"/>
      </w:numPr>
      <w:tabs>
        <w:tab w:val="left" w:pos="420"/>
      </w:tabs>
      <w:autoSpaceDE w:val="0"/>
      <w:autoSpaceDN w:val="0"/>
      <w:spacing w:line="240" w:lineRule="auto"/>
    </w:pPr>
    <w:rPr>
      <w:rFonts w:ascii="宋体" w:hAnsi="宋体"/>
      <w:kern w:val="0"/>
      <w:sz w:val="18"/>
      <w:szCs w:val="20"/>
    </w:rPr>
  </w:style>
  <w:style w:type="paragraph" w:customStyle="1" w:styleId="113">
    <w:name w:val="标准文件_英文注×："/>
    <w:basedOn w:val="1"/>
    <w:qFormat/>
    <w:uiPriority w:val="0"/>
    <w:pPr>
      <w:numPr>
        <w:ilvl w:val="0"/>
        <w:numId w:val="15"/>
      </w:numPr>
      <w:tabs>
        <w:tab w:val="left" w:pos="210"/>
      </w:tabs>
      <w:autoSpaceDE w:val="0"/>
      <w:autoSpaceDN w:val="0"/>
      <w:spacing w:line="240" w:lineRule="auto"/>
    </w:pPr>
    <w:rPr>
      <w:rFonts w:ascii="宋体" w:hAnsi="宋体"/>
      <w:kern w:val="0"/>
      <w:szCs w:val="20"/>
    </w:rPr>
  </w:style>
  <w:style w:type="paragraph" w:customStyle="1" w:styleId="114">
    <w:name w:val="标准文件_正文表标题"/>
    <w:next w:val="58"/>
    <w:qFormat/>
    <w:uiPriority w:val="0"/>
    <w:pPr>
      <w:numPr>
        <w:ilvl w:val="0"/>
        <w:numId w:val="16"/>
      </w:numPr>
      <w:tabs>
        <w:tab w:val="left" w:pos="0"/>
      </w:tabs>
      <w:spacing w:beforeLines="50" w:afterLines="50"/>
      <w:jc w:val="center"/>
    </w:pPr>
    <w:rPr>
      <w:rFonts w:ascii="黑体" w:hAnsi="Times New Roman" w:eastAsia="黑体" w:cs="Times New Roman"/>
      <w:sz w:val="21"/>
      <w:lang w:val="en-US" w:eastAsia="zh-CN" w:bidi="ar-SA"/>
    </w:rPr>
  </w:style>
  <w:style w:type="paragraph" w:customStyle="1" w:styleId="115">
    <w:name w:val="标准文件_正文公式"/>
    <w:basedOn w:val="1"/>
    <w:next w:val="57"/>
    <w:qFormat/>
    <w:uiPriority w:val="0"/>
    <w:pPr>
      <w:tabs>
        <w:tab w:val="center" w:pos="4678"/>
        <w:tab w:val="right" w:leader="middleDot" w:pos="9356"/>
      </w:tabs>
      <w:spacing w:line="240" w:lineRule="auto"/>
    </w:pPr>
    <w:rPr>
      <w:rFonts w:ascii="宋体" w:hAnsi="宋体"/>
    </w:rPr>
  </w:style>
  <w:style w:type="paragraph" w:customStyle="1" w:styleId="116">
    <w:name w:val="标准文件_正文图标题"/>
    <w:next w:val="58"/>
    <w:qFormat/>
    <w:uiPriority w:val="0"/>
    <w:pPr>
      <w:numPr>
        <w:ilvl w:val="0"/>
        <w:numId w:val="17"/>
      </w:numPr>
      <w:spacing w:beforeLines="50" w:afterLines="50"/>
      <w:jc w:val="center"/>
    </w:pPr>
    <w:rPr>
      <w:rFonts w:ascii="黑体" w:hAnsi="Times New Roman" w:eastAsia="黑体" w:cs="Times New Roman"/>
      <w:sz w:val="21"/>
      <w:lang w:val="en-US" w:eastAsia="zh-CN" w:bidi="ar-SA"/>
    </w:rPr>
  </w:style>
  <w:style w:type="paragraph" w:customStyle="1" w:styleId="117">
    <w:name w:val="标准文件_正文英文表标题"/>
    <w:next w:val="58"/>
    <w:qFormat/>
    <w:uiPriority w:val="0"/>
    <w:pPr>
      <w:numPr>
        <w:ilvl w:val="0"/>
        <w:numId w:val="18"/>
      </w:numPr>
      <w:jc w:val="center"/>
    </w:pPr>
    <w:rPr>
      <w:rFonts w:ascii="黑体" w:hAnsi="Times New Roman" w:eastAsia="黑体" w:cs="Times New Roman"/>
      <w:sz w:val="21"/>
      <w:lang w:val="en-US" w:eastAsia="zh-CN" w:bidi="ar-SA"/>
    </w:rPr>
  </w:style>
  <w:style w:type="paragraph" w:customStyle="1" w:styleId="118">
    <w:name w:val="标准文件_正文英文图标题"/>
    <w:next w:val="58"/>
    <w:qFormat/>
    <w:uiPriority w:val="0"/>
    <w:pPr>
      <w:numPr>
        <w:ilvl w:val="0"/>
        <w:numId w:val="19"/>
      </w:numPr>
      <w:jc w:val="center"/>
    </w:pPr>
    <w:rPr>
      <w:rFonts w:ascii="黑体" w:hAnsi="Times New Roman" w:eastAsia="黑体" w:cs="Times New Roman"/>
      <w:sz w:val="21"/>
      <w:lang w:val="en-US" w:eastAsia="zh-CN" w:bidi="ar-SA"/>
    </w:rPr>
  </w:style>
  <w:style w:type="paragraph" w:customStyle="1" w:styleId="119">
    <w:name w:val="标准文件_编号列项（三级）"/>
    <w:qFormat/>
    <w:uiPriority w:val="0"/>
    <w:pPr>
      <w:numPr>
        <w:ilvl w:val="2"/>
        <w:numId w:val="13"/>
      </w:numPr>
    </w:pPr>
    <w:rPr>
      <w:rFonts w:ascii="宋体" w:hAnsi="Times New Roman" w:eastAsia="宋体" w:cs="Times New Roman"/>
      <w:sz w:val="21"/>
      <w:lang w:val="en-US" w:eastAsia="zh-CN" w:bidi="ar-SA"/>
    </w:rPr>
  </w:style>
  <w:style w:type="paragraph" w:customStyle="1" w:styleId="120">
    <w:name w:val="二级无标题条"/>
    <w:basedOn w:val="1"/>
    <w:qFormat/>
    <w:uiPriority w:val="0"/>
    <w:pPr>
      <w:numPr>
        <w:ilvl w:val="3"/>
        <w:numId w:val="20"/>
      </w:numPr>
      <w:adjustRightInd/>
      <w:spacing w:line="240" w:lineRule="auto"/>
    </w:pPr>
    <w:rPr>
      <w:rFonts w:ascii="宋体" w:hAnsi="宋体"/>
      <w:szCs w:val="24"/>
    </w:rPr>
  </w:style>
  <w:style w:type="paragraph" w:customStyle="1" w:styleId="121">
    <w:name w:val="发布部门"/>
    <w:next w:val="58"/>
    <w:qFormat/>
    <w:uiPriority w:val="0"/>
    <w:pPr>
      <w:framePr w:w="7433" w:h="585" w:hRule="exact" w:hSpace="180" w:vSpace="180" w:wrap="around" w:vAnchor="margin" w:hAnchor="margin" w:xAlign="center" w:y="14401" w:anchorLock="1"/>
      <w:jc w:val="center"/>
    </w:pPr>
    <w:rPr>
      <w:rFonts w:ascii="宋体" w:hAnsi="Times New Roman" w:eastAsia="宋体" w:cs="Times New Roman"/>
      <w:b/>
      <w:w w:val="135"/>
      <w:sz w:val="36"/>
      <w:lang w:val="en-US" w:eastAsia="zh-CN" w:bidi="ar-SA"/>
    </w:rPr>
  </w:style>
  <w:style w:type="paragraph" w:customStyle="1" w:styleId="122">
    <w:name w:val="发布日期"/>
    <w:qFormat/>
    <w:uiPriority w:val="0"/>
    <w:pPr>
      <w:framePr w:w="4000" w:h="473" w:hRule="exact" w:hSpace="180" w:vSpace="180" w:wrap="around" w:vAnchor="margin" w:hAnchor="margin" w:y="13511" w:anchorLock="1"/>
    </w:pPr>
    <w:rPr>
      <w:rFonts w:ascii="Times New Roman" w:hAnsi="Times New Roman" w:eastAsia="黑体" w:cs="Times New Roman"/>
      <w:sz w:val="28"/>
      <w:lang w:val="en-US" w:eastAsia="zh-CN" w:bidi="ar-SA"/>
    </w:rPr>
  </w:style>
  <w:style w:type="paragraph" w:customStyle="1" w:styleId="123">
    <w:name w:val="封面标准代替信息"/>
    <w:basedOn w:val="1"/>
    <w:qFormat/>
    <w:uiPriority w:val="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124">
    <w:name w:val="封面标准名称"/>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25">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126">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127">
    <w:name w:val="封面标准英文名称"/>
    <w:qFormat/>
    <w:uiPriority w:val="0"/>
    <w:pPr>
      <w:widowControl w:val="0"/>
      <w:spacing w:line="360" w:lineRule="exact"/>
      <w:jc w:val="center"/>
    </w:pPr>
    <w:rPr>
      <w:rFonts w:ascii="Times New Roman" w:hAnsi="Times New Roman" w:eastAsia="宋体" w:cs="Times New Roman"/>
      <w:sz w:val="28"/>
      <w:lang w:val="en-US" w:eastAsia="zh-CN" w:bidi="ar-SA"/>
    </w:rPr>
  </w:style>
  <w:style w:type="paragraph" w:customStyle="1" w:styleId="128">
    <w:name w:val="封面一致性程度标识"/>
    <w:uiPriority w:val="0"/>
    <w:pPr>
      <w:spacing w:before="440" w:line="440" w:lineRule="exact"/>
      <w:jc w:val="center"/>
    </w:pPr>
    <w:rPr>
      <w:rFonts w:ascii="Times New Roman" w:hAnsi="Times New Roman" w:eastAsia="宋体" w:cs="Times New Roman"/>
      <w:sz w:val="28"/>
      <w:lang w:val="en-US" w:eastAsia="zh-CN" w:bidi="ar-SA"/>
    </w:rPr>
  </w:style>
  <w:style w:type="paragraph" w:customStyle="1" w:styleId="129">
    <w:name w:val="封面正文"/>
    <w:qFormat/>
    <w:uiPriority w:val="0"/>
    <w:pPr>
      <w:jc w:val="both"/>
    </w:pPr>
    <w:rPr>
      <w:rFonts w:ascii="Times New Roman" w:hAnsi="Times New Roman" w:eastAsia="宋体" w:cs="Times New Roman"/>
      <w:lang w:val="en-US" w:eastAsia="zh-CN" w:bidi="ar-SA"/>
    </w:rPr>
  </w:style>
  <w:style w:type="paragraph" w:customStyle="1" w:styleId="130">
    <w:name w:val="附录二级无标题条"/>
    <w:basedOn w:val="1"/>
    <w:next w:val="58"/>
    <w:qFormat/>
    <w:uiPriority w:val="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131">
    <w:name w:val="附录三级无标题条"/>
    <w:basedOn w:val="130"/>
    <w:next w:val="58"/>
    <w:qFormat/>
    <w:uiPriority w:val="0"/>
    <w:pPr>
      <w:outlineLvl w:val="4"/>
    </w:pPr>
  </w:style>
  <w:style w:type="paragraph" w:customStyle="1" w:styleId="132">
    <w:name w:val="附录四级无标题条"/>
    <w:basedOn w:val="131"/>
    <w:next w:val="58"/>
    <w:uiPriority w:val="0"/>
    <w:pPr>
      <w:outlineLvl w:val="5"/>
    </w:pPr>
  </w:style>
  <w:style w:type="paragraph" w:customStyle="1" w:styleId="133">
    <w:name w:val="附录图"/>
    <w:next w:val="58"/>
    <w:uiPriority w:val="0"/>
    <w:pPr>
      <w:wordWrap w:val="0"/>
      <w:overflowPunct w:val="0"/>
      <w:autoSpaceDE w:val="0"/>
      <w:spacing w:beforeLines="50" w:afterLines="50"/>
      <w:jc w:val="center"/>
      <w:textAlignment w:val="baseline"/>
      <w:outlineLvl w:val="1"/>
    </w:pPr>
    <w:rPr>
      <w:rFonts w:ascii="黑体" w:hAnsi="Times New Roman" w:eastAsia="黑体" w:cs="Times New Roman"/>
      <w:kern w:val="21"/>
      <w:sz w:val="21"/>
      <w:lang w:val="en-US" w:eastAsia="zh-CN" w:bidi="ar-SA"/>
    </w:rPr>
  </w:style>
  <w:style w:type="paragraph" w:customStyle="1" w:styleId="134">
    <w:name w:val="标准文件_一级项"/>
    <w:qFormat/>
    <w:uiPriority w:val="0"/>
    <w:pPr>
      <w:numPr>
        <w:ilvl w:val="0"/>
        <w:numId w:val="21"/>
      </w:numPr>
    </w:pPr>
    <w:rPr>
      <w:rFonts w:ascii="宋体" w:hAnsi="Times New Roman" w:eastAsia="宋体" w:cs="Times New Roman"/>
      <w:sz w:val="21"/>
      <w:lang w:val="en-US" w:eastAsia="zh-CN" w:bidi="ar-SA"/>
    </w:rPr>
  </w:style>
  <w:style w:type="paragraph" w:customStyle="1" w:styleId="135">
    <w:name w:val="附录五级无标题条"/>
    <w:basedOn w:val="132"/>
    <w:next w:val="58"/>
    <w:uiPriority w:val="0"/>
    <w:pPr>
      <w:outlineLvl w:val="6"/>
    </w:pPr>
  </w:style>
  <w:style w:type="paragraph" w:customStyle="1" w:styleId="136">
    <w:name w:val="附录性质"/>
    <w:basedOn w:val="1"/>
    <w:qFormat/>
    <w:uiPriority w:val="0"/>
    <w:pPr>
      <w:widowControl/>
      <w:adjustRightInd/>
      <w:jc w:val="center"/>
    </w:pPr>
    <w:rPr>
      <w:rFonts w:ascii="黑体" w:eastAsia="黑体"/>
    </w:rPr>
  </w:style>
  <w:style w:type="paragraph" w:customStyle="1" w:styleId="137">
    <w:name w:val="附录一级无标题条"/>
    <w:basedOn w:val="89"/>
    <w:next w:val="58"/>
    <w:qFormat/>
    <w:uiPriority w:val="0"/>
    <w:pPr>
      <w:autoSpaceDN w:val="0"/>
      <w:outlineLvl w:val="2"/>
    </w:pPr>
    <w:rPr>
      <w:rFonts w:ascii="宋体" w:hAnsi="宋体" w:eastAsia="宋体"/>
    </w:rPr>
  </w:style>
  <w:style w:type="character" w:customStyle="1" w:styleId="138">
    <w:name w:val="个人答复风格"/>
    <w:qFormat/>
    <w:uiPriority w:val="0"/>
    <w:rPr>
      <w:rFonts w:ascii="Arial" w:hAnsi="Arial" w:eastAsia="宋体" w:cs="Arial"/>
      <w:color w:val="auto"/>
      <w:spacing w:val="0"/>
      <w:sz w:val="20"/>
    </w:rPr>
  </w:style>
  <w:style w:type="character" w:customStyle="1" w:styleId="139">
    <w:name w:val="个人撰写风格"/>
    <w:qFormat/>
    <w:uiPriority w:val="0"/>
    <w:rPr>
      <w:rFonts w:ascii="Arial" w:hAnsi="Arial" w:eastAsia="宋体" w:cs="Arial"/>
      <w:color w:val="auto"/>
      <w:spacing w:val="0"/>
      <w:sz w:val="20"/>
    </w:rPr>
  </w:style>
  <w:style w:type="paragraph" w:customStyle="1" w:styleId="140">
    <w:name w:val="脚注后续"/>
    <w:uiPriority w:val="0"/>
    <w:pPr>
      <w:ind w:left="350" w:leftChars="350"/>
      <w:jc w:val="both"/>
    </w:pPr>
    <w:rPr>
      <w:rFonts w:ascii="宋体" w:hAnsi="Times New Roman" w:eastAsia="宋体" w:cs="Times New Roman"/>
      <w:sz w:val="18"/>
      <w:lang w:val="en-US" w:eastAsia="zh-CN" w:bidi="ar-SA"/>
    </w:rPr>
  </w:style>
  <w:style w:type="paragraph" w:customStyle="1" w:styleId="141">
    <w:name w:val="列项——"/>
    <w:qFormat/>
    <w:uiPriority w:val="0"/>
    <w:pPr>
      <w:widowControl w:val="0"/>
      <w:numPr>
        <w:ilvl w:val="0"/>
        <w:numId w:val="22"/>
      </w:numPr>
      <w:jc w:val="both"/>
    </w:pPr>
    <w:rPr>
      <w:rFonts w:ascii="宋体" w:hAnsi="宋体" w:eastAsia="宋体" w:cs="Times New Roman"/>
      <w:sz w:val="21"/>
      <w:lang w:val="en-US" w:eastAsia="zh-CN" w:bidi="ar-SA"/>
    </w:rPr>
  </w:style>
  <w:style w:type="paragraph" w:customStyle="1" w:styleId="142">
    <w:name w:val="列项·"/>
    <w:basedOn w:val="58"/>
    <w:qFormat/>
    <w:uiPriority w:val="0"/>
    <w:pPr>
      <w:tabs>
        <w:tab w:val="left" w:pos="840"/>
      </w:tabs>
    </w:pPr>
  </w:style>
  <w:style w:type="paragraph" w:customStyle="1" w:styleId="143">
    <w:name w:val="目次、索引正文"/>
    <w:uiPriority w:val="0"/>
    <w:pPr>
      <w:spacing w:line="320" w:lineRule="exact"/>
      <w:jc w:val="both"/>
    </w:pPr>
    <w:rPr>
      <w:rFonts w:ascii="宋体" w:hAnsi="Times New Roman" w:eastAsia="宋体" w:cs="Times New Roman"/>
      <w:sz w:val="21"/>
      <w:lang w:val="en-US" w:eastAsia="zh-CN" w:bidi="ar-SA"/>
    </w:rPr>
  </w:style>
  <w:style w:type="paragraph" w:customStyle="1" w:styleId="144">
    <w:name w:val="目录 21"/>
    <w:basedOn w:val="1"/>
    <w:next w:val="1"/>
    <w:semiHidden/>
    <w:qFormat/>
    <w:uiPriority w:val="0"/>
    <w:pPr>
      <w:adjustRightInd/>
      <w:spacing w:line="240" w:lineRule="auto"/>
      <w:jc w:val="left"/>
    </w:pPr>
    <w:rPr>
      <w:bCs/>
      <w:iCs/>
    </w:rPr>
  </w:style>
  <w:style w:type="paragraph" w:customStyle="1" w:styleId="145">
    <w:name w:val="目录 31"/>
    <w:basedOn w:val="1"/>
    <w:next w:val="1"/>
    <w:semiHidden/>
    <w:qFormat/>
    <w:uiPriority w:val="0"/>
    <w:pPr>
      <w:spacing w:line="240" w:lineRule="auto"/>
    </w:pPr>
    <w:rPr>
      <w:rFonts w:ascii="宋体" w:hAnsi="宋体"/>
      <w:iCs/>
    </w:rPr>
  </w:style>
  <w:style w:type="paragraph" w:customStyle="1" w:styleId="146">
    <w:name w:val="目录 41"/>
    <w:basedOn w:val="1"/>
    <w:next w:val="1"/>
    <w:semiHidden/>
    <w:uiPriority w:val="0"/>
    <w:pPr>
      <w:adjustRightInd/>
      <w:spacing w:line="240" w:lineRule="auto"/>
      <w:jc w:val="left"/>
    </w:pPr>
  </w:style>
  <w:style w:type="paragraph" w:customStyle="1" w:styleId="147">
    <w:name w:val="目录 51"/>
    <w:basedOn w:val="1"/>
    <w:next w:val="1"/>
    <w:semiHidden/>
    <w:qFormat/>
    <w:uiPriority w:val="0"/>
    <w:pPr>
      <w:spacing w:line="240" w:lineRule="auto"/>
    </w:pPr>
    <w:rPr>
      <w:rFonts w:ascii="宋体" w:hAnsi="宋体"/>
    </w:rPr>
  </w:style>
  <w:style w:type="paragraph" w:customStyle="1" w:styleId="148">
    <w:name w:val="目录 61"/>
    <w:basedOn w:val="1"/>
    <w:next w:val="1"/>
    <w:semiHidden/>
    <w:qFormat/>
    <w:uiPriority w:val="0"/>
    <w:pPr>
      <w:adjustRightInd/>
      <w:spacing w:line="240" w:lineRule="auto"/>
      <w:jc w:val="left"/>
    </w:pPr>
  </w:style>
  <w:style w:type="paragraph" w:customStyle="1" w:styleId="149">
    <w:name w:val="目录 71"/>
    <w:basedOn w:val="148"/>
    <w:semiHidden/>
    <w:uiPriority w:val="0"/>
    <w:pPr>
      <w:ind w:left="1260"/>
    </w:pPr>
  </w:style>
  <w:style w:type="paragraph" w:customStyle="1" w:styleId="150">
    <w:name w:val="目录 81"/>
    <w:basedOn w:val="149"/>
    <w:semiHidden/>
    <w:uiPriority w:val="0"/>
    <w:pPr>
      <w:ind w:left="1470"/>
    </w:pPr>
  </w:style>
  <w:style w:type="paragraph" w:customStyle="1" w:styleId="151">
    <w:name w:val="目录 91"/>
    <w:basedOn w:val="150"/>
    <w:semiHidden/>
    <w:qFormat/>
    <w:uiPriority w:val="0"/>
    <w:pPr>
      <w:ind w:left="1680"/>
    </w:pPr>
  </w:style>
  <w:style w:type="paragraph" w:customStyle="1" w:styleId="152">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153">
    <w:name w:val="其他发布部门"/>
    <w:basedOn w:val="121"/>
    <w:qFormat/>
    <w:uiPriority w:val="0"/>
    <w:pPr>
      <w:framePr w:wrap="around"/>
      <w:spacing w:line="0" w:lineRule="atLeast"/>
    </w:pPr>
    <w:rPr>
      <w:rFonts w:ascii="黑体" w:eastAsia="黑体"/>
      <w:b w:val="0"/>
    </w:rPr>
  </w:style>
  <w:style w:type="paragraph" w:customStyle="1" w:styleId="154">
    <w:name w:val="前言标题"/>
    <w:next w:val="1"/>
    <w:qFormat/>
    <w:uiPriority w:val="0"/>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55">
    <w:name w:val="三级无标题条"/>
    <w:basedOn w:val="1"/>
    <w:qFormat/>
    <w:uiPriority w:val="0"/>
    <w:pPr>
      <w:numPr>
        <w:ilvl w:val="4"/>
        <w:numId w:val="20"/>
      </w:numPr>
      <w:adjustRightInd/>
      <w:spacing w:line="240" w:lineRule="auto"/>
    </w:pPr>
    <w:rPr>
      <w:rFonts w:ascii="宋体" w:hAnsi="宋体"/>
      <w:szCs w:val="24"/>
    </w:rPr>
  </w:style>
  <w:style w:type="paragraph" w:customStyle="1" w:styleId="156">
    <w:name w:val="实施日期"/>
    <w:basedOn w:val="122"/>
    <w:qFormat/>
    <w:uiPriority w:val="0"/>
    <w:pPr>
      <w:framePr w:hSpace="0" w:wrap="around" w:xAlign="right"/>
      <w:jc w:val="right"/>
    </w:pPr>
  </w:style>
  <w:style w:type="paragraph" w:customStyle="1" w:styleId="157">
    <w:name w:val="四级无标题条"/>
    <w:basedOn w:val="1"/>
    <w:uiPriority w:val="0"/>
    <w:pPr>
      <w:numPr>
        <w:ilvl w:val="5"/>
        <w:numId w:val="20"/>
      </w:numPr>
      <w:adjustRightInd/>
      <w:spacing w:line="240" w:lineRule="auto"/>
    </w:pPr>
    <w:rPr>
      <w:rFonts w:ascii="宋体" w:hAnsi="宋体"/>
      <w:szCs w:val="24"/>
    </w:rPr>
  </w:style>
  <w:style w:type="paragraph" w:customStyle="1" w:styleId="158">
    <w:name w:val="文献分类号"/>
    <w:uiPriority w:val="0"/>
    <w:pPr>
      <w:framePr w:hSpace="180" w:vSpace="180" w:wrap="around" w:vAnchor="margin" w:hAnchor="margin" w:y="1" w:anchorLock="1"/>
      <w:widowControl w:val="0"/>
      <w:textAlignment w:val="center"/>
    </w:pPr>
    <w:rPr>
      <w:rFonts w:ascii="Times New Roman" w:hAnsi="Times New Roman" w:eastAsia="黑体" w:cs="Times New Roman"/>
      <w:sz w:val="21"/>
      <w:lang w:val="en-US" w:eastAsia="zh-CN" w:bidi="ar-SA"/>
    </w:rPr>
  </w:style>
  <w:style w:type="paragraph" w:customStyle="1" w:styleId="159">
    <w:name w:val="无标题条"/>
    <w:next w:val="58"/>
    <w:qFormat/>
    <w:uiPriority w:val="0"/>
    <w:pPr>
      <w:jc w:val="both"/>
    </w:pPr>
    <w:rPr>
      <w:rFonts w:ascii="宋体" w:hAnsi="宋体" w:eastAsia="宋体" w:cs="Times New Roman"/>
      <w:sz w:val="21"/>
      <w:lang w:val="en-US" w:eastAsia="zh-CN" w:bidi="ar-SA"/>
    </w:rPr>
  </w:style>
  <w:style w:type="paragraph" w:customStyle="1" w:styleId="160">
    <w:name w:val="五级无标题条"/>
    <w:basedOn w:val="1"/>
    <w:uiPriority w:val="0"/>
    <w:pPr>
      <w:numPr>
        <w:ilvl w:val="6"/>
        <w:numId w:val="20"/>
      </w:numPr>
      <w:adjustRightInd/>
    </w:pPr>
    <w:rPr>
      <w:szCs w:val="24"/>
    </w:rPr>
  </w:style>
  <w:style w:type="paragraph" w:customStyle="1" w:styleId="161">
    <w:name w:val="一级无标题条"/>
    <w:basedOn w:val="1"/>
    <w:qFormat/>
    <w:uiPriority w:val="0"/>
    <w:pPr>
      <w:numPr>
        <w:ilvl w:val="2"/>
        <w:numId w:val="20"/>
      </w:numPr>
      <w:adjustRightInd/>
      <w:spacing w:before="10" w:after="10" w:line="240" w:lineRule="auto"/>
    </w:pPr>
    <w:rPr>
      <w:rFonts w:ascii="宋体" w:hAnsi="宋体"/>
      <w:szCs w:val="24"/>
    </w:rPr>
  </w:style>
  <w:style w:type="paragraph" w:customStyle="1" w:styleId="162">
    <w:name w:val="注:后续"/>
    <w:qFormat/>
    <w:uiPriority w:val="0"/>
    <w:pPr>
      <w:spacing w:line="300" w:lineRule="exact"/>
      <w:ind w:left="600" w:leftChars="400" w:hanging="200" w:hangingChars="200"/>
      <w:jc w:val="both"/>
    </w:pPr>
    <w:rPr>
      <w:rFonts w:ascii="宋体" w:hAnsi="Times New Roman" w:eastAsia="宋体" w:cs="Times New Roman"/>
      <w:sz w:val="18"/>
      <w:lang w:val="en-US" w:eastAsia="zh-CN" w:bidi="ar-SA"/>
    </w:rPr>
  </w:style>
  <w:style w:type="paragraph" w:customStyle="1" w:styleId="163">
    <w:name w:val="注×:后续"/>
    <w:basedOn w:val="162"/>
    <w:uiPriority w:val="0"/>
    <w:pPr>
      <w:ind w:left="1406" w:leftChars="0" w:hanging="499" w:firstLineChars="0"/>
    </w:pPr>
  </w:style>
  <w:style w:type="paragraph" w:customStyle="1" w:styleId="164">
    <w:name w:val="标准文件_一级无标题"/>
    <w:basedOn w:val="107"/>
    <w:qFormat/>
    <w:uiPriority w:val="0"/>
    <w:pPr>
      <w:spacing w:beforeLines="0" w:afterLines="0"/>
      <w:outlineLvl w:val="9"/>
    </w:pPr>
    <w:rPr>
      <w:rFonts w:ascii="宋体" w:eastAsia="宋体"/>
    </w:rPr>
  </w:style>
  <w:style w:type="paragraph" w:customStyle="1" w:styleId="165">
    <w:name w:val="标准文件_五级无标题"/>
    <w:basedOn w:val="105"/>
    <w:qFormat/>
    <w:uiPriority w:val="0"/>
    <w:pPr>
      <w:spacing w:beforeLines="0" w:afterLines="0"/>
      <w:outlineLvl w:val="9"/>
    </w:pPr>
    <w:rPr>
      <w:rFonts w:ascii="宋体" w:eastAsia="宋体"/>
    </w:rPr>
  </w:style>
  <w:style w:type="paragraph" w:customStyle="1" w:styleId="166">
    <w:name w:val="标准文件_三级无标题"/>
    <w:basedOn w:val="96"/>
    <w:qFormat/>
    <w:uiPriority w:val="0"/>
    <w:pPr>
      <w:spacing w:beforeLines="0" w:afterLines="0"/>
      <w:outlineLvl w:val="9"/>
    </w:pPr>
    <w:rPr>
      <w:rFonts w:ascii="宋体" w:eastAsia="宋体"/>
    </w:rPr>
  </w:style>
  <w:style w:type="paragraph" w:customStyle="1" w:styleId="167">
    <w:name w:val="标准文件_二级无标题"/>
    <w:basedOn w:val="67"/>
    <w:qFormat/>
    <w:uiPriority w:val="0"/>
    <w:pPr>
      <w:spacing w:beforeLines="0" w:afterLines="0"/>
      <w:outlineLvl w:val="9"/>
    </w:pPr>
    <w:rPr>
      <w:rFonts w:ascii="宋体" w:eastAsia="宋体"/>
    </w:rPr>
  </w:style>
  <w:style w:type="paragraph" w:customStyle="1" w:styleId="168">
    <w:name w:val="标准_四级无标题"/>
    <w:basedOn w:val="100"/>
    <w:next w:val="58"/>
    <w:qFormat/>
    <w:uiPriority w:val="0"/>
    <w:rPr>
      <w:rFonts w:eastAsia="宋体"/>
    </w:rPr>
  </w:style>
  <w:style w:type="paragraph" w:customStyle="1" w:styleId="169">
    <w:name w:val="标准文件_四级无标题"/>
    <w:basedOn w:val="100"/>
    <w:qFormat/>
    <w:uiPriority w:val="0"/>
    <w:pPr>
      <w:spacing w:beforeLines="0" w:afterLines="0"/>
      <w:outlineLvl w:val="9"/>
    </w:pPr>
    <w:rPr>
      <w:rFonts w:ascii="宋体" w:hAnsi="黑体" w:eastAsia="宋体"/>
      <w:szCs w:val="52"/>
    </w:rPr>
  </w:style>
  <w:style w:type="paragraph" w:customStyle="1" w:styleId="170">
    <w:name w:val="标准文件_大写罗马数字编号列项"/>
    <w:basedOn w:val="58"/>
    <w:uiPriority w:val="0"/>
    <w:pPr>
      <w:numPr>
        <w:ilvl w:val="0"/>
        <w:numId w:val="23"/>
      </w:numPr>
      <w:ind w:firstLine="0" w:firstLineChars="0"/>
    </w:pPr>
    <w:rPr>
      <w:rFonts w:ascii="Times New Roman" w:cs="Arial"/>
      <w:szCs w:val="28"/>
    </w:rPr>
  </w:style>
  <w:style w:type="paragraph" w:customStyle="1" w:styleId="171">
    <w:name w:val="标准文件_小写罗马数字编号列项"/>
    <w:basedOn w:val="58"/>
    <w:uiPriority w:val="0"/>
    <w:pPr>
      <w:numPr>
        <w:ilvl w:val="0"/>
        <w:numId w:val="24"/>
      </w:numPr>
      <w:ind w:firstLine="0" w:firstLineChars="0"/>
    </w:pPr>
    <w:rPr>
      <w:rFonts w:cs="Arial"/>
      <w:szCs w:val="28"/>
    </w:rPr>
  </w:style>
  <w:style w:type="paragraph" w:customStyle="1" w:styleId="172">
    <w:name w:val="标准文件_附录标题"/>
    <w:basedOn w:val="78"/>
    <w:qFormat/>
    <w:uiPriority w:val="0"/>
    <w:pPr>
      <w:numPr>
        <w:numId w:val="0"/>
      </w:numPr>
      <w:spacing w:after="280"/>
      <w:outlineLvl w:val="9"/>
    </w:pPr>
  </w:style>
  <w:style w:type="paragraph" w:customStyle="1" w:styleId="173">
    <w:name w:val="标准文件_二级项"/>
    <w:uiPriority w:val="0"/>
    <w:rPr>
      <w:rFonts w:ascii="宋体" w:hAnsi="Times New Roman" w:eastAsia="宋体" w:cs="Times New Roman"/>
      <w:sz w:val="21"/>
      <w:lang w:val="en-US" w:eastAsia="zh-CN" w:bidi="ar-SA"/>
    </w:rPr>
  </w:style>
  <w:style w:type="paragraph" w:customStyle="1" w:styleId="174">
    <w:name w:val="标准文件_三级项"/>
    <w:basedOn w:val="1"/>
    <w:qFormat/>
    <w:uiPriority w:val="0"/>
    <w:pPr>
      <w:numPr>
        <w:ilvl w:val="2"/>
        <w:numId w:val="21"/>
      </w:numPr>
      <w:spacing w:line="536870612" w:lineRule="auto"/>
    </w:pPr>
    <w:rPr>
      <w:rFonts w:ascii="Times New Roman" w:hAnsi="Times New Roman"/>
    </w:rPr>
  </w:style>
  <w:style w:type="paragraph" w:customStyle="1" w:styleId="175">
    <w:name w:val="图表脚注说明"/>
    <w:basedOn w:val="1"/>
    <w:next w:val="58"/>
    <w:uiPriority w:val="0"/>
    <w:pPr>
      <w:numPr>
        <w:ilvl w:val="0"/>
        <w:numId w:val="25"/>
      </w:numPr>
      <w:adjustRightInd/>
      <w:spacing w:line="240" w:lineRule="auto"/>
      <w:ind w:left="783"/>
    </w:pPr>
    <w:rPr>
      <w:rFonts w:ascii="宋体" w:hAnsi="Times New Roman"/>
      <w:sz w:val="18"/>
      <w:szCs w:val="18"/>
    </w:rPr>
  </w:style>
  <w:style w:type="paragraph" w:customStyle="1" w:styleId="176">
    <w:name w:val="标准文件_字母编号列项（一级）"/>
    <w:uiPriority w:val="0"/>
    <w:pPr>
      <w:numPr>
        <w:ilvl w:val="0"/>
        <w:numId w:val="13"/>
      </w:numPr>
      <w:jc w:val="both"/>
    </w:pPr>
    <w:rPr>
      <w:rFonts w:ascii="宋体" w:hAnsi="Times New Roman" w:eastAsia="宋体" w:cs="Times New Roman"/>
      <w:sz w:val="21"/>
      <w:lang w:val="en-US" w:eastAsia="zh-CN" w:bidi="ar-SA"/>
    </w:rPr>
  </w:style>
  <w:style w:type="paragraph" w:customStyle="1" w:styleId="177">
    <w:name w:val="标准文件_索引字母"/>
    <w:next w:val="58"/>
    <w:qFormat/>
    <w:uiPriority w:val="0"/>
    <w:pPr>
      <w:jc w:val="center"/>
    </w:pPr>
    <w:rPr>
      <w:rFonts w:ascii="宋体" w:hAnsi="宋体" w:eastAsia="Times New Roman" w:cs="Times New Roman"/>
      <w:b/>
      <w:kern w:val="2"/>
      <w:sz w:val="21"/>
      <w:lang w:val="en-US" w:eastAsia="zh-CN" w:bidi="ar-SA"/>
    </w:rPr>
  </w:style>
  <w:style w:type="paragraph" w:customStyle="1" w:styleId="178">
    <w:name w:val="标准文件_附录前"/>
    <w:next w:val="58"/>
    <w:qFormat/>
    <w:uiPriority w:val="0"/>
    <w:pPr>
      <w:spacing w:line="20" w:lineRule="atLeast"/>
      <w:ind w:firstLine="200"/>
    </w:pPr>
    <w:rPr>
      <w:rFonts w:ascii="宋体" w:hAnsi="宋体" w:eastAsia="宋体" w:cs="Times New Roman"/>
      <w:kern w:val="2"/>
      <w:sz w:val="10"/>
      <w:lang w:val="en-US" w:eastAsia="zh-CN" w:bidi="ar-SA"/>
    </w:rPr>
  </w:style>
  <w:style w:type="paragraph" w:customStyle="1" w:styleId="179">
    <w:name w:val="标准文件_正文标准名称"/>
    <w:qFormat/>
    <w:uiPriority w:val="0"/>
    <w:pPr>
      <w:spacing w:beforeLines="20" w:after="640" w:line="400" w:lineRule="exact"/>
      <w:jc w:val="center"/>
    </w:pPr>
    <w:rPr>
      <w:rFonts w:ascii="黑体" w:hAnsi="黑体" w:eastAsia="黑体" w:cs="Times New Roman"/>
      <w:kern w:val="2"/>
      <w:sz w:val="32"/>
      <w:szCs w:val="32"/>
      <w:lang w:val="en-US" w:eastAsia="zh-CN" w:bidi="ar-SA"/>
    </w:rPr>
  </w:style>
  <w:style w:type="paragraph" w:customStyle="1" w:styleId="180">
    <w:name w:val="标准文件_表格"/>
    <w:basedOn w:val="58"/>
    <w:qFormat/>
    <w:uiPriority w:val="0"/>
    <w:pPr>
      <w:ind w:firstLine="0" w:firstLineChars="0"/>
      <w:jc w:val="center"/>
    </w:pPr>
    <w:rPr>
      <w:sz w:val="18"/>
    </w:rPr>
  </w:style>
  <w:style w:type="paragraph" w:customStyle="1" w:styleId="181">
    <w:name w:val="标准文件_注："/>
    <w:next w:val="58"/>
    <w:qFormat/>
    <w:uiPriority w:val="0"/>
    <w:pPr>
      <w:widowControl w:val="0"/>
      <w:numPr>
        <w:ilvl w:val="0"/>
        <w:numId w:val="26"/>
      </w:numPr>
      <w:autoSpaceDE w:val="0"/>
      <w:autoSpaceDN w:val="0"/>
      <w:jc w:val="both"/>
    </w:pPr>
    <w:rPr>
      <w:rFonts w:ascii="宋体" w:hAnsi="Times New Roman" w:eastAsia="宋体" w:cs="Times New Roman"/>
      <w:sz w:val="18"/>
      <w:szCs w:val="18"/>
      <w:lang w:val="en-US" w:eastAsia="zh-CN" w:bidi="ar-SA"/>
    </w:rPr>
  </w:style>
  <w:style w:type="paragraph" w:customStyle="1" w:styleId="182">
    <w:name w:val="标准文件_注×："/>
    <w:qFormat/>
    <w:uiPriority w:val="0"/>
    <w:pPr>
      <w:widowControl w:val="0"/>
      <w:numPr>
        <w:ilvl w:val="0"/>
        <w:numId w:val="27"/>
      </w:numPr>
      <w:autoSpaceDE w:val="0"/>
      <w:autoSpaceDN w:val="0"/>
      <w:jc w:val="both"/>
    </w:pPr>
    <w:rPr>
      <w:rFonts w:ascii="宋体" w:hAnsi="Times New Roman" w:eastAsia="宋体" w:cs="Times New Roman"/>
      <w:sz w:val="18"/>
      <w:szCs w:val="18"/>
      <w:lang w:val="en-US" w:eastAsia="zh-CN" w:bidi="ar-SA"/>
    </w:rPr>
  </w:style>
  <w:style w:type="paragraph" w:customStyle="1" w:styleId="183">
    <w:name w:val="标准文件_示例："/>
    <w:next w:val="184"/>
    <w:uiPriority w:val="0"/>
    <w:pPr>
      <w:widowControl w:val="0"/>
      <w:numPr>
        <w:ilvl w:val="0"/>
        <w:numId w:val="28"/>
      </w:numPr>
      <w:jc w:val="both"/>
    </w:pPr>
    <w:rPr>
      <w:rFonts w:ascii="宋体" w:hAnsi="Times New Roman" w:eastAsia="宋体" w:cs="Times New Roman"/>
      <w:sz w:val="18"/>
      <w:szCs w:val="18"/>
      <w:lang w:val="en-US" w:eastAsia="zh-CN" w:bidi="ar-SA"/>
    </w:rPr>
  </w:style>
  <w:style w:type="paragraph" w:customStyle="1" w:styleId="184">
    <w:name w:val="标准文件_示例内容"/>
    <w:basedOn w:val="58"/>
    <w:qFormat/>
    <w:uiPriority w:val="0"/>
    <w:pPr>
      <w:ind w:firstLine="420"/>
    </w:pPr>
    <w:rPr>
      <w:sz w:val="18"/>
    </w:rPr>
  </w:style>
  <w:style w:type="paragraph" w:customStyle="1" w:styleId="185">
    <w:name w:val="标准文件_示例×："/>
    <w:basedOn w:val="1"/>
    <w:next w:val="184"/>
    <w:qFormat/>
    <w:uiPriority w:val="0"/>
    <w:pPr>
      <w:widowControl/>
      <w:numPr>
        <w:ilvl w:val="0"/>
        <w:numId w:val="29"/>
      </w:numPr>
      <w:adjustRightInd/>
      <w:spacing w:line="240" w:lineRule="auto"/>
    </w:pPr>
    <w:rPr>
      <w:rFonts w:ascii="宋体" w:hAnsi="Times New Roman"/>
      <w:kern w:val="0"/>
      <w:sz w:val="18"/>
      <w:szCs w:val="18"/>
    </w:rPr>
  </w:style>
  <w:style w:type="character" w:customStyle="1" w:styleId="186">
    <w:name w:val="标准文件_段 Char"/>
    <w:link w:val="58"/>
    <w:uiPriority w:val="0"/>
    <w:rPr>
      <w:rFonts w:ascii="宋体" w:hAnsi="Times New Roman"/>
      <w:sz w:val="21"/>
    </w:rPr>
  </w:style>
  <w:style w:type="paragraph" w:customStyle="1" w:styleId="187">
    <w:name w:val="标准文件_表格续"/>
    <w:basedOn w:val="58"/>
    <w:next w:val="58"/>
    <w:qFormat/>
    <w:uiPriority w:val="0"/>
    <w:pPr>
      <w:jc w:val="center"/>
    </w:pPr>
    <w:rPr>
      <w:rFonts w:ascii="黑体" w:hAnsi="黑体" w:eastAsia="黑体"/>
    </w:rPr>
  </w:style>
  <w:style w:type="character" w:styleId="188">
    <w:name w:val="Placeholder Text"/>
    <w:basedOn w:val="29"/>
    <w:semiHidden/>
    <w:qFormat/>
    <w:uiPriority w:val="99"/>
    <w:rPr>
      <w:color w:val="808080"/>
    </w:rPr>
  </w:style>
  <w:style w:type="paragraph" w:customStyle="1" w:styleId="189">
    <w:name w:val="标准文件_二级项2"/>
    <w:basedOn w:val="58"/>
    <w:qFormat/>
    <w:uiPriority w:val="0"/>
    <w:pPr>
      <w:numPr>
        <w:ilvl w:val="1"/>
        <w:numId w:val="21"/>
      </w:numPr>
      <w:ind w:left="1271" w:hanging="420" w:firstLineChars="0"/>
    </w:pPr>
  </w:style>
  <w:style w:type="paragraph" w:customStyle="1" w:styleId="190">
    <w:name w:val="标准文件_三级项2"/>
    <w:basedOn w:val="58"/>
    <w:qFormat/>
    <w:uiPriority w:val="0"/>
    <w:pPr>
      <w:numPr>
        <w:ilvl w:val="0"/>
        <w:numId w:val="30"/>
      </w:numPr>
      <w:spacing w:line="300" w:lineRule="exact"/>
      <w:ind w:left="1276" w:hanging="425" w:firstLineChars="0"/>
    </w:pPr>
    <w:rPr>
      <w:rFonts w:ascii="Times New Roman"/>
    </w:rPr>
  </w:style>
  <w:style w:type="paragraph" w:customStyle="1" w:styleId="191">
    <w:name w:val="标准文件_一级项2"/>
    <w:basedOn w:val="58"/>
    <w:qFormat/>
    <w:uiPriority w:val="0"/>
    <w:pPr>
      <w:numPr>
        <w:ilvl w:val="0"/>
        <w:numId w:val="31"/>
      </w:numPr>
      <w:spacing w:line="300" w:lineRule="exact"/>
      <w:ind w:left="1271" w:hanging="420" w:firstLineChars="0"/>
    </w:pPr>
    <w:rPr>
      <w:rFonts w:ascii="Times New Roman"/>
    </w:rPr>
  </w:style>
  <w:style w:type="paragraph" w:customStyle="1" w:styleId="192">
    <w:name w:val="标准文件_提示"/>
    <w:basedOn w:val="58"/>
    <w:next w:val="58"/>
    <w:qFormat/>
    <w:uiPriority w:val="0"/>
    <w:pPr>
      <w:ind w:firstLine="420"/>
    </w:pPr>
    <w:rPr>
      <w:rFonts w:ascii="黑体" w:eastAsia="黑体"/>
    </w:rPr>
  </w:style>
  <w:style w:type="character" w:customStyle="1" w:styleId="193">
    <w:name w:val="标准文件_来源"/>
    <w:basedOn w:val="29"/>
    <w:qFormat/>
    <w:uiPriority w:val="1"/>
    <w:rPr>
      <w:rFonts w:eastAsia="宋体"/>
      <w:sz w:val="21"/>
    </w:rPr>
  </w:style>
  <w:style w:type="paragraph" w:customStyle="1" w:styleId="194">
    <w:name w:val="标准文件_图表说明"/>
    <w:qFormat/>
    <w:uiPriority w:val="0"/>
    <w:pPr>
      <w:spacing w:line="276" w:lineRule="auto"/>
      <w:ind w:firstLine="420"/>
    </w:pPr>
    <w:rPr>
      <w:rFonts w:ascii="宋体" w:hAnsi="宋体" w:eastAsia="宋体" w:cs="Times New Roman"/>
      <w:kern w:val="2"/>
      <w:sz w:val="18"/>
      <w:lang w:val="en-US" w:eastAsia="zh-CN" w:bidi="ar-SA"/>
    </w:rPr>
  </w:style>
  <w:style w:type="paragraph" w:customStyle="1" w:styleId="195">
    <w:name w:val="其他发布日期"/>
    <w:basedOn w:val="122"/>
    <w:uiPriority w:val="0"/>
    <w:pPr>
      <w:framePr w:w="3997" w:h="471" w:hRule="exact" w:hSpace="0" w:vSpace="181" w:wrap="around" w:vAnchor="page" w:hAnchor="page" w:x="1419" w:y="14097"/>
    </w:pPr>
  </w:style>
  <w:style w:type="paragraph" w:customStyle="1" w:styleId="196">
    <w:name w:val="其他实施日期"/>
    <w:basedOn w:val="156"/>
    <w:qFormat/>
    <w:uiPriority w:val="0"/>
    <w:pPr>
      <w:framePr w:w="3997" w:h="471" w:hRule="exact" w:vSpace="181" w:wrap="around" w:vAnchor="page" w:hAnchor="page" w:x="7089" w:y="14097"/>
    </w:pPr>
  </w:style>
  <w:style w:type="paragraph" w:customStyle="1" w:styleId="197">
    <w:name w:val="标准文件_文件编号"/>
    <w:basedOn w:val="58"/>
    <w:qFormat/>
    <w:uiPriority w:val="0"/>
    <w:pPr>
      <w:framePr w:w="9356" w:h="624" w:hRule="exact" w:hSpace="181" w:vSpace="181" w:wrap="auto" w:vAnchor="page" w:hAnchor="page" w:x="1419" w:y="3284"/>
      <w:wordWrap w:val="0"/>
      <w:spacing w:line="280" w:lineRule="exact"/>
      <w:ind w:firstLine="0" w:firstLineChars="0"/>
      <w:jc w:val="right"/>
    </w:pPr>
    <w:rPr>
      <w:rFonts w:ascii="黑体" w:eastAsia="黑体"/>
      <w:bCs/>
      <w:sz w:val="28"/>
      <w:szCs w:val="28"/>
    </w:rPr>
  </w:style>
  <w:style w:type="paragraph" w:customStyle="1" w:styleId="198">
    <w:name w:val="标准文件_替换文件编号"/>
    <w:basedOn w:val="197"/>
    <w:qFormat/>
    <w:uiPriority w:val="0"/>
    <w:pPr>
      <w:framePr/>
      <w:spacing w:before="57"/>
    </w:pPr>
    <w:rPr>
      <w:sz w:val="21"/>
    </w:rPr>
  </w:style>
  <w:style w:type="paragraph" w:customStyle="1" w:styleId="199">
    <w:name w:val="标准文件_文件名称"/>
    <w:basedOn w:val="58"/>
    <w:next w:val="58"/>
    <w:qFormat/>
    <w:uiPriority w:val="0"/>
    <w:pPr>
      <w:framePr w:w="9639" w:h="6976" w:hRule="exact" w:wrap="auto" w:vAnchor="page" w:hAnchor="page" w:y="6408"/>
      <w:autoSpaceDE/>
      <w:autoSpaceDN/>
      <w:spacing w:line="700" w:lineRule="exact"/>
      <w:ind w:firstLine="0" w:firstLineChars="0"/>
      <w:jc w:val="center"/>
    </w:pPr>
    <w:rPr>
      <w:rFonts w:ascii="黑体" w:hAnsi="黑体" w:eastAsia="黑体"/>
      <w:bCs/>
      <w:sz w:val="52"/>
    </w:rPr>
  </w:style>
  <w:style w:type="paragraph" w:customStyle="1" w:styleId="200">
    <w:name w:val="标准文件_附录图标号"/>
    <w:basedOn w:val="58"/>
    <w:next w:val="58"/>
    <w:qFormat/>
    <w:uiPriority w:val="0"/>
    <w:pPr>
      <w:numPr>
        <w:ilvl w:val="0"/>
        <w:numId w:val="6"/>
      </w:numPr>
      <w:spacing w:line="14" w:lineRule="exact"/>
      <w:ind w:firstLine="0" w:firstLineChars="0"/>
      <w:jc w:val="center"/>
    </w:pPr>
    <w:rPr>
      <w:rFonts w:ascii="黑体" w:hAnsi="黑体" w:eastAsia="黑体"/>
      <w:vanish/>
      <w:sz w:val="2"/>
      <w:szCs w:val="21"/>
    </w:rPr>
  </w:style>
  <w:style w:type="paragraph" w:customStyle="1" w:styleId="201">
    <w:name w:val="标准文件_附录表标号"/>
    <w:basedOn w:val="58"/>
    <w:next w:val="58"/>
    <w:qFormat/>
    <w:uiPriority w:val="0"/>
    <w:pPr>
      <w:numPr>
        <w:ilvl w:val="0"/>
        <w:numId w:val="5"/>
      </w:numPr>
      <w:spacing w:line="14" w:lineRule="exact"/>
      <w:ind w:firstLine="0" w:firstLineChars="0"/>
      <w:jc w:val="center"/>
    </w:pPr>
    <w:rPr>
      <w:rFonts w:eastAsia="黑体"/>
      <w:vanish/>
      <w:sz w:val="2"/>
    </w:rPr>
  </w:style>
  <w:style w:type="paragraph" w:customStyle="1" w:styleId="202">
    <w:name w:val="标准文件_引言一级条标题"/>
    <w:basedOn w:val="58"/>
    <w:next w:val="58"/>
    <w:qFormat/>
    <w:uiPriority w:val="0"/>
    <w:pPr>
      <w:numPr>
        <w:ilvl w:val="1"/>
        <w:numId w:val="8"/>
      </w:numPr>
      <w:spacing w:beforeLines="50" w:afterLines="50"/>
      <w:ind w:firstLineChars="0"/>
    </w:pPr>
    <w:rPr>
      <w:rFonts w:ascii="黑体" w:eastAsia="黑体"/>
    </w:rPr>
  </w:style>
  <w:style w:type="paragraph" w:customStyle="1" w:styleId="203">
    <w:name w:val="标准文件_引言二级条标题"/>
    <w:basedOn w:val="58"/>
    <w:next w:val="58"/>
    <w:qFormat/>
    <w:uiPriority w:val="0"/>
    <w:pPr>
      <w:numPr>
        <w:ilvl w:val="2"/>
        <w:numId w:val="8"/>
      </w:numPr>
      <w:spacing w:beforeLines="50" w:afterLines="50"/>
      <w:ind w:firstLineChars="0"/>
    </w:pPr>
    <w:rPr>
      <w:rFonts w:ascii="黑体" w:eastAsia="黑体"/>
    </w:rPr>
  </w:style>
  <w:style w:type="paragraph" w:customStyle="1" w:styleId="204">
    <w:name w:val="标准文件_引言三级条标题"/>
    <w:basedOn w:val="58"/>
    <w:next w:val="58"/>
    <w:qFormat/>
    <w:uiPriority w:val="0"/>
    <w:pPr>
      <w:numPr>
        <w:ilvl w:val="3"/>
        <w:numId w:val="8"/>
      </w:numPr>
      <w:spacing w:beforeLines="50" w:afterLines="50"/>
      <w:ind w:firstLineChars="0"/>
    </w:pPr>
    <w:rPr>
      <w:rFonts w:ascii="黑体" w:eastAsia="黑体"/>
    </w:rPr>
  </w:style>
  <w:style w:type="paragraph" w:customStyle="1" w:styleId="205">
    <w:name w:val="标准文件_引言四级条标题"/>
    <w:basedOn w:val="58"/>
    <w:next w:val="58"/>
    <w:qFormat/>
    <w:uiPriority w:val="0"/>
    <w:pPr>
      <w:numPr>
        <w:ilvl w:val="4"/>
        <w:numId w:val="8"/>
      </w:numPr>
      <w:spacing w:beforeLines="50" w:afterLines="50"/>
      <w:ind w:firstLineChars="0"/>
    </w:pPr>
    <w:rPr>
      <w:rFonts w:ascii="黑体" w:eastAsia="黑体"/>
    </w:rPr>
  </w:style>
  <w:style w:type="paragraph" w:customStyle="1" w:styleId="206">
    <w:name w:val="标准文件_引言五级条标题"/>
    <w:basedOn w:val="58"/>
    <w:next w:val="58"/>
    <w:qFormat/>
    <w:uiPriority w:val="0"/>
    <w:pPr>
      <w:numPr>
        <w:ilvl w:val="5"/>
        <w:numId w:val="8"/>
      </w:numPr>
      <w:spacing w:beforeLines="50" w:afterLines="50"/>
      <w:ind w:firstLineChars="0"/>
    </w:pPr>
    <w:rPr>
      <w:rFonts w:ascii="黑体" w:eastAsia="黑体"/>
    </w:rPr>
  </w:style>
  <w:style w:type="paragraph" w:customStyle="1" w:styleId="207">
    <w:name w:val="标准文件_注后"/>
    <w:basedOn w:val="58"/>
    <w:qFormat/>
    <w:uiPriority w:val="0"/>
    <w:pPr>
      <w:ind w:left="811" w:firstLine="0" w:firstLineChars="0"/>
    </w:pPr>
    <w:rPr>
      <w:sz w:val="18"/>
    </w:rPr>
  </w:style>
  <w:style w:type="paragraph" w:customStyle="1" w:styleId="208">
    <w:name w:val="标准文件_注X后"/>
    <w:basedOn w:val="58"/>
    <w:qFormat/>
    <w:uiPriority w:val="0"/>
    <w:pPr>
      <w:ind w:left="811" w:firstLine="0" w:firstLineChars="0"/>
    </w:pPr>
    <w:rPr>
      <w:sz w:val="18"/>
    </w:rPr>
  </w:style>
  <w:style w:type="paragraph" w:customStyle="1" w:styleId="209">
    <w:name w:val="标准文件_示例后"/>
    <w:basedOn w:val="58"/>
    <w:qFormat/>
    <w:uiPriority w:val="0"/>
    <w:pPr>
      <w:ind w:left="964" w:firstLine="0" w:firstLineChars="0"/>
    </w:pPr>
    <w:rPr>
      <w:sz w:val="18"/>
    </w:rPr>
  </w:style>
  <w:style w:type="paragraph" w:customStyle="1" w:styleId="210">
    <w:name w:val="标准文件_示例X后"/>
    <w:basedOn w:val="58"/>
    <w:link w:val="211"/>
    <w:qFormat/>
    <w:uiPriority w:val="0"/>
    <w:pPr>
      <w:ind w:left="1049" w:firstLine="0" w:firstLineChars="0"/>
    </w:pPr>
    <w:rPr>
      <w:sz w:val="18"/>
    </w:rPr>
  </w:style>
  <w:style w:type="character" w:customStyle="1" w:styleId="211">
    <w:name w:val="标准文件_示例X后 字符"/>
    <w:basedOn w:val="186"/>
    <w:link w:val="210"/>
    <w:qFormat/>
    <w:uiPriority w:val="0"/>
    <w:rPr>
      <w:rFonts w:ascii="宋体" w:hAnsi="Times New Roman"/>
      <w:sz w:val="18"/>
    </w:rPr>
  </w:style>
  <w:style w:type="paragraph" w:customStyle="1" w:styleId="212">
    <w:name w:val="标准文件_索引项"/>
    <w:basedOn w:val="58"/>
    <w:next w:val="58"/>
    <w:qFormat/>
    <w:uiPriority w:val="0"/>
    <w:pPr>
      <w:tabs>
        <w:tab w:val="right" w:leader="dot" w:pos="9356"/>
      </w:tabs>
      <w:ind w:left="210" w:hanging="210" w:firstLineChars="0"/>
      <w:jc w:val="left"/>
    </w:pPr>
  </w:style>
  <w:style w:type="paragraph" w:customStyle="1" w:styleId="213">
    <w:name w:val="标准文件_附录一级无标题"/>
    <w:basedOn w:val="80"/>
    <w:qFormat/>
    <w:uiPriority w:val="0"/>
    <w:pPr>
      <w:spacing w:beforeLines="0" w:afterLines="0" w:line="276" w:lineRule="auto"/>
      <w:outlineLvl w:val="9"/>
    </w:pPr>
    <w:rPr>
      <w:rFonts w:ascii="宋体" w:eastAsia="宋体"/>
    </w:rPr>
  </w:style>
  <w:style w:type="paragraph" w:customStyle="1" w:styleId="214">
    <w:name w:val="标准文件_附录二级无标题"/>
    <w:basedOn w:val="81"/>
    <w:qFormat/>
    <w:uiPriority w:val="0"/>
    <w:pPr>
      <w:spacing w:beforeLines="0" w:afterLines="0" w:line="276" w:lineRule="auto"/>
      <w:outlineLvl w:val="9"/>
    </w:pPr>
    <w:rPr>
      <w:rFonts w:ascii="宋体" w:eastAsia="宋体"/>
    </w:rPr>
  </w:style>
  <w:style w:type="paragraph" w:customStyle="1" w:styleId="215">
    <w:name w:val="标准文件_附录三级无标题"/>
    <w:basedOn w:val="83"/>
    <w:qFormat/>
    <w:uiPriority w:val="0"/>
    <w:pPr>
      <w:spacing w:beforeLines="0" w:afterLines="0" w:line="276" w:lineRule="auto"/>
      <w:outlineLvl w:val="9"/>
    </w:pPr>
    <w:rPr>
      <w:rFonts w:ascii="宋体" w:eastAsia="宋体"/>
    </w:rPr>
  </w:style>
  <w:style w:type="paragraph" w:customStyle="1" w:styleId="216">
    <w:name w:val="标准文件_附录四级无标题"/>
    <w:basedOn w:val="84"/>
    <w:qFormat/>
    <w:uiPriority w:val="0"/>
    <w:pPr>
      <w:spacing w:beforeLines="0" w:afterLines="0" w:line="276" w:lineRule="auto"/>
      <w:outlineLvl w:val="9"/>
    </w:pPr>
    <w:rPr>
      <w:rFonts w:ascii="宋体" w:eastAsia="宋体"/>
    </w:rPr>
  </w:style>
  <w:style w:type="paragraph" w:customStyle="1" w:styleId="217">
    <w:name w:val="标准文件_附录五级无标题"/>
    <w:basedOn w:val="86"/>
    <w:qFormat/>
    <w:uiPriority w:val="0"/>
    <w:pPr>
      <w:spacing w:beforeLines="0" w:afterLines="0" w:line="276" w:lineRule="auto"/>
      <w:outlineLvl w:val="9"/>
    </w:pPr>
    <w:rPr>
      <w:rFonts w:ascii="宋体" w:eastAsia="宋体"/>
    </w:rPr>
  </w:style>
  <w:style w:type="paragraph" w:customStyle="1" w:styleId="218">
    <w:name w:val="标准文件_引言一级无标题"/>
    <w:basedOn w:val="202"/>
    <w:next w:val="58"/>
    <w:qFormat/>
    <w:uiPriority w:val="0"/>
    <w:pPr>
      <w:spacing w:beforeLines="0" w:afterLines="0" w:line="276" w:lineRule="auto"/>
    </w:pPr>
    <w:rPr>
      <w:rFonts w:ascii="宋体" w:eastAsia="宋体"/>
    </w:rPr>
  </w:style>
  <w:style w:type="paragraph" w:customStyle="1" w:styleId="219">
    <w:name w:val="标准文件_引言二级无标题"/>
    <w:basedOn w:val="203"/>
    <w:next w:val="58"/>
    <w:qFormat/>
    <w:uiPriority w:val="0"/>
    <w:pPr>
      <w:spacing w:beforeLines="0" w:afterLines="0" w:line="276" w:lineRule="auto"/>
    </w:pPr>
    <w:rPr>
      <w:rFonts w:ascii="宋体" w:eastAsia="宋体"/>
    </w:rPr>
  </w:style>
  <w:style w:type="paragraph" w:customStyle="1" w:styleId="220">
    <w:name w:val="标准文件_引言三级无标题"/>
    <w:basedOn w:val="204"/>
    <w:next w:val="58"/>
    <w:qFormat/>
    <w:uiPriority w:val="0"/>
    <w:pPr>
      <w:spacing w:beforeLines="0" w:afterLines="0" w:line="276" w:lineRule="auto"/>
    </w:pPr>
    <w:rPr>
      <w:rFonts w:ascii="宋体" w:eastAsia="宋体"/>
    </w:rPr>
  </w:style>
  <w:style w:type="paragraph" w:customStyle="1" w:styleId="221">
    <w:name w:val="标准文件_引言四级无标题"/>
    <w:basedOn w:val="205"/>
    <w:next w:val="58"/>
    <w:qFormat/>
    <w:uiPriority w:val="0"/>
    <w:pPr>
      <w:spacing w:beforeLines="0" w:afterLines="0" w:line="276" w:lineRule="auto"/>
    </w:pPr>
    <w:rPr>
      <w:rFonts w:ascii="宋体" w:eastAsia="宋体"/>
    </w:rPr>
  </w:style>
  <w:style w:type="paragraph" w:customStyle="1" w:styleId="222">
    <w:name w:val="标准文件_引言五级无标题"/>
    <w:basedOn w:val="206"/>
    <w:next w:val="58"/>
    <w:qFormat/>
    <w:uiPriority w:val="0"/>
    <w:pPr>
      <w:spacing w:beforeLines="0" w:afterLines="0" w:line="276" w:lineRule="auto"/>
    </w:pPr>
    <w:rPr>
      <w:rFonts w:ascii="宋体" w:eastAsia="宋体"/>
    </w:rPr>
  </w:style>
  <w:style w:type="paragraph" w:customStyle="1" w:styleId="223">
    <w:name w:val="标准文件_索引标题"/>
    <w:basedOn w:val="65"/>
    <w:next w:val="58"/>
    <w:qFormat/>
    <w:uiPriority w:val="0"/>
    <w:rPr>
      <w:rFonts w:hAnsi="黑体"/>
    </w:rPr>
  </w:style>
  <w:style w:type="paragraph" w:customStyle="1" w:styleId="224">
    <w:name w:val="标准文件_脚注内容"/>
    <w:basedOn w:val="58"/>
    <w:qFormat/>
    <w:uiPriority w:val="0"/>
    <w:pPr>
      <w:ind w:left="400" w:leftChars="200" w:hanging="200" w:hangingChars="200"/>
    </w:pPr>
    <w:rPr>
      <w:sz w:val="15"/>
    </w:rPr>
  </w:style>
  <w:style w:type="paragraph" w:customStyle="1" w:styleId="225">
    <w:name w:val="标准文件_术语条一"/>
    <w:basedOn w:val="164"/>
    <w:next w:val="58"/>
    <w:qFormat/>
    <w:uiPriority w:val="0"/>
  </w:style>
  <w:style w:type="paragraph" w:customStyle="1" w:styleId="226">
    <w:name w:val="标准文件_术语条二"/>
    <w:basedOn w:val="167"/>
    <w:next w:val="58"/>
    <w:qFormat/>
    <w:uiPriority w:val="0"/>
  </w:style>
  <w:style w:type="paragraph" w:customStyle="1" w:styleId="227">
    <w:name w:val="标准文件_术语条三"/>
    <w:basedOn w:val="166"/>
    <w:next w:val="58"/>
    <w:qFormat/>
    <w:uiPriority w:val="0"/>
  </w:style>
  <w:style w:type="paragraph" w:customStyle="1" w:styleId="228">
    <w:name w:val="标准文件_术语条四"/>
    <w:basedOn w:val="169"/>
    <w:next w:val="58"/>
    <w:qFormat/>
    <w:uiPriority w:val="0"/>
  </w:style>
  <w:style w:type="paragraph" w:customStyle="1" w:styleId="229">
    <w:name w:val="标准文件_术语条五"/>
    <w:basedOn w:val="165"/>
    <w:next w:val="58"/>
    <w:qFormat/>
    <w:uiPriority w:val="0"/>
  </w:style>
  <w:style w:type="paragraph" w:customStyle="1" w:styleId="230">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231">
    <w:name w:val="发布"/>
    <w:basedOn w:val="29"/>
    <w:qFormat/>
    <w:uiPriority w:val="0"/>
    <w:rPr>
      <w:rFonts w:ascii="黑体" w:eastAsia="黑体"/>
      <w:spacing w:val="85"/>
      <w:w w:val="100"/>
      <w:position w:val="3"/>
      <w:sz w:val="28"/>
      <w:szCs w:val="28"/>
    </w:rPr>
  </w:style>
  <w:style w:type="character" w:customStyle="1" w:styleId="232">
    <w:name w:val="文档结构图 字符"/>
    <w:basedOn w:val="29"/>
    <w:link w:val="13"/>
    <w:semiHidden/>
    <w:uiPriority w:val="99"/>
    <w:rPr>
      <w:rFonts w:ascii="宋体"/>
      <w:kern w:val="2"/>
      <w:sz w:val="18"/>
      <w:szCs w:val="18"/>
    </w:rPr>
  </w:style>
  <w:style w:type="paragraph" w:customStyle="1" w:styleId="233">
    <w:name w:val="标题3修"/>
    <w:basedOn w:val="4"/>
    <w:qFormat/>
    <w:uiPriority w:val="0"/>
    <w:pPr>
      <w:adjustRightInd/>
      <w:spacing w:before="0" w:after="0" w:line="240" w:lineRule="auto"/>
      <w:ind w:firstLine="200" w:firstLineChars="200"/>
    </w:pPr>
    <w:rPr>
      <w:rFonts w:ascii="宋体" w:hAnsi="宋体"/>
      <w:b w:val="0"/>
      <w:sz w:val="24"/>
      <w:szCs w:val="28"/>
    </w:rPr>
  </w:style>
  <w:style w:type="paragraph" w:customStyle="1" w:styleId="234">
    <w:name w:val="TOC Heading"/>
    <w:basedOn w:val="2"/>
    <w:next w:val="1"/>
    <w:semiHidden/>
    <w:unhideWhenUsed/>
    <w:qFormat/>
    <w:uiPriority w:val="39"/>
    <w:pPr>
      <w:spacing w:line="578" w:lineRule="atLeast"/>
      <w:outlineLvl w:val="9"/>
    </w:pPr>
  </w:style>
  <w:style w:type="paragraph" w:customStyle="1" w:styleId="235">
    <w:name w:val="公式"/>
    <w:basedOn w:val="1"/>
    <w:qFormat/>
    <w:uiPriority w:val="0"/>
    <w:pPr>
      <w:adjustRightInd/>
      <w:spacing w:line="300" w:lineRule="auto"/>
      <w:jc w:val="right"/>
      <w:textAlignment w:val="center"/>
    </w:pPr>
    <w:rPr>
      <w:rFonts w:ascii="Times New Roman" w:hAnsi="Times New Roman"/>
      <w:sz w:val="24"/>
      <w:szCs w:val="24"/>
    </w:rPr>
  </w:style>
  <w:style w:type="paragraph" w:customStyle="1" w:styleId="236">
    <w:name w:val="条文"/>
    <w:basedOn w:val="1"/>
    <w:qFormat/>
    <w:uiPriority w:val="0"/>
    <w:pPr>
      <w:adjustRightInd/>
      <w:spacing w:line="300" w:lineRule="auto"/>
      <w:textAlignment w:val="center"/>
      <w:outlineLvl w:val="2"/>
    </w:pPr>
    <w:rPr>
      <w:sz w:val="24"/>
      <w:szCs w:val="24"/>
    </w:rPr>
  </w:style>
  <w:style w:type="paragraph" w:customStyle="1" w:styleId="237">
    <w:name w:val="表"/>
    <w:basedOn w:val="1"/>
    <w:qFormat/>
    <w:uiPriority w:val="0"/>
    <w:pPr>
      <w:adjustRightInd/>
      <w:spacing w:line="300" w:lineRule="auto"/>
      <w:jc w:val="center"/>
    </w:pPr>
    <w:rPr>
      <w:rFonts w:ascii="Times New Roman" w:hAnsi="Times New Roman"/>
    </w:rPr>
  </w:style>
</w:styles>
</file>

<file path=word/_rels/document.xml.rels><?xml version="1.0" encoding="UTF-8" standalone="yes"?>
<Relationships xmlns="http://schemas.openxmlformats.org/package/2006/relationships"><Relationship Id="rId99" Type="http://schemas.openxmlformats.org/officeDocument/2006/relationships/image" Target="media/image85.emf"/><Relationship Id="rId98" Type="http://schemas.openxmlformats.org/officeDocument/2006/relationships/image" Target="media/image84.png"/><Relationship Id="rId97" Type="http://schemas.openxmlformats.org/officeDocument/2006/relationships/image" Target="media/image83.png"/><Relationship Id="rId96" Type="http://schemas.openxmlformats.org/officeDocument/2006/relationships/image" Target="media/image82.png"/><Relationship Id="rId95" Type="http://schemas.openxmlformats.org/officeDocument/2006/relationships/image" Target="media/image81.png"/><Relationship Id="rId94" Type="http://schemas.openxmlformats.org/officeDocument/2006/relationships/image" Target="media/image80.png"/><Relationship Id="rId93" Type="http://schemas.openxmlformats.org/officeDocument/2006/relationships/image" Target="media/image79.png"/><Relationship Id="rId92" Type="http://schemas.openxmlformats.org/officeDocument/2006/relationships/image" Target="media/image78.png"/><Relationship Id="rId91" Type="http://schemas.openxmlformats.org/officeDocument/2006/relationships/image" Target="media/image77.png"/><Relationship Id="rId90" Type="http://schemas.openxmlformats.org/officeDocument/2006/relationships/image" Target="media/image76.png"/><Relationship Id="rId9" Type="http://schemas.openxmlformats.org/officeDocument/2006/relationships/footer" Target="footer2.xml"/><Relationship Id="rId89" Type="http://schemas.openxmlformats.org/officeDocument/2006/relationships/image" Target="media/image75.png"/><Relationship Id="rId88" Type="http://schemas.openxmlformats.org/officeDocument/2006/relationships/image" Target="media/image74.png"/><Relationship Id="rId87" Type="http://schemas.openxmlformats.org/officeDocument/2006/relationships/image" Target="media/image73.png"/><Relationship Id="rId86" Type="http://schemas.openxmlformats.org/officeDocument/2006/relationships/image" Target="media/image72.png"/><Relationship Id="rId85" Type="http://schemas.openxmlformats.org/officeDocument/2006/relationships/image" Target="media/image71.png"/><Relationship Id="rId84" Type="http://schemas.openxmlformats.org/officeDocument/2006/relationships/image" Target="media/image70.png"/><Relationship Id="rId83" Type="http://schemas.openxmlformats.org/officeDocument/2006/relationships/image" Target="media/image69.png"/><Relationship Id="rId82" Type="http://schemas.openxmlformats.org/officeDocument/2006/relationships/image" Target="media/image68.png"/><Relationship Id="rId81" Type="http://schemas.openxmlformats.org/officeDocument/2006/relationships/image" Target="media/image67.png"/><Relationship Id="rId80" Type="http://schemas.openxmlformats.org/officeDocument/2006/relationships/image" Target="media/image66.png"/><Relationship Id="rId8" Type="http://schemas.openxmlformats.org/officeDocument/2006/relationships/footer" Target="footer1.xml"/><Relationship Id="rId79" Type="http://schemas.openxmlformats.org/officeDocument/2006/relationships/image" Target="media/image65.png"/><Relationship Id="rId78" Type="http://schemas.openxmlformats.org/officeDocument/2006/relationships/image" Target="media/image64.png"/><Relationship Id="rId77" Type="http://schemas.openxmlformats.org/officeDocument/2006/relationships/image" Target="media/image63.png"/><Relationship Id="rId76" Type="http://schemas.openxmlformats.org/officeDocument/2006/relationships/image" Target="media/image62.png"/><Relationship Id="rId75" Type="http://schemas.openxmlformats.org/officeDocument/2006/relationships/image" Target="media/image61.png"/><Relationship Id="rId74" Type="http://schemas.openxmlformats.org/officeDocument/2006/relationships/image" Target="media/image60.png"/><Relationship Id="rId73" Type="http://schemas.openxmlformats.org/officeDocument/2006/relationships/image" Target="media/image59.png"/><Relationship Id="rId72" Type="http://schemas.openxmlformats.org/officeDocument/2006/relationships/image" Target="media/image58.png"/><Relationship Id="rId71" Type="http://schemas.openxmlformats.org/officeDocument/2006/relationships/image" Target="media/image57.png"/><Relationship Id="rId70" Type="http://schemas.openxmlformats.org/officeDocument/2006/relationships/image" Target="media/image56.png"/><Relationship Id="rId7" Type="http://schemas.openxmlformats.org/officeDocument/2006/relationships/header" Target="header3.xml"/><Relationship Id="rId69" Type="http://schemas.openxmlformats.org/officeDocument/2006/relationships/image" Target="media/image55.png"/><Relationship Id="rId68" Type="http://schemas.openxmlformats.org/officeDocument/2006/relationships/image" Target="media/image54.png"/><Relationship Id="rId67" Type="http://schemas.openxmlformats.org/officeDocument/2006/relationships/image" Target="media/image53.png"/><Relationship Id="rId66" Type="http://schemas.openxmlformats.org/officeDocument/2006/relationships/image" Target="media/image52.png"/><Relationship Id="rId65" Type="http://schemas.openxmlformats.org/officeDocument/2006/relationships/image" Target="media/image51.png"/><Relationship Id="rId64" Type="http://schemas.openxmlformats.org/officeDocument/2006/relationships/image" Target="media/image50.png"/><Relationship Id="rId63" Type="http://schemas.openxmlformats.org/officeDocument/2006/relationships/image" Target="media/image49.png"/><Relationship Id="rId62" Type="http://schemas.openxmlformats.org/officeDocument/2006/relationships/image" Target="media/image48.png"/><Relationship Id="rId61" Type="http://schemas.openxmlformats.org/officeDocument/2006/relationships/image" Target="media/image47.png"/><Relationship Id="rId60" Type="http://schemas.openxmlformats.org/officeDocument/2006/relationships/image" Target="media/image46.png"/><Relationship Id="rId6" Type="http://schemas.openxmlformats.org/officeDocument/2006/relationships/header" Target="header2.xml"/><Relationship Id="rId59" Type="http://schemas.openxmlformats.org/officeDocument/2006/relationships/image" Target="media/image45.png"/><Relationship Id="rId58" Type="http://schemas.openxmlformats.org/officeDocument/2006/relationships/image" Target="media/image44.png"/><Relationship Id="rId57" Type="http://schemas.openxmlformats.org/officeDocument/2006/relationships/image" Target="media/image43.wmf"/><Relationship Id="rId56" Type="http://schemas.openxmlformats.org/officeDocument/2006/relationships/image" Target="media/image42.png"/><Relationship Id="rId55" Type="http://schemas.openxmlformats.org/officeDocument/2006/relationships/image" Target="media/image41.png"/><Relationship Id="rId54" Type="http://schemas.openxmlformats.org/officeDocument/2006/relationships/image" Target="media/image40.png"/><Relationship Id="rId53" Type="http://schemas.openxmlformats.org/officeDocument/2006/relationships/image" Target="media/image39.png"/><Relationship Id="rId52" Type="http://schemas.openxmlformats.org/officeDocument/2006/relationships/image" Target="media/image38.png"/><Relationship Id="rId51" Type="http://schemas.openxmlformats.org/officeDocument/2006/relationships/image" Target="media/image37.png"/><Relationship Id="rId50" Type="http://schemas.openxmlformats.org/officeDocument/2006/relationships/image" Target="media/image36.png"/><Relationship Id="rId5" Type="http://schemas.openxmlformats.org/officeDocument/2006/relationships/header" Target="header1.xml"/><Relationship Id="rId49" Type="http://schemas.openxmlformats.org/officeDocument/2006/relationships/image" Target="media/image35.png"/><Relationship Id="rId48" Type="http://schemas.openxmlformats.org/officeDocument/2006/relationships/image" Target="media/image34.png"/><Relationship Id="rId47" Type="http://schemas.openxmlformats.org/officeDocument/2006/relationships/image" Target="media/image33.jpeg"/><Relationship Id="rId46" Type="http://schemas.openxmlformats.org/officeDocument/2006/relationships/image" Target="media/image32.emf"/><Relationship Id="rId45" Type="http://schemas.openxmlformats.org/officeDocument/2006/relationships/image" Target="media/image31.png"/><Relationship Id="rId44" Type="http://schemas.openxmlformats.org/officeDocument/2006/relationships/image" Target="media/image30.png"/><Relationship Id="rId43" Type="http://schemas.openxmlformats.org/officeDocument/2006/relationships/image" Target="media/image29.png"/><Relationship Id="rId42" Type="http://schemas.openxmlformats.org/officeDocument/2006/relationships/image" Target="media/image28.png"/><Relationship Id="rId41" Type="http://schemas.openxmlformats.org/officeDocument/2006/relationships/image" Target="media/image27.png"/><Relationship Id="rId40" Type="http://schemas.openxmlformats.org/officeDocument/2006/relationships/image" Target="media/image26.png"/><Relationship Id="rId4" Type="http://schemas.openxmlformats.org/officeDocument/2006/relationships/endnotes" Target="endnotes.xml"/><Relationship Id="rId39" Type="http://schemas.openxmlformats.org/officeDocument/2006/relationships/image" Target="media/image25.png"/><Relationship Id="rId38" Type="http://schemas.openxmlformats.org/officeDocument/2006/relationships/image" Target="media/image24.png"/><Relationship Id="rId37" Type="http://schemas.openxmlformats.org/officeDocument/2006/relationships/image" Target="media/image23.png"/><Relationship Id="rId36" Type="http://schemas.openxmlformats.org/officeDocument/2006/relationships/image" Target="media/image22.png"/><Relationship Id="rId35" Type="http://schemas.openxmlformats.org/officeDocument/2006/relationships/image" Target="media/image21.png"/><Relationship Id="rId34" Type="http://schemas.openxmlformats.org/officeDocument/2006/relationships/image" Target="media/image20.png"/><Relationship Id="rId33" Type="http://schemas.openxmlformats.org/officeDocument/2006/relationships/image" Target="media/image19.png"/><Relationship Id="rId32" Type="http://schemas.openxmlformats.org/officeDocument/2006/relationships/image" Target="media/image18.png"/><Relationship Id="rId31" Type="http://schemas.openxmlformats.org/officeDocument/2006/relationships/image" Target="media/image17.png"/><Relationship Id="rId30" Type="http://schemas.openxmlformats.org/officeDocument/2006/relationships/image" Target="media/image16.png"/><Relationship Id="rId3" Type="http://schemas.openxmlformats.org/officeDocument/2006/relationships/footnotes" Target="footnotes.xml"/><Relationship Id="rId29" Type="http://schemas.openxmlformats.org/officeDocument/2006/relationships/image" Target="media/image15.png"/><Relationship Id="rId28" Type="http://schemas.openxmlformats.org/officeDocument/2006/relationships/image" Target="media/image14.png"/><Relationship Id="rId27" Type="http://schemas.openxmlformats.org/officeDocument/2006/relationships/image" Target="media/image13.png"/><Relationship Id="rId26" Type="http://schemas.openxmlformats.org/officeDocument/2006/relationships/image" Target="media/image12.png"/><Relationship Id="rId25" Type="http://schemas.openxmlformats.org/officeDocument/2006/relationships/image" Target="media/image11.png"/><Relationship Id="rId24" Type="http://schemas.openxmlformats.org/officeDocument/2006/relationships/image" Target="media/image10.png"/><Relationship Id="rId23" Type="http://schemas.openxmlformats.org/officeDocument/2006/relationships/image" Target="media/image9.png"/><Relationship Id="rId22" Type="http://schemas.openxmlformats.org/officeDocument/2006/relationships/image" Target="media/image8.png"/><Relationship Id="rId21" Type="http://schemas.openxmlformats.org/officeDocument/2006/relationships/image" Target="media/image7.png"/><Relationship Id="rId20" Type="http://schemas.openxmlformats.org/officeDocument/2006/relationships/image" Target="media/image6.png"/><Relationship Id="rId2" Type="http://schemas.openxmlformats.org/officeDocument/2006/relationships/settings" Target="settings.xml"/><Relationship Id="rId19" Type="http://schemas.openxmlformats.org/officeDocument/2006/relationships/image" Target="media/image5.png"/><Relationship Id="rId18" Type="http://schemas.openxmlformats.org/officeDocument/2006/relationships/image" Target="media/image4.png"/><Relationship Id="rId17" Type="http://schemas.openxmlformats.org/officeDocument/2006/relationships/image" Target="media/image3.png"/><Relationship Id="rId16" Type="http://schemas.openxmlformats.org/officeDocument/2006/relationships/image" Target="media/image2.png"/><Relationship Id="rId15" Type="http://schemas.openxmlformats.org/officeDocument/2006/relationships/image" Target="media/image1.tiff"/><Relationship Id="rId14" Type="http://schemas.openxmlformats.org/officeDocument/2006/relationships/theme" Target="theme/theme1.xml"/><Relationship Id="rId13" Type="http://schemas.openxmlformats.org/officeDocument/2006/relationships/footer" Target="footer4.xml"/><Relationship Id="rId129" Type="http://schemas.openxmlformats.org/officeDocument/2006/relationships/fontTable" Target="fontTable.xml"/><Relationship Id="rId128" Type="http://schemas.openxmlformats.org/officeDocument/2006/relationships/customXml" Target="../customXml/item2.xml"/><Relationship Id="rId127" Type="http://schemas.openxmlformats.org/officeDocument/2006/relationships/numbering" Target="numbering.xml"/><Relationship Id="rId126" Type="http://schemas.openxmlformats.org/officeDocument/2006/relationships/customXml" Target="../customXml/item1.xml"/><Relationship Id="rId125" Type="http://schemas.openxmlformats.org/officeDocument/2006/relationships/image" Target="media/image111.emf"/><Relationship Id="rId124" Type="http://schemas.openxmlformats.org/officeDocument/2006/relationships/image" Target="media/image110.emf"/><Relationship Id="rId123" Type="http://schemas.openxmlformats.org/officeDocument/2006/relationships/image" Target="media/image109.emf"/><Relationship Id="rId122" Type="http://schemas.openxmlformats.org/officeDocument/2006/relationships/image" Target="media/image108.png"/><Relationship Id="rId121" Type="http://schemas.openxmlformats.org/officeDocument/2006/relationships/image" Target="media/image107.png"/><Relationship Id="rId120" Type="http://schemas.openxmlformats.org/officeDocument/2006/relationships/image" Target="media/image106.emf"/><Relationship Id="rId12" Type="http://schemas.openxmlformats.org/officeDocument/2006/relationships/header" Target="header5.xml"/><Relationship Id="rId119" Type="http://schemas.openxmlformats.org/officeDocument/2006/relationships/image" Target="media/image105.png"/><Relationship Id="rId118" Type="http://schemas.openxmlformats.org/officeDocument/2006/relationships/image" Target="media/image104.emf"/><Relationship Id="rId117" Type="http://schemas.openxmlformats.org/officeDocument/2006/relationships/image" Target="media/image103.png"/><Relationship Id="rId116" Type="http://schemas.openxmlformats.org/officeDocument/2006/relationships/image" Target="media/image102.png"/><Relationship Id="rId115" Type="http://schemas.openxmlformats.org/officeDocument/2006/relationships/image" Target="media/image101.emf"/><Relationship Id="rId114" Type="http://schemas.openxmlformats.org/officeDocument/2006/relationships/image" Target="media/image100.png"/><Relationship Id="rId113" Type="http://schemas.openxmlformats.org/officeDocument/2006/relationships/image" Target="media/image99.emf"/><Relationship Id="rId112" Type="http://schemas.openxmlformats.org/officeDocument/2006/relationships/image" Target="media/image98.png"/><Relationship Id="rId111" Type="http://schemas.openxmlformats.org/officeDocument/2006/relationships/image" Target="media/image97.png"/><Relationship Id="rId110" Type="http://schemas.openxmlformats.org/officeDocument/2006/relationships/image" Target="media/image96.png"/><Relationship Id="rId11" Type="http://schemas.openxmlformats.org/officeDocument/2006/relationships/header" Target="header4.xml"/><Relationship Id="rId109" Type="http://schemas.openxmlformats.org/officeDocument/2006/relationships/image" Target="media/image95.png"/><Relationship Id="rId108" Type="http://schemas.openxmlformats.org/officeDocument/2006/relationships/image" Target="media/image94.png"/><Relationship Id="rId107" Type="http://schemas.openxmlformats.org/officeDocument/2006/relationships/image" Target="media/image93.png"/><Relationship Id="rId106" Type="http://schemas.openxmlformats.org/officeDocument/2006/relationships/image" Target="media/image92.png"/><Relationship Id="rId105" Type="http://schemas.openxmlformats.org/officeDocument/2006/relationships/image" Target="media/image91.png"/><Relationship Id="rId104" Type="http://schemas.openxmlformats.org/officeDocument/2006/relationships/image" Target="media/image90.png"/><Relationship Id="rId103" Type="http://schemas.openxmlformats.org/officeDocument/2006/relationships/image" Target="media/image89.png"/><Relationship Id="rId102" Type="http://schemas.openxmlformats.org/officeDocument/2006/relationships/image" Target="media/image88.png"/><Relationship Id="rId101" Type="http://schemas.openxmlformats.org/officeDocument/2006/relationships/image" Target="media/image87.emf"/><Relationship Id="rId100" Type="http://schemas.openxmlformats.org/officeDocument/2006/relationships/image" Target="media/image86.png"/><Relationship Id="rId10" Type="http://schemas.openxmlformats.org/officeDocument/2006/relationships/footer" Target="footer3.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customShpInfo spid="_x0000_s1027"/>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10900A8-9D19-47EB-9563-FA3EC47FF9BF}">
  <ds:schemaRefs/>
</ds:datastoreItem>
</file>

<file path=docProps/app.xml><?xml version="1.0" encoding="utf-8"?>
<Properties xmlns="http://schemas.openxmlformats.org/officeDocument/2006/extended-properties" xmlns:vt="http://schemas.openxmlformats.org/officeDocument/2006/docPropsVTypes">
  <Template>地方标准.dotx</Template>
  <Pages>44</Pages>
  <Words>5662</Words>
  <Characters>32280</Characters>
  <Lines>269</Lines>
  <Paragraphs>75</Paragraphs>
  <TotalTime>7</TotalTime>
  <ScaleCrop>false</ScaleCrop>
  <LinksUpToDate>false</LinksUpToDate>
  <CharactersWithSpaces>37867</CharactersWithSpaces>
  <Application>WPS Office_12.1.0.15990_F1E327BC-269C-435d-A152-05C5408002CA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2021-05-07T01:47:00Z</dcterms:created>
  <dc:creator>user</dc:creator>
  <cp:lastModifiedBy>张明明</cp:lastModifiedBy>
  <cp:lastPrinted>2023-11-29T06:10:58Z</cp:lastPrinted>
  <dcterms:modified xsi:type="dcterms:W3CDTF">2023-11-29T06:17:44Z</dcterms:modified>
  <cp:revision>1204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2052-12.1.0.15990</vt:lpwstr>
  </property>
  <property fmtid="{D5CDD505-2E9C-101B-9397-08002B2CF9AE}" pid="15" name="ICV">
    <vt:lpwstr>B592906341114BB8804CCFF619D0FB90_12</vt:lpwstr>
  </property>
</Properties>
</file>