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pPr w:leftFromText="180" w:rightFromText="180" w:vertAnchor="page" w:horzAnchor="page" w:tblpX="1433" w:tblpY="890"/>
        <w:tblOverlap w:val="never"/>
        <w:tblW w:w="93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3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2" w:hRule="atLeast"/>
        </w:trPr>
        <w:tc>
          <w:tcPr>
            <w:tcW w:w="9355" w:type="dxa"/>
          </w:tcPr>
          <w:p>
            <w:pPr>
              <w:pStyle w:val="18"/>
              <w:tabs>
                <w:tab w:val="left" w:pos="7268"/>
                <w:tab w:val="left" w:pos="7974"/>
                <w:tab w:val="clear" w:pos="4153"/>
                <w:tab w:val="clear" w:pos="8306"/>
              </w:tabs>
              <w:spacing w:before="40" w:line="240" w:lineRule="auto"/>
              <w:jc w:val="left"/>
              <w:rPr>
                <w:rFonts w:ascii="黑体" w:hAnsi="黑体" w:eastAsia="黑体"/>
                <w:sz w:val="21"/>
                <w:szCs w:val="21"/>
              </w:rPr>
            </w:pPr>
            <w:bookmarkStart w:id="0" w:name="_Hlk26473981"/>
            <w:r>
              <w:rPr>
                <w:rFonts w:ascii="Times New Roman" w:hAnsi="Times New Roman" w:eastAsia="黑体"/>
                <w:sz w:val="21"/>
                <w:szCs w:val="21"/>
              </w:rPr>
              <w:t>ICS</w:t>
            </w:r>
            <w:r>
              <w:rPr>
                <w:rFonts w:hint="eastAsia" w:ascii="Times New Roman" w:hAnsi="Times New Roman" w:eastAsia="黑体"/>
                <w:sz w:val="21"/>
                <w:szCs w:val="21"/>
              </w:rPr>
              <w:t xml:space="preserve">  </w:t>
            </w:r>
            <w:r>
              <w:rPr>
                <w:rFonts w:ascii="黑体" w:hAnsi="黑体" w:eastAsia="黑体"/>
                <w:sz w:val="21"/>
                <w:szCs w:val="21"/>
              </w:rPr>
              <w:fldChar w:fldCharType="begin">
                <w:ffData>
                  <w:name w:val="ICS"/>
                  <w:enabled/>
                  <w:calcOnExit w:val="0"/>
                  <w:textInput>
                    <w:default w:val="点击此处添加ICS号"/>
                  </w:textInput>
                </w:ffData>
              </w:fldChar>
            </w:r>
            <w:bookmarkStart w:id="1"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03.</w:t>
            </w:r>
            <w:r>
              <w:rPr>
                <w:rFonts w:hint="eastAsia" w:ascii="黑体" w:hAnsi="黑体" w:eastAsia="黑体"/>
                <w:sz w:val="21"/>
                <w:szCs w:val="21"/>
              </w:rPr>
              <w:t>160</w:t>
            </w:r>
            <w:r>
              <w:rPr>
                <w:rFonts w:ascii="黑体" w:hAnsi="黑体" w:eastAsia="黑体"/>
                <w:sz w:val="21"/>
                <w:szCs w:val="21"/>
              </w:rPr>
              <w:t xml:space="preserve"> </w:t>
            </w:r>
            <w:r>
              <w:rPr>
                <w:rFonts w:ascii="黑体" w:hAnsi="黑体" w:eastAsia="黑体"/>
                <w:sz w:val="21"/>
                <w:szCs w:val="21"/>
              </w:rPr>
              <w:fldChar w:fldCharType="end"/>
            </w:r>
            <w:bookmarkEnd w:id="1"/>
            <w:r>
              <w:rPr>
                <w:rFonts w:ascii="黑体" w:hAnsi="黑体" w:eastAsia="黑体"/>
                <w:sz w:val="21"/>
                <w:szCs w:val="21"/>
              </w:rPr>
              <w:tab/>
            </w:r>
          </w:p>
          <w:tbl>
            <w:tblPr>
              <w:tblStyle w:val="27"/>
              <w:tblpPr w:leftFromText="180" w:rightFromText="180" w:vertAnchor="page" w:horzAnchor="page" w:tblpX="600" w:tblpY="818"/>
              <w:tblOverlap w:val="never"/>
              <w:tblW w:w="850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8500"/>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rPr>
                <w:trHeight w:val="1195" w:hRule="atLeast"/>
              </w:trPr>
              <w:tc>
                <w:tcPr>
                  <w:tcW w:w="8500" w:type="dxa"/>
                </w:tcPr>
                <w:p>
                  <w:pPr>
                    <w:pStyle w:val="49"/>
                    <w:framePr w:hSpace="0" w:wrap="auto" w:vAnchor="margin" w:hAnchor="text" w:xAlign="left" w:yAlign="inline"/>
                    <w:snapToGrid w:val="0"/>
                    <w:ind w:left="2310" w:leftChars="1100"/>
                    <w:rPr>
                      <w:rFonts w:ascii="宋体" w:hAnsi="宋体"/>
                      <w:sz w:val="28"/>
                      <w:szCs w:val="28"/>
                    </w:rPr>
                  </w:pPr>
                  <w:r>
                    <w:rPr>
                      <w:rFonts w:hint="eastAsia"/>
                      <w:sz w:val="21"/>
                      <w:szCs w:val="21"/>
                      <w:lang w:val="en-US" w:eastAsia="zh-CN"/>
                    </w:rPr>
                    <w:t xml:space="preserve">                      </w:t>
                  </w:r>
                  <w:r>
                    <w:rPr>
                      <w:rFonts w:hint="eastAsia"/>
                      <w:sz w:val="21"/>
                      <w:szCs w:val="21"/>
                    </w:rPr>
                    <w:t xml:space="preserve"> </w:t>
                  </w:r>
                  <w:r>
                    <w:drawing>
                      <wp:inline distT="0" distB="0" distL="0" distR="0">
                        <wp:extent cx="796290" cy="397510"/>
                        <wp:effectExtent l="19050" t="0" r="381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96290" cy="397510"/>
                                </a:xfrm>
                                <a:prstGeom prst="rect">
                                  <a:avLst/>
                                </a:prstGeom>
                              </pic:spPr>
                            </pic:pic>
                          </a:graphicData>
                        </a:graphic>
                      </wp:inline>
                    </w:drawing>
                  </w:r>
                  <w:r>
                    <w:fldChar w:fldCharType="begin">
                      <w:ffData>
                        <w:name w:val="c1"/>
                        <w:enabled/>
                        <w:calcOnExit w:val="0"/>
                        <w:textInput>
                          <w:maxLength w:val="8"/>
                        </w:textInput>
                      </w:ffData>
                    </w:fldChar>
                  </w:r>
                  <w:bookmarkStart w:id="2" w:name="c1"/>
                  <w:r>
                    <w:instrText xml:space="preserve"> FORMTEXT </w:instrText>
                  </w:r>
                  <w:r>
                    <w:fldChar w:fldCharType="separate"/>
                  </w:r>
                  <w:r>
                    <w:t>32</w:t>
                  </w:r>
                  <w:r>
                    <w:fldChar w:fldCharType="end"/>
                  </w:r>
                  <w:bookmarkEnd w:id="2"/>
                </w:p>
              </w:tc>
            </w:tr>
          </w:tbl>
          <w:p>
            <w:pPr>
              <w:pStyle w:val="18"/>
              <w:tabs>
                <w:tab w:val="clear" w:pos="4153"/>
                <w:tab w:val="clear" w:pos="8306"/>
              </w:tabs>
              <w:spacing w:before="40" w:line="240" w:lineRule="auto"/>
              <w:jc w:val="left"/>
              <w:rPr>
                <w:rFonts w:ascii="Times New Roman" w:hAnsi="Times New Roman" w:eastAsia="黑体"/>
                <w:sz w:val="21"/>
                <w:szCs w:val="21"/>
              </w:rPr>
            </w:pPr>
            <w:r>
              <w:rPr>
                <w:rFonts w:ascii="Times New Roman" w:hAnsi="Times New Roman" w:eastAsia="黑体"/>
                <w:sz w:val="21"/>
                <w:szCs w:val="21"/>
              </w:rPr>
              <w:t>CCS</w:t>
            </w:r>
            <w:r>
              <w:rPr>
                <w:rFonts w:hint="eastAsia" w:ascii="Times New Roman" w:hAnsi="Times New Roman" w:eastAsia="黑体"/>
                <w:sz w:val="21"/>
                <w:szCs w:val="21"/>
              </w:rPr>
              <w:t xml:space="preserve">  </w:t>
            </w:r>
            <w:r>
              <w:rPr>
                <w:rFonts w:ascii="黑体" w:hAnsi="黑体" w:eastAsia="黑体"/>
                <w:sz w:val="21"/>
                <w:szCs w:val="21"/>
              </w:rPr>
              <w:fldChar w:fldCharType="begin">
                <w:ffData>
                  <w:name w:val="CSDN"/>
                  <w:enabled/>
                  <w:calcOnExit w:val="0"/>
                  <w:textInput>
                    <w:default w:val="点击此处添加CCS号"/>
                  </w:textInput>
                </w:ffData>
              </w:fldChar>
            </w:r>
            <w:bookmarkStart w:id="3"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A </w:t>
            </w:r>
            <w:r>
              <w:rPr>
                <w:rFonts w:hint="eastAsia" w:ascii="黑体" w:hAnsi="黑体" w:eastAsia="黑体"/>
                <w:sz w:val="21"/>
                <w:szCs w:val="21"/>
              </w:rPr>
              <w:t>90</w:t>
            </w:r>
            <w:r>
              <w:rPr>
                <w:rFonts w:ascii="黑体" w:hAnsi="黑体" w:eastAsia="黑体"/>
                <w:sz w:val="21"/>
                <w:szCs w:val="21"/>
              </w:rPr>
              <w:fldChar w:fldCharType="end"/>
            </w:r>
            <w:bookmarkEnd w:id="3"/>
          </w:p>
        </w:tc>
      </w:tr>
    </w:tbl>
    <w:p>
      <w:pPr>
        <w:pStyle w:val="50"/>
        <w:framePr w:w="9639" w:h="624" w:hRule="exact" w:hSpace="181" w:vSpace="181" w:wrap="around" w:hAnchor="page" w:x="1358" w:y="2718"/>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0"/>
    <w:p>
      <w:pPr>
        <w:pStyle w:val="195"/>
        <w:framePr w:w="9424" w:h="474" w:hRule="exact" w:wrap="around" w:x="1430" w:y="3475"/>
        <w:rPr>
          <w:lang w:val="fr-FR"/>
        </w:rPr>
      </w:pPr>
    </w:p>
    <w:p>
      <w:pPr>
        <w:pStyle w:val="195"/>
        <w:framePr w:w="9424" w:h="474" w:hRule="exact" w:wrap="around" w:x="1430" w:y="3475"/>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5"/>
        <w:framePr w:w="9424" w:h="474" w:hRule="exact" w:wrap="around" w:x="1430" w:y="3475"/>
        <w:wordWrap/>
      </w:pPr>
    </w:p>
    <w:p>
      <w:pPr>
        <w:pStyle w:val="195"/>
        <w:framePr w:w="9424" w:h="474" w:hRule="exact" w:wrap="around" w:x="1430" w:y="3475"/>
        <w:wordWrap/>
        <w:rPr>
          <w:lang w:val="fr-FR"/>
        </w:rPr>
      </w:pPr>
    </w:p>
    <w:p>
      <w:pPr>
        <w:pStyle w:val="196"/>
        <w:framePr w:w="9424" w:h="474" w:hRule="exact" w:wrap="around" w:x="1430" w:y="3475"/>
        <w:rPr>
          <w:rFonts w:hAnsi="黑体"/>
        </w:rPr>
      </w:pPr>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857885</wp:posOffset>
                </wp:positionH>
                <wp:positionV relativeFrom="page">
                  <wp:posOffset>2824480</wp:posOffset>
                </wp:positionV>
                <wp:extent cx="6242685" cy="8890"/>
                <wp:effectExtent l="0" t="0" r="0" b="0"/>
                <wp:wrapNone/>
                <wp:docPr id="73"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242685" cy="8890"/>
                        </a:xfrm>
                        <a:prstGeom prst="line">
                          <a:avLst/>
                        </a:prstGeom>
                        <a:noFill/>
                        <a:ln w="9525">
                          <a:solidFill>
                            <a:srgbClr val="000000"/>
                          </a:solidFill>
                          <a:round/>
                        </a:ln>
                        <a:effectLst/>
                      </wps:spPr>
                      <wps:bodyPr/>
                    </wps:wsp>
                  </a:graphicData>
                </a:graphic>
              </wp:anchor>
            </w:drawing>
          </mc:Choice>
          <mc:Fallback>
            <w:pict>
              <v:line id="直接连接符 2" o:spid="_x0000_s1026" o:spt="20" style="position:absolute;left:0pt;margin-left:67.55pt;margin-top:222.4pt;height:0.7pt;width:491.55pt;mso-position-horizontal-relative:page;mso-position-vertical-relative:page;z-index:251660288;mso-width-relative:page;mso-height-relative:page;" filled="f" stroked="t" coordsize="21600,21600" o:allowoverlap="f" o:gfxdata="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VJy6IdgAAAAMAQAADwAAAAAAAAABACAAAAAiAAAAZHJzL2Rvd25yZXYueG1sUEsBAhQAFAAA&#10;AAgAh07iQHQRFcvvAQAAvAMAAA4AAAAAAAAAAQAgAAAAJwEAAGRycy9lMm9Eb2MueG1sUEsFBgAA&#10;AAAGAAYAWQEAAIgFAAAAAA==&#10;">
                <v:fill on="f" focussize="0,0"/>
                <v:stroke color="#000000" joinstyle="round"/>
                <v:imagedata o:title=""/>
                <o:lock v:ext="edit" aspectratio="f"/>
              </v:line>
            </w:pict>
          </mc:Fallback>
        </mc:AlternateContent>
      </w:r>
    </w:p>
    <w:p>
      <w:pPr>
        <w:pStyle w:val="50"/>
        <w:framePr w:w="9639" w:h="5135" w:hRule="exact" w:hSpace="0" w:vSpace="0" w:wrap="around" w:hAnchor="page" w:x="1107" w:y="6408"/>
        <w:jc w:val="center"/>
        <w:rPr>
          <w:rFonts w:ascii="黑体" w:hAnsi="黑体" w:eastAsia="黑体"/>
          <w:b w:val="0"/>
          <w:bCs w:val="0"/>
          <w:w w:val="100"/>
        </w:rPr>
      </w:pPr>
    </w:p>
    <w:p>
      <w:pPr>
        <w:pStyle w:val="193"/>
        <w:framePr w:wrap="around" w:x="1498" w:y="13985"/>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p>
    <w:p>
      <w:pPr>
        <w:pStyle w:val="194"/>
        <w:framePr w:wrap="around" w:y="13972"/>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实施</w:t>
      </w:r>
    </w:p>
    <w:p>
      <w:pPr>
        <w:pStyle w:val="151"/>
        <w:framePr w:h="584" w:hRule="exact" w:hSpace="181" w:vSpace="181" w:wrap="around" w:vAnchor="page" w:hAnchor="page" w:x="2428" w:y="15014"/>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14"/>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pPr>
    </w:p>
    <w:p>
      <w:pPr>
        <w:pStyle w:val="197"/>
        <w:framePr w:h="6974" w:hRule="exact" w:wrap="around" w:x="1309" w:y="6115" w:anchorLock="1"/>
      </w:pPr>
      <w:r>
        <w:fldChar w:fldCharType="begin">
          <w:ffData>
            <w:name w:val="CSTD_NAME"/>
            <w:enabled/>
            <w:calcOnExit w:val="0"/>
            <w:textInput>
              <w:default w:val="点击此处添加标准名称"/>
            </w:textInput>
          </w:ffData>
        </w:fldChar>
      </w:r>
      <w:bookmarkStart w:id="15" w:name="CSTD_NAME"/>
      <w:r>
        <w:instrText xml:space="preserve"> FORMTEXT </w:instrText>
      </w:r>
      <w:r>
        <w:fldChar w:fldCharType="separate"/>
      </w:r>
      <w:r>
        <w:rPr>
          <w:rFonts w:hint="eastAsia"/>
        </w:rPr>
        <w:t>旅游警务服务</w:t>
      </w:r>
      <w:r>
        <w:t>规范</w:t>
      </w:r>
      <w:r>
        <w:fldChar w:fldCharType="end"/>
      </w:r>
      <w:bookmarkEnd w:id="15"/>
    </w:p>
    <w:p>
      <w:pPr>
        <w:framePr w:w="9639" w:h="6974" w:hRule="exact" w:wrap="around" w:vAnchor="page" w:hAnchor="page" w:x="1309" w:y="6115" w:anchorLock="1"/>
        <w:ind w:left="-1418"/>
      </w:pPr>
    </w:p>
    <w:p>
      <w:pPr>
        <w:pStyle w:val="125"/>
        <w:framePr w:w="9639" w:h="6974" w:hRule="exact" w:wrap="around" w:vAnchor="page" w:hAnchor="page" w:x="1309" w:y="6115"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6" w:name="ESTD_NAME"/>
      <w:r>
        <w:rPr>
          <w:rFonts w:eastAsia="黑体"/>
          <w:szCs w:val="28"/>
        </w:rPr>
        <w:instrText xml:space="preserve"> FORMTEXT </w:instrText>
      </w:r>
      <w:r>
        <w:rPr>
          <w:rFonts w:eastAsia="黑体"/>
          <w:szCs w:val="28"/>
        </w:rPr>
        <w:fldChar w:fldCharType="separate"/>
      </w:r>
      <w:r>
        <w:rPr>
          <w:rFonts w:eastAsia="黑体"/>
          <w:szCs w:val="28"/>
        </w:rPr>
        <w:t>S</w:t>
      </w:r>
      <w:r>
        <w:rPr>
          <w:rFonts w:hint="eastAsia" w:eastAsia="黑体"/>
          <w:szCs w:val="28"/>
        </w:rPr>
        <w:t>pecifications</w:t>
      </w:r>
      <w:r>
        <w:rPr>
          <w:rFonts w:eastAsia="黑体"/>
          <w:szCs w:val="28"/>
        </w:rPr>
        <w:t xml:space="preserve"> </w:t>
      </w:r>
      <w:r>
        <w:rPr>
          <w:rFonts w:hint="eastAsia" w:eastAsia="黑体"/>
          <w:szCs w:val="28"/>
        </w:rPr>
        <w:t>of tourism policing service</w:t>
      </w:r>
      <w:r>
        <w:rPr>
          <w:rFonts w:eastAsia="黑体"/>
          <w:szCs w:val="28"/>
        </w:rPr>
        <w:fldChar w:fldCharType="end"/>
      </w:r>
      <w:bookmarkEnd w:id="16"/>
    </w:p>
    <w:p>
      <w:pPr>
        <w:framePr w:w="9639" w:h="6974" w:hRule="exact" w:wrap="around" w:vAnchor="page" w:hAnchor="page" w:x="1309" w:y="6115" w:anchorLock="1"/>
        <w:spacing w:line="760" w:lineRule="exact"/>
        <w:ind w:left="-1418"/>
      </w:pPr>
    </w:p>
    <w:p>
      <w:pPr>
        <w:pStyle w:val="125"/>
        <w:framePr w:w="9639" w:h="6974" w:hRule="exact" w:wrap="around" w:vAnchor="page" w:hAnchor="page" w:x="1309" w:y="6115" w:anchorLock="1"/>
        <w:textAlignment w:val="bottom"/>
        <w:rPr>
          <w:rFonts w:eastAsia="黑体"/>
          <w:szCs w:val="28"/>
        </w:rPr>
      </w:pPr>
    </w:p>
    <w:p>
      <w:pPr>
        <w:pStyle w:val="125"/>
        <w:framePr w:w="9639" w:h="6974" w:hRule="exact" w:wrap="around" w:vAnchor="page" w:hAnchor="page" w:x="1309" w:y="6115"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7" w:name="下拉1"/>
      <w:r>
        <w:rPr>
          <w:sz w:val="24"/>
          <w:szCs w:val="28"/>
        </w:rPr>
        <w:instrText xml:space="preserve"> FORMDROPDOWN </w:instrText>
      </w:r>
      <w:r>
        <w:rPr>
          <w:sz w:val="24"/>
          <w:szCs w:val="28"/>
        </w:rPr>
        <w:fldChar w:fldCharType="separate"/>
      </w:r>
      <w:r>
        <w:rPr>
          <w:sz w:val="24"/>
          <w:szCs w:val="28"/>
        </w:rPr>
        <w:fldChar w:fldCharType="end"/>
      </w:r>
      <w:bookmarkEnd w:id="17"/>
    </w:p>
    <w:p>
      <w:pPr>
        <w:pStyle w:val="125"/>
        <w:framePr w:w="9639" w:h="6974" w:hRule="exact" w:wrap="around" w:vAnchor="page" w:hAnchor="page" w:x="1309" w:y="6115"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8"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8"/>
    </w:p>
    <w:p>
      <w:pPr>
        <w:rPr>
          <w:rFonts w:ascii="宋体" w:hAnsi="宋体"/>
          <w:sz w:val="28"/>
          <w:szCs w:val="28"/>
        </w:rPr>
        <w:sectPr>
          <w:headerReference r:id="rId6" w:type="first"/>
          <w:footerReference r:id="rId8" w:type="first"/>
          <w:headerReference r:id="rId5" w:type="default"/>
          <w:footerReference r:id="rId7" w:type="even"/>
          <w:pgSz w:w="11906" w:h="16838"/>
          <w:pgMar w:top="1440" w:right="1800" w:bottom="1440" w:left="1800" w:header="851" w:footer="992" w:gutter="0"/>
          <w:cols w:space="425" w:num="1"/>
          <w:docGrid w:type="lines" w:linePitch="312" w:charSpace="0"/>
        </w:sectPr>
      </w:pPr>
      <w:r>
        <w:rPr>
          <w:rFonts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3"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9&#10;VTQb6AEAALgDAAAOAAAAAAAAAAEAIAAAACYBAABkcnMvZTJvRG9jLnhtbFBLBQYAAAAABgAGAFkB&#10;AACABQAAAAA=&#10;">
                <v:fill on="f" focussize="0,0"/>
                <v:stroke color="#000000" joinstyle="round"/>
                <v:imagedata o:title=""/>
                <o:lock v:ext="edit" aspectratio="f"/>
                <w10:anchorlock/>
              </v:line>
            </w:pict>
          </mc:Fallback>
        </mc:AlternateContent>
      </w:r>
    </w:p>
    <w:p>
      <w:pPr>
        <w:pStyle w:val="91"/>
        <w:spacing w:after="468"/>
      </w:pPr>
      <w:bookmarkStart w:id="19" w:name="BookMark1"/>
      <w:bookmarkStart w:id="20" w:name="_Toc150518098"/>
      <w:bookmarkStart w:id="21" w:name="_Toc143089001"/>
      <w:bookmarkStart w:id="22" w:name="_Toc149299834"/>
      <w:bookmarkStart w:id="23" w:name="_Toc146097582"/>
      <w:bookmarkStart w:id="24" w:name="_Toc145429093"/>
      <w:bookmarkStart w:id="25" w:name="_Toc144301381"/>
      <w:bookmarkStart w:id="26" w:name="_Toc152337806"/>
      <w:bookmarkStart w:id="27" w:name="_Toc151132403"/>
      <w:bookmarkStart w:id="28" w:name="_Toc144301490"/>
      <w:bookmarkStart w:id="29" w:name="_Toc152331390"/>
      <w:bookmarkStart w:id="30" w:name="_Toc146028312"/>
      <w:bookmarkStart w:id="31" w:name="_Toc140245823"/>
      <w:r>
        <w:rPr>
          <w:rFonts w:hint="eastAsia"/>
          <w:spacing w:val="320"/>
        </w:rPr>
        <w:t>目</w:t>
      </w:r>
      <w:r>
        <w:rPr>
          <w:rFonts w:hint="eastAsia"/>
        </w:rPr>
        <w:t>次</w:t>
      </w:r>
    </w:p>
    <w:p>
      <w:pPr>
        <w:pStyle w:val="19"/>
        <w:tabs>
          <w:tab w:val="right" w:leader="dot" w:pos="9344"/>
        </w:tabs>
        <w:rPr>
          <w:rFonts w:hAnsi="宋体" w:cs="宋体"/>
          <w:szCs w:val="22"/>
        </w:rPr>
      </w:pPr>
      <w:r>
        <w:fldChar w:fldCharType="begin"/>
      </w:r>
      <w:r>
        <w:instrText xml:space="preserve"> TOC \o "1-1" \h </w:instrText>
      </w:r>
      <w:r>
        <w:fldChar w:fldCharType="separate"/>
      </w:r>
      <w:r>
        <w:fldChar w:fldCharType="begin"/>
      </w:r>
      <w:r>
        <w:instrText xml:space="preserve"> HYPERLINK \l "_Toc154165934" </w:instrText>
      </w:r>
      <w:r>
        <w:fldChar w:fldCharType="separate"/>
      </w:r>
      <w:r>
        <w:rPr>
          <w:rStyle w:val="32"/>
        </w:rPr>
        <w:t>前言</w:t>
      </w:r>
      <w:r>
        <w:tab/>
      </w:r>
      <w:r>
        <w:rPr>
          <w:rFonts w:hint="eastAsia" w:hAnsi="宋体" w:cs="宋体"/>
        </w:rPr>
        <w:t>Ⅱ</w:t>
      </w:r>
      <w:r>
        <w:rPr>
          <w:rFonts w:hint="eastAsia" w:hAnsi="宋体" w:cs="宋体"/>
        </w:rP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"_Toc154165935" </w:instrText>
      </w:r>
      <w:r>
        <w:fldChar w:fldCharType="separate"/>
      </w:r>
      <w:r>
        <w:rPr>
          <w:rStyle w:val="32"/>
        </w:rPr>
        <w:t>1  范围</w:t>
      </w:r>
      <w:r>
        <w:tab/>
      </w:r>
      <w:r>
        <w:rPr>
          <w:rFonts w:hint="eastAsia"/>
        </w:rPr>
        <w:t>1</w:t>
      </w:r>
      <w:r>
        <w:rPr>
          <w:rFonts w:hint="eastAsia"/>
        </w:rP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"_Toc154165936" </w:instrText>
      </w:r>
      <w:r>
        <w:fldChar w:fldCharType="separate"/>
      </w:r>
      <w:r>
        <w:rPr>
          <w:rStyle w:val="32"/>
        </w:rPr>
        <w:t>2  规范性引用文件</w:t>
      </w:r>
      <w:r>
        <w:tab/>
      </w:r>
      <w:r>
        <w:rPr>
          <w:rFonts w:hint="eastAsia"/>
        </w:rPr>
        <w:t>1</w:t>
      </w:r>
      <w:r>
        <w:rPr>
          <w:rFonts w:hint="eastAsia"/>
        </w:rP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"_Toc154165937" </w:instrText>
      </w:r>
      <w:r>
        <w:fldChar w:fldCharType="separate"/>
      </w:r>
      <w:r>
        <w:rPr>
          <w:rStyle w:val="32"/>
        </w:rPr>
        <w:t>3  术语</w:t>
      </w:r>
      <w:r>
        <w:rPr>
          <w:rStyle w:val="32"/>
          <w:rFonts w:hint="eastAsia"/>
        </w:rPr>
        <w:t>与</w:t>
      </w:r>
      <w:r>
        <w:rPr>
          <w:rStyle w:val="32"/>
        </w:rPr>
        <w:t>定义</w:t>
      </w:r>
      <w:r>
        <w:tab/>
      </w:r>
      <w:r>
        <w:rPr>
          <w:rFonts w:hint="eastAsia"/>
        </w:rPr>
        <w:t>1</w:t>
      </w:r>
      <w:r>
        <w:rPr>
          <w:rFonts w:hint="eastAsia"/>
        </w:rP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"_Toc154165938" </w:instrText>
      </w:r>
      <w:r>
        <w:fldChar w:fldCharType="separate"/>
      </w:r>
      <w:r>
        <w:rPr>
          <w:rStyle w:val="32"/>
        </w:rPr>
        <w:t xml:space="preserve">4  </w:t>
      </w:r>
      <w:r>
        <w:rPr>
          <w:rStyle w:val="32"/>
          <w:rFonts w:hint="eastAsia"/>
        </w:rPr>
        <w:t>组织与职责</w:t>
      </w:r>
      <w:r>
        <w:tab/>
      </w:r>
      <w:r>
        <w:rPr>
          <w:rFonts w:hint="eastAsia"/>
        </w:rPr>
        <w:t>1</w:t>
      </w:r>
      <w:r>
        <w:rPr>
          <w:rFonts w:hint="eastAsia"/>
        </w:rPr>
        <w:fldChar w:fldCharType="end"/>
      </w:r>
    </w:p>
    <w:p>
      <w:pPr>
        <w:pStyle w:val="19"/>
        <w:tabs>
          <w:tab w:val="right" w:leader="dot" w:pos="9344"/>
        </w:tabs>
        <w:rPr>
          <w:rStyle w:val="32"/>
        </w:rPr>
      </w:pPr>
      <w:r>
        <w:fldChar w:fldCharType="begin"/>
      </w:r>
      <w:r>
        <w:instrText xml:space="preserve"> HYPERLINK \l "_Toc154165939" </w:instrText>
      </w:r>
      <w:r>
        <w:fldChar w:fldCharType="separate"/>
      </w:r>
      <w:r>
        <w:rPr>
          <w:rStyle w:val="32"/>
        </w:rPr>
        <w:t xml:space="preserve">5  </w:t>
      </w:r>
      <w:r>
        <w:rPr>
          <w:rStyle w:val="32"/>
          <w:rFonts w:hint="eastAsia"/>
        </w:rPr>
        <w:t>总则</w:t>
      </w:r>
      <w:r>
        <w:tab/>
      </w:r>
      <w:r>
        <w:rPr>
          <w:rFonts w:hint="eastAsia"/>
        </w:rPr>
        <w:t>2</w:t>
      </w:r>
    </w:p>
    <w:p>
      <w:pPr>
        <w:pStyle w:val="19"/>
        <w:tabs>
          <w:tab w:val="right" w:leader="dot" w:pos="9344"/>
        </w:tabs>
      </w:pPr>
      <w:r>
        <w:fldChar w:fldCharType="end"/>
      </w:r>
      <w:r>
        <w:fldChar w:fldCharType="begin"/>
      </w:r>
      <w:r>
        <w:instrText xml:space="preserve"> HYPERLINK \l "_Toc154165940" </w:instrText>
      </w:r>
      <w:r>
        <w:fldChar w:fldCharType="separate"/>
      </w:r>
      <w:r>
        <w:rPr>
          <w:rStyle w:val="32"/>
        </w:rPr>
        <w:t xml:space="preserve">6  </w:t>
      </w:r>
      <w:r>
        <w:rPr>
          <w:rStyle w:val="32"/>
          <w:rFonts w:hint="eastAsia"/>
        </w:rPr>
        <w:t>素质与技能</w:t>
      </w:r>
      <w:r>
        <w:tab/>
      </w:r>
      <w:r>
        <w:rPr>
          <w:rFonts w:hint="eastAsia"/>
        </w:rPr>
        <w:t>2</w:t>
      </w:r>
      <w:r>
        <w:rPr>
          <w:rFonts w:hint="eastAsia"/>
        </w:rPr>
        <w:fldChar w:fldCharType="end"/>
      </w:r>
    </w:p>
    <w:p>
      <w:pPr>
        <w:pStyle w:val="19"/>
        <w:tabs>
          <w:tab w:val="right" w:leader="dot" w:pos="9344"/>
        </w:tabs>
      </w:pPr>
      <w:r>
        <w:fldChar w:fldCharType="begin"/>
      </w:r>
      <w:r>
        <w:instrText xml:space="preserve"> HYPERLINK \l "_Toc154165940" </w:instrText>
      </w:r>
      <w:r>
        <w:fldChar w:fldCharType="separate"/>
      </w:r>
      <w:r>
        <w:rPr>
          <w:rStyle w:val="32"/>
          <w:rFonts w:hint="eastAsia"/>
        </w:rPr>
        <w:t>7</w:t>
      </w:r>
      <w:r>
        <w:rPr>
          <w:rStyle w:val="32"/>
        </w:rPr>
        <w:t xml:space="preserve">  </w:t>
      </w:r>
      <w:r>
        <w:rPr>
          <w:rStyle w:val="32"/>
          <w:rFonts w:hint="eastAsia"/>
        </w:rPr>
        <w:t>形象与装备</w:t>
      </w:r>
      <w:r>
        <w:tab/>
      </w:r>
      <w:r>
        <w:rPr>
          <w:rFonts w:hint="eastAsia"/>
        </w:rPr>
        <w:t>3</w:t>
      </w:r>
      <w:r>
        <w:rPr>
          <w:rFonts w:hint="eastAsia"/>
        </w:rPr>
        <w:fldChar w:fldCharType="end"/>
      </w:r>
    </w:p>
    <w:p>
      <w:pPr>
        <w:pStyle w:val="19"/>
        <w:tabs>
          <w:tab w:val="right" w:leader="dot" w:pos="9344"/>
        </w:tabs>
      </w:pPr>
      <w:r>
        <w:fldChar w:fldCharType="begin"/>
      </w:r>
      <w:r>
        <w:instrText xml:space="preserve"> HYPERLINK \l "_Toc154165943" </w:instrText>
      </w:r>
      <w:r>
        <w:fldChar w:fldCharType="separate"/>
      </w:r>
      <w:r>
        <w:rPr>
          <w:rStyle w:val="32"/>
          <w:rFonts w:hint="eastAsia"/>
        </w:rPr>
        <w:t>8</w:t>
      </w:r>
      <w:r>
        <w:rPr>
          <w:rStyle w:val="32"/>
        </w:rPr>
        <w:t xml:space="preserve">  </w:t>
      </w:r>
      <w:r>
        <w:rPr>
          <w:rStyle w:val="32"/>
          <w:rFonts w:hint="eastAsia"/>
        </w:rPr>
        <w:t>服务要求</w:t>
      </w:r>
      <w:r>
        <w:tab/>
      </w:r>
      <w:r>
        <w:rPr>
          <w:rFonts w:hint="eastAsia"/>
        </w:rPr>
        <w:t>3</w:t>
      </w:r>
      <w:r>
        <w:rPr>
          <w:rFonts w:hint="eastAsia"/>
        </w:rP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"_Toc154165941" </w:instrText>
      </w:r>
      <w:r>
        <w:fldChar w:fldCharType="separate"/>
      </w:r>
      <w:r>
        <w:rPr>
          <w:rStyle w:val="32"/>
          <w:rFonts w:hint="eastAsia"/>
        </w:rPr>
        <w:t>9</w:t>
      </w:r>
      <w:r>
        <w:rPr>
          <w:rStyle w:val="32"/>
        </w:rPr>
        <w:t xml:space="preserve">  </w:t>
      </w:r>
      <w:r>
        <w:rPr>
          <w:rStyle w:val="32"/>
          <w:rFonts w:hint="eastAsia"/>
        </w:rPr>
        <w:t>设施与设置</w:t>
      </w:r>
      <w:r>
        <w:tab/>
      </w:r>
      <w:r>
        <w:rPr>
          <w:rFonts w:hint="eastAsia"/>
        </w:rPr>
        <w:t>4</w:t>
      </w:r>
      <w:r>
        <w:rPr>
          <w:rFonts w:hint="eastAsia"/>
        </w:rP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"_Toc154165942" </w:instrText>
      </w:r>
      <w:r>
        <w:fldChar w:fldCharType="separate"/>
      </w:r>
      <w:r>
        <w:rPr>
          <w:rStyle w:val="32"/>
          <w:rFonts w:hint="eastAsia"/>
        </w:rPr>
        <w:t>10</w:t>
      </w:r>
      <w:r>
        <w:rPr>
          <w:rStyle w:val="32"/>
        </w:rPr>
        <w:t xml:space="preserve"> </w:t>
      </w:r>
      <w:r>
        <w:rPr>
          <w:rStyle w:val="32"/>
          <w:rFonts w:hint="eastAsia"/>
        </w:rPr>
        <w:t>旅游智慧警务</w:t>
      </w:r>
      <w:r>
        <w:tab/>
      </w:r>
      <w:r>
        <w:rPr>
          <w:rFonts w:hint="eastAsia"/>
        </w:rPr>
        <w:t>5</w:t>
      </w:r>
      <w:r>
        <w:rPr>
          <w:rFonts w:hint="eastAsia"/>
        </w:rPr>
        <w:fldChar w:fldCharType="end"/>
      </w:r>
    </w:p>
    <w:p>
      <w:pPr>
        <w:pStyle w:val="19"/>
        <w:tabs>
          <w:tab w:val="right" w:leader="dot" w:pos="9344"/>
        </w:tabs>
      </w:pPr>
      <w:r>
        <w:fldChar w:fldCharType="begin"/>
      </w:r>
      <w:r>
        <w:instrText xml:space="preserve"> HYPERLINK \l "_Toc154165944" </w:instrText>
      </w:r>
      <w:r>
        <w:fldChar w:fldCharType="separate"/>
      </w:r>
      <w:r>
        <w:rPr>
          <w:rStyle w:val="32"/>
        </w:rPr>
        <w:t>1</w:t>
      </w:r>
      <w:r>
        <w:rPr>
          <w:rStyle w:val="32"/>
          <w:rFonts w:hint="eastAsia"/>
        </w:rPr>
        <w:t>1</w:t>
      </w:r>
      <w:r>
        <w:rPr>
          <w:rStyle w:val="32"/>
        </w:rPr>
        <w:t xml:space="preserve"> </w:t>
      </w:r>
      <w:r>
        <w:rPr>
          <w:rStyle w:val="32"/>
          <w:rFonts w:hint="eastAsia"/>
        </w:rPr>
        <w:t>评价与考核</w:t>
      </w:r>
      <w:r>
        <w:tab/>
      </w:r>
      <w:r>
        <w:rPr>
          <w:rFonts w:hint="eastAsia"/>
        </w:rPr>
        <w:t>5</w:t>
      </w:r>
      <w:r>
        <w:rPr>
          <w:rFonts w:hint="eastAsia"/>
        </w:rPr>
        <w:fldChar w:fldCharType="end"/>
      </w:r>
    </w:p>
    <w:p>
      <w:pPr>
        <w:rPr>
          <w:rStyle w:val="32"/>
          <w:rFonts w:hint="eastAsia"/>
        </w:rPr>
      </w:pPr>
      <w:r>
        <w:rPr>
          <w:rFonts w:hint="eastAsia"/>
        </w:rPr>
        <w:t>附录A(资料性）旅游警察专属袖标</w:t>
      </w:r>
      <w:r>
        <w:rPr>
          <w:rStyle w:val="32"/>
          <w:rFonts w:hint="eastAsia"/>
        </w:rPr>
        <w:t>................... .......................................6</w:t>
      </w:r>
    </w:p>
    <w:p>
      <w:pPr>
        <w:rPr>
          <w:rStyle w:val="32"/>
          <w:rFonts w:hint="eastAsia"/>
        </w:rPr>
      </w:pPr>
      <w:r>
        <w:rPr>
          <w:rFonts w:hint="eastAsia"/>
        </w:rPr>
        <w:t>附录B(资料性）旅游警辅专属袖标</w:t>
      </w:r>
      <w:r>
        <w:rPr>
          <w:rStyle w:val="32"/>
          <w:rFonts w:hint="eastAsia"/>
        </w:rPr>
        <w:t>................... .......................................7</w:t>
      </w:r>
    </w:p>
    <w:p>
      <w:pPr>
        <w:rPr>
          <w:rStyle w:val="32"/>
          <w:rFonts w:hint="eastAsia"/>
        </w:rPr>
      </w:pPr>
      <w:r>
        <w:rPr>
          <w:rFonts w:hint="eastAsia"/>
        </w:rPr>
        <w:t>附录c(资料性）旅游警察专属标牌</w:t>
      </w:r>
      <w:r>
        <w:rPr>
          <w:rStyle w:val="32"/>
          <w:rFonts w:hint="eastAsia"/>
        </w:rPr>
        <w:t>.................. .......................................8</w:t>
      </w:r>
    </w:p>
    <w:p>
      <w:pPr>
        <w:rPr>
          <w:rStyle w:val="32"/>
          <w:rFonts w:hint="eastAsia"/>
        </w:rPr>
      </w:pPr>
    </w:p>
    <w:p>
      <w:pPr>
        <w:rPr>
          <w:rStyle w:val="32"/>
        </w:rPr>
      </w:pPr>
    </w:p>
    <w:p>
      <w:pPr>
        <w:pStyle w:val="19"/>
        <w:tabs>
          <w:tab w:val="right" w:leader="dot" w:pos="9344"/>
        </w:tabs>
        <w:rPr>
          <w:rFonts w:asciiTheme="minorHAnsi" w:hAnsiTheme="minorHAnsi" w:eastAsiaTheme="minorEastAsia" w:cstheme="minorBidi"/>
          <w:szCs w:val="22"/>
        </w:rPr>
      </w:pPr>
    </w:p>
    <w:p>
      <w:pPr>
        <w:pStyle w:val="91"/>
        <w:spacing w:after="468"/>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bookmarkEnd w:id="19"/>
      <w:bookmarkStart w:id="32" w:name="_Toc154165934"/>
      <w:bookmarkStart w:id="33" w:name="BookMark2"/>
    </w:p>
    <w:p>
      <w:pPr>
        <w:pStyle w:val="91"/>
        <w:spacing w:after="468"/>
      </w:pPr>
      <w:r>
        <w:rPr>
          <w:spacing w:val="320"/>
        </w:rPr>
        <w:t>前</w:t>
      </w:r>
      <w:r>
        <w:t>言</w:t>
      </w:r>
      <w:bookmarkEnd w:id="20"/>
      <w:bookmarkEnd w:id="21"/>
      <w:bookmarkEnd w:id="22"/>
      <w:bookmarkEnd w:id="23"/>
      <w:bookmarkEnd w:id="24"/>
      <w:bookmarkEnd w:id="25"/>
      <w:bookmarkEnd w:id="26"/>
      <w:bookmarkEnd w:id="27"/>
      <w:bookmarkEnd w:id="28"/>
      <w:bookmarkEnd w:id="29"/>
      <w:bookmarkEnd w:id="30"/>
      <w:bookmarkEnd w:id="31"/>
      <w:bookmarkEnd w:id="32"/>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本文件由江苏省公安厅提出并归口。</w:t>
      </w:r>
    </w:p>
    <w:p>
      <w:pPr>
        <w:pStyle w:val="56"/>
        <w:ind w:firstLine="420"/>
      </w:pPr>
      <w:r>
        <w:rPr>
          <w:rFonts w:hint="eastAsia"/>
        </w:rPr>
        <w:t>本文件起草单位：江苏省公安厅、扬州市公安局蜀冈</w:t>
      </w:r>
      <w:r>
        <w:rPr>
          <w:rFonts w:hint="eastAsia"/>
          <w:lang w:val="en-US" w:eastAsia="zh-CN"/>
        </w:rPr>
        <w:t>-</w:t>
      </w:r>
      <w:r>
        <w:rPr>
          <w:rFonts w:hint="eastAsia"/>
        </w:rPr>
        <w:t>瘦西湖风景名胜区分局。</w:t>
      </w:r>
    </w:p>
    <w:p>
      <w:pPr>
        <w:pStyle w:val="56"/>
        <w:ind w:firstLine="420"/>
      </w:pPr>
      <w:r>
        <w:rPr>
          <w:rFonts w:hint="eastAsia"/>
        </w:rPr>
        <w:t>本文件主要起草人：凌玉富、汪强、周兆洪、杨敏、王积勋</w:t>
      </w:r>
      <w:r>
        <w:rPr>
          <w:rFonts w:hint="eastAsia"/>
          <w:szCs w:val="22"/>
        </w:rPr>
        <w:t>。</w:t>
      </w:r>
      <w:r>
        <w:t xml:space="preserve"> </w:t>
      </w:r>
    </w:p>
    <w:p>
      <w:pPr>
        <w:pStyle w:val="56"/>
        <w:ind w:firstLine="420"/>
      </w:pPr>
    </w:p>
    <w:bookmarkEnd w:id="33"/>
    <w:p>
      <w:pPr>
        <w:spacing w:line="20" w:lineRule="exact"/>
        <w:jc w:val="center"/>
        <w:rPr>
          <w:rFonts w:ascii="黑体" w:hAnsi="黑体" w:eastAsia="黑体"/>
          <w:sz w:val="32"/>
          <w:szCs w:val="32"/>
        </w:rPr>
      </w:pPr>
      <w:bookmarkStart w:id="34" w:name="BookMark4"/>
    </w:p>
    <w:p>
      <w:pPr>
        <w:pStyle w:val="236"/>
        <w:sectPr>
          <w:headerReference r:id="rId13" w:type="default"/>
          <w:footerReference r:id="rId14" w:type="default"/>
          <w:pgSz w:w="11906" w:h="16838"/>
          <w:pgMar w:top="1928" w:right="1134" w:bottom="1134" w:left="1134" w:header="1418" w:footer="1134" w:gutter="284"/>
          <w:pgNumType w:fmt="upperRoman"/>
          <w:cols w:space="425" w:num="1"/>
          <w:formProt w:val="0"/>
          <w:docGrid w:type="lines" w:linePitch="312" w:charSpace="0"/>
        </w:sectPr>
      </w:pPr>
    </w:p>
    <w:sdt>
      <w:sdtPr>
        <w:rPr>
          <w:rFonts w:hAnsi="黑体"/>
          <w:kern w:val="2"/>
          <w:szCs w:val="32"/>
        </w:rPr>
        <w:tag w:val="NEW_STAND_NAME"/>
        <w:id w:val="595910757"/>
        <w:lock w:val="sdtLocked"/>
        <w:placeholder>
          <w:docPart w:val="{d643cb16-9ef3-4e11-834e-5b8162657358}"/>
        </w:placeholder>
      </w:sdtPr>
      <w:sdtEndPr>
        <w:rPr>
          <w:rFonts w:hAnsi="黑体"/>
          <w:kern w:val="2"/>
          <w:szCs w:val="32"/>
        </w:rPr>
      </w:sdtEndPr>
      <w:sdtContent>
        <w:p>
          <w:pPr>
            <w:pStyle w:val="236"/>
          </w:pPr>
          <w:bookmarkStart w:id="35" w:name="NEW_STAND_NAME"/>
          <w:r>
            <w:rPr>
              <w:rFonts w:hint="eastAsia"/>
            </w:rPr>
            <w:t>旅游警务服务规范</w:t>
          </w:r>
        </w:p>
        <w:p>
          <w:pPr>
            <w:pStyle w:val="238"/>
            <w:spacing w:before="312" w:after="312"/>
          </w:pPr>
          <w:r>
            <w:rPr>
              <w:rFonts w:hint="eastAsia"/>
            </w:rPr>
            <w:t>范围</w:t>
          </w:r>
        </w:p>
        <w:p>
          <w:pPr>
            <w:pStyle w:val="237"/>
          </w:pPr>
          <w:r>
            <w:rPr>
              <w:rFonts w:hint="eastAsia"/>
            </w:rPr>
            <w:t>本文件规定了旅游警务组织与职责、总则、素质与技能、形象与装备、服务要求、设施与设置、旅游智慧警务、评价与考核。</w:t>
          </w:r>
        </w:p>
        <w:p>
          <w:pPr>
            <w:pStyle w:val="237"/>
            <w:rPr>
              <w:strike/>
            </w:rPr>
          </w:pPr>
          <w:r>
            <w:rPr>
              <w:rFonts w:hint="eastAsia"/>
            </w:rPr>
            <w:t>本文件适用于公安机关人民警察、警务辅助人员为</w:t>
          </w:r>
          <w:r>
            <w:rPr>
              <w:rFonts w:hint="eastAsia"/>
              <w:szCs w:val="22"/>
            </w:rPr>
            <w:t>旅游活动参与者</w:t>
          </w:r>
          <w:r>
            <w:rPr>
              <w:rFonts w:hint="eastAsia"/>
            </w:rPr>
            <w:t>提供的旅游警务服务活动。</w:t>
          </w:r>
        </w:p>
        <w:p>
          <w:pPr>
            <w:pStyle w:val="238"/>
            <w:spacing w:before="312" w:after="312"/>
          </w:pPr>
          <w:r>
            <w:rPr>
              <w:rFonts w:hint="eastAsia"/>
            </w:rPr>
            <w:t>规范性引用文件</w:t>
          </w:r>
        </w:p>
        <w:p>
          <w:pPr>
            <w:pStyle w:val="237"/>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37"/>
          </w:pPr>
          <w:r>
            <w:rPr>
              <w:rFonts w:hint="eastAsia"/>
            </w:rPr>
            <w:t>GB/T 31384-2024 旅游景区公共信息导向系统设置规范</w:t>
          </w:r>
        </w:p>
        <w:p>
          <w:pPr>
            <w:pStyle w:val="237"/>
          </w:pPr>
          <w:r>
            <w:rPr>
              <w:rFonts w:hint="eastAsia"/>
            </w:rPr>
            <w:t>GA 524-2004 2004式警车汽车类外观制式涂装规范</w:t>
          </w:r>
        </w:p>
        <w:p>
          <w:pPr>
            <w:pStyle w:val="237"/>
          </w:pPr>
          <w:r>
            <w:rPr>
              <w:rFonts w:hint="eastAsia"/>
            </w:rPr>
            <w:t>GA 525-2004 2004式警车摩托车类外观制式涂装规范</w:t>
          </w:r>
        </w:p>
        <w:p>
          <w:pPr>
            <w:pStyle w:val="237"/>
          </w:pPr>
          <w:r>
            <w:rPr>
              <w:rFonts w:hint="eastAsia"/>
            </w:rPr>
            <w:t>GA 1068-2013 警用船艇外观制式涂装规范</w:t>
          </w:r>
        </w:p>
        <w:p>
          <w:pPr>
            <w:pStyle w:val="237"/>
          </w:pPr>
          <w:r>
            <w:rPr>
              <w:rFonts w:hint="eastAsia"/>
            </w:rPr>
            <w:t>GA 1732-2020 警用无人驾驶航空器外观制式涂装规范</w:t>
          </w:r>
        </w:p>
        <w:p>
          <w:pPr>
            <w:pStyle w:val="238"/>
            <w:spacing w:before="312" w:after="312"/>
          </w:pPr>
          <w:r>
            <w:rPr>
              <w:rFonts w:hint="eastAsia"/>
            </w:rPr>
            <w:t>术语与定义</w:t>
          </w:r>
        </w:p>
        <w:p>
          <w:pPr>
            <w:pStyle w:val="237"/>
          </w:pPr>
          <w:r>
            <w:rPr>
              <w:rFonts w:hint="eastAsia"/>
            </w:rPr>
            <w:t>下列术语和定义适用于本标准。</w:t>
          </w:r>
        </w:p>
        <w:p>
          <w:pPr>
            <w:pStyle w:val="239"/>
            <w:spacing w:before="156" w:after="156"/>
          </w:pPr>
        </w:p>
        <w:p>
          <w:pPr>
            <w:pStyle w:val="239"/>
            <w:numPr>
              <w:ilvl w:val="1"/>
              <w:numId w:val="0"/>
            </w:numPr>
            <w:spacing w:before="156" w:after="156"/>
            <w:ind w:firstLine="420" w:firstLineChars="200"/>
            <w:rPr>
              <w:rFonts w:hAnsi="黑体"/>
            </w:rPr>
          </w:pPr>
          <w:r>
            <w:rPr>
              <w:rFonts w:hint="eastAsia" w:hAnsi="黑体"/>
            </w:rPr>
            <w:t xml:space="preserve">旅游警务 tourism  policing </w:t>
          </w:r>
        </w:p>
        <w:p>
          <w:pPr>
            <w:pStyle w:val="237"/>
          </w:pPr>
          <w:r>
            <w:rPr>
              <w:rFonts w:hint="eastAsia"/>
            </w:rPr>
            <w:t>维护旅游治安秩序，预防、制止和查处涉旅违法犯罪行为，保护旅游活动参与者人身财产安全，为旅游者提供报警</w:t>
          </w:r>
          <w:r>
            <w:rPr>
              <w:rFonts w:hint="eastAsia"/>
              <w:szCs w:val="22"/>
            </w:rPr>
            <w:t>救助、咨询解答、便民措施</w:t>
          </w:r>
          <w:r>
            <w:rPr>
              <w:rFonts w:hint="eastAsia"/>
            </w:rPr>
            <w:t>等服务的公安机关警务工作。</w:t>
          </w:r>
        </w:p>
        <w:p>
          <w:pPr>
            <w:pStyle w:val="239"/>
            <w:spacing w:before="156" w:after="156"/>
          </w:pPr>
        </w:p>
        <w:p>
          <w:pPr>
            <w:pStyle w:val="239"/>
            <w:numPr>
              <w:ilvl w:val="1"/>
              <w:numId w:val="0"/>
            </w:numPr>
            <w:spacing w:before="156" w:after="156"/>
            <w:ind w:firstLine="420" w:firstLineChars="200"/>
          </w:pPr>
          <w:r>
            <w:rPr>
              <w:rFonts w:hint="eastAsia" w:hAnsi="黑体"/>
            </w:rPr>
            <w:t xml:space="preserve">旅游警察 tourism  police </w:t>
          </w:r>
        </w:p>
        <w:p>
          <w:pPr>
            <w:pStyle w:val="237"/>
            <w:rPr>
              <w:szCs w:val="22"/>
            </w:rPr>
          </w:pPr>
          <w:r>
            <w:rPr>
              <w:rFonts w:hint="eastAsia"/>
              <w:szCs w:val="22"/>
            </w:rPr>
            <w:t>专职维护旅游治安秩序，预防、制止和查处涉旅违法犯罪行为，保护旅游活动参与者人身财产安全，为旅游者提供报警救助、咨询解答、便民措施等服务的公安机关人民警察。</w:t>
          </w:r>
        </w:p>
        <w:p>
          <w:pPr>
            <w:pStyle w:val="238"/>
            <w:spacing w:before="312" w:after="312"/>
          </w:pPr>
          <w:r>
            <w:rPr>
              <w:rFonts w:hint="eastAsia"/>
            </w:rPr>
            <w:t>组织与职责</w:t>
          </w:r>
        </w:p>
        <w:p>
          <w:pPr>
            <w:pStyle w:val="239"/>
            <w:spacing w:before="156" w:after="156"/>
          </w:pPr>
          <w:r>
            <w:rPr>
              <w:rFonts w:hint="eastAsia"/>
            </w:rPr>
            <w:t>旅游警务组织机构</w:t>
          </w:r>
        </w:p>
        <w:p>
          <w:pPr>
            <w:pStyle w:val="237"/>
          </w:pPr>
          <w:r>
            <w:rPr>
              <w:rFonts w:hint="eastAsia"/>
            </w:rPr>
            <w:t>各设区市根据本地情况宜设立独立运作的旅游警察支队，也可在各地治安部门或景区专业分局增挂旅游警察支队牌子，明确专门部门牵头旅游治安管理工作。</w:t>
          </w:r>
        </w:p>
        <w:p>
          <w:pPr>
            <w:pStyle w:val="237"/>
          </w:pPr>
          <w:r>
            <w:rPr>
              <w:rFonts w:hint="eastAsia"/>
            </w:rPr>
            <w:t>5A级景区所在地县（市、区）级公安机关宜设立旅游警察大队；交警大队宜增挂旅游警察交警大队牌子。</w:t>
          </w:r>
        </w:p>
        <w:p>
          <w:pPr>
            <w:pStyle w:val="237"/>
          </w:pPr>
          <w:r>
            <w:rPr>
              <w:rFonts w:hint="eastAsia"/>
            </w:rPr>
            <w:t>重点景区和市区火车站、汽车站、机场、码头、港口等所在地公安派出所宜视情增设旅游警察中队。</w:t>
          </w:r>
        </w:p>
        <w:p>
          <w:pPr>
            <w:pStyle w:val="239"/>
            <w:spacing w:before="156" w:after="156"/>
          </w:pPr>
          <w:r>
            <w:rPr>
              <w:rFonts w:hint="eastAsia"/>
            </w:rPr>
            <w:t>旅游警务组织工作职责</w:t>
          </w:r>
        </w:p>
        <w:p>
          <w:pPr>
            <w:pStyle w:val="244"/>
            <w:numPr>
              <w:ilvl w:val="0"/>
              <w:numId w:val="0"/>
            </w:numPr>
          </w:pPr>
          <w:r>
            <w:rPr>
              <w:rFonts w:hint="eastAsia" w:ascii="黑体" w:eastAsia="黑体"/>
            </w:rPr>
            <w:t xml:space="preserve">4.2.1 </w:t>
          </w:r>
          <w:r>
            <w:rPr>
              <w:rFonts w:hint="eastAsia"/>
            </w:rPr>
            <w:t>维护景区景点治安秩序，参与周边交通秩序管理，开展旅游治安情态分析研判和指挥调度工作。</w:t>
          </w:r>
        </w:p>
        <w:p>
          <w:pPr>
            <w:pStyle w:val="244"/>
            <w:numPr>
              <w:ilvl w:val="0"/>
              <w:numId w:val="0"/>
            </w:numPr>
          </w:pPr>
          <w:r>
            <w:rPr>
              <w:rFonts w:hint="eastAsia" w:ascii="黑体" w:eastAsia="黑体"/>
            </w:rPr>
            <w:t xml:space="preserve">4.2.2 </w:t>
          </w:r>
          <w:r>
            <w:rPr>
              <w:rFonts w:hint="eastAsia"/>
            </w:rPr>
            <w:t xml:space="preserve">依法打击查处涉及旅游活动参与者人身财产安全、破坏旅游市场秩序的违法犯罪行为。 </w:t>
          </w:r>
        </w:p>
        <w:p>
          <w:pPr>
            <w:pStyle w:val="244"/>
            <w:numPr>
              <w:ilvl w:val="0"/>
              <w:numId w:val="0"/>
            </w:numPr>
          </w:pPr>
          <w:r>
            <w:rPr>
              <w:rFonts w:hint="eastAsia" w:ascii="黑体" w:eastAsia="黑体"/>
            </w:rPr>
            <w:t xml:space="preserve">4.2.3 </w:t>
          </w:r>
          <w:r>
            <w:rPr>
              <w:rFonts w:hint="eastAsia"/>
            </w:rPr>
            <w:t xml:space="preserve">会同相关职能部门开展旅游市场监管综合执法，集中整治涉旅乱象，共同维护旅游市场秩序。 </w:t>
          </w:r>
        </w:p>
        <w:p>
          <w:pPr>
            <w:pStyle w:val="244"/>
            <w:numPr>
              <w:ilvl w:val="0"/>
              <w:numId w:val="0"/>
            </w:numPr>
          </w:pPr>
          <w:r>
            <w:rPr>
              <w:rFonts w:hint="eastAsia" w:ascii="黑体" w:eastAsia="黑体"/>
            </w:rPr>
            <w:t xml:space="preserve">4.2.4 </w:t>
          </w:r>
          <w:r>
            <w:rPr>
              <w:rFonts w:hint="eastAsia"/>
            </w:rPr>
            <w:t xml:space="preserve">为旅游者提供报警救助、咨询解答、便民措施等服务，调处、协处涉旅矛盾纠纷。 </w:t>
          </w:r>
        </w:p>
        <w:p>
          <w:pPr>
            <w:pStyle w:val="244"/>
            <w:numPr>
              <w:ilvl w:val="0"/>
              <w:numId w:val="0"/>
            </w:numPr>
          </w:pPr>
          <w:r>
            <w:rPr>
              <w:rFonts w:hint="eastAsia" w:ascii="黑体" w:eastAsia="黑体"/>
            </w:rPr>
            <w:t>4.2.5</w:t>
          </w:r>
          <w:r>
            <w:rPr>
              <w:rFonts w:hint="eastAsia"/>
            </w:rPr>
            <w:t xml:space="preserve"> 指导督促景区景点管理单位和企业开展秩序维护、安全防范等内部安全保卫工作。</w:t>
          </w:r>
        </w:p>
        <w:p>
          <w:pPr>
            <w:pStyle w:val="238"/>
            <w:spacing w:before="312" w:after="312"/>
          </w:pPr>
          <w:r>
            <w:rPr>
              <w:rFonts w:hint="eastAsia"/>
            </w:rPr>
            <w:t>总则</w:t>
          </w:r>
        </w:p>
        <w:p>
          <w:pPr>
            <w:pStyle w:val="240"/>
            <w:numPr>
              <w:ilvl w:val="0"/>
              <w:numId w:val="0"/>
            </w:numPr>
            <w:rPr>
              <w:rFonts w:ascii="黑体" w:eastAsia="黑体"/>
            </w:rPr>
          </w:pPr>
          <w:r>
            <w:rPr>
              <w:rFonts w:hint="eastAsia" w:ascii="黑体" w:eastAsia="黑体"/>
            </w:rPr>
            <w:t>5.1</w:t>
          </w:r>
          <w:r>
            <w:rPr>
              <w:rFonts w:hint="eastAsia"/>
            </w:rPr>
            <w:t>旅游警察警务活动应遵循《公安机关人民警察内务条令》总体要求，做到规范执法、文明执勤、热情服务。</w:t>
          </w:r>
        </w:p>
        <w:p>
          <w:pPr>
            <w:pStyle w:val="240"/>
            <w:numPr>
              <w:ilvl w:val="0"/>
              <w:numId w:val="0"/>
            </w:numPr>
            <w:rPr>
              <w:rFonts w:ascii="黑体" w:eastAsia="黑体"/>
            </w:rPr>
          </w:pPr>
          <w:r>
            <w:rPr>
              <w:rFonts w:hint="eastAsia" w:ascii="黑体" w:eastAsia="黑体"/>
            </w:rPr>
            <w:t xml:space="preserve">5.2 </w:t>
          </w:r>
          <w:r>
            <w:rPr>
              <w:rFonts w:hint="eastAsia"/>
            </w:rPr>
            <w:t>旅游警察现场执法应以“不耽误游客行程”为原则，对接报的涉旅警情第一时间就近受理、快速处置，实现“纠纷快调快处、事故快勘快赔、案件快交快办”。</w:t>
          </w:r>
        </w:p>
        <w:p>
          <w:pPr>
            <w:pStyle w:val="240"/>
            <w:numPr>
              <w:ilvl w:val="0"/>
              <w:numId w:val="0"/>
            </w:numPr>
            <w:rPr>
              <w:rFonts w:ascii="黑体" w:eastAsia="黑体"/>
            </w:rPr>
          </w:pPr>
          <w:r>
            <w:rPr>
              <w:rFonts w:hint="eastAsia" w:ascii="黑体" w:eastAsia="黑体"/>
            </w:rPr>
            <w:t xml:space="preserve">5.3 </w:t>
          </w:r>
          <w:r>
            <w:rPr>
              <w:rFonts w:hint="eastAsia"/>
            </w:rPr>
            <w:t>旅游警察应坚持“Fast(快捷)、Front（靠前）、Face（身边）、Favorite（满意）”的服务理念，在服务过程中做到“主动感知、主动微笑、主动提示、主动帮助、主动宣传”。</w:t>
          </w:r>
        </w:p>
        <w:p>
          <w:pPr>
            <w:pStyle w:val="240"/>
            <w:numPr>
              <w:ilvl w:val="0"/>
              <w:numId w:val="0"/>
            </w:numPr>
          </w:pPr>
          <w:r>
            <w:rPr>
              <w:rFonts w:hint="eastAsia" w:ascii="黑体" w:eastAsia="黑体"/>
            </w:rPr>
            <w:t xml:space="preserve">5.4 </w:t>
          </w:r>
          <w:r>
            <w:rPr>
              <w:rFonts w:hint="eastAsia"/>
            </w:rPr>
            <w:t>提供旅游警务服务时，应充分尊重旅游者宗教信仰、民族风俗习惯。</w:t>
          </w:r>
        </w:p>
        <w:p>
          <w:pPr>
            <w:pStyle w:val="240"/>
            <w:numPr>
              <w:ilvl w:val="0"/>
              <w:numId w:val="0"/>
            </w:numPr>
          </w:pPr>
          <w:r>
            <w:rPr>
              <w:rFonts w:hint="eastAsia" w:ascii="黑体" w:eastAsia="黑体"/>
            </w:rPr>
            <w:t xml:space="preserve">5.5 </w:t>
          </w:r>
          <w:r>
            <w:rPr>
              <w:rFonts w:hint="eastAsia"/>
            </w:rPr>
            <w:t>坚持和发展新时代“枫桥经验”，完善涉旅矛盾纠纷多元调处机制，做到预防在先、介入在初、化解在早，全力维护旅游者合法权益。</w:t>
          </w:r>
        </w:p>
        <w:p>
          <w:pPr>
            <w:pStyle w:val="238"/>
            <w:spacing w:before="312" w:after="312"/>
          </w:pPr>
          <w:r>
            <w:rPr>
              <w:rFonts w:hint="eastAsia"/>
            </w:rPr>
            <w:t>素质与技能</w:t>
          </w:r>
        </w:p>
        <w:p>
          <w:pPr>
            <w:pStyle w:val="239"/>
            <w:spacing w:before="156" w:after="156"/>
          </w:pPr>
          <w:r>
            <w:rPr>
              <w:rFonts w:hint="eastAsia"/>
            </w:rPr>
            <w:t>基本要求</w:t>
          </w:r>
        </w:p>
        <w:p>
          <w:pPr>
            <w:pStyle w:val="237"/>
          </w:pPr>
          <w:r>
            <w:rPr>
              <w:rFonts w:hint="eastAsia"/>
            </w:rPr>
            <w:t>具备人民警察、警务辅助人员本职岗位所涉及的专业基本理论和操作技能，并定期组织培训演练。</w:t>
          </w:r>
        </w:p>
        <w:p>
          <w:pPr>
            <w:pStyle w:val="239"/>
            <w:spacing w:before="156" w:after="156"/>
          </w:pPr>
          <w:r>
            <w:rPr>
              <w:rFonts w:hint="eastAsia"/>
            </w:rPr>
            <w:t>专业要求</w:t>
          </w:r>
        </w:p>
        <w:p>
          <w:pPr>
            <w:pStyle w:val="241"/>
            <w:numPr>
              <w:ilvl w:val="0"/>
              <w:numId w:val="0"/>
            </w:numPr>
          </w:pPr>
          <w:r>
            <w:rPr>
              <w:rFonts w:hint="eastAsia"/>
            </w:rPr>
            <w:t>6.2.1 旅游常识</w:t>
          </w:r>
        </w:p>
        <w:p>
          <w:pPr>
            <w:pStyle w:val="241"/>
            <w:numPr>
              <w:ilvl w:val="0"/>
              <w:numId w:val="0"/>
            </w:numPr>
          </w:pPr>
          <w:r>
            <w:rPr>
              <w:rFonts w:hint="eastAsia"/>
            </w:rPr>
            <w:t xml:space="preserve">6.2.1.1 </w:t>
          </w:r>
          <w:r>
            <w:rPr>
              <w:rFonts w:hint="eastAsia" w:ascii="宋体" w:eastAsia="宋体"/>
            </w:rPr>
            <w:t>应熟悉城市文化、景点人文等本地旅游常识，能为旅游者提供介绍引导。</w:t>
          </w:r>
        </w:p>
        <w:p>
          <w:pPr>
            <w:pStyle w:val="244"/>
            <w:numPr>
              <w:ilvl w:val="0"/>
              <w:numId w:val="0"/>
            </w:numPr>
          </w:pPr>
          <w:r>
            <w:rPr>
              <w:rFonts w:hint="eastAsia" w:ascii="黑体" w:eastAsia="黑体"/>
            </w:rPr>
            <w:t xml:space="preserve">6.2.1.2 </w:t>
          </w:r>
          <w:r>
            <w:rPr>
              <w:rFonts w:hint="eastAsia"/>
            </w:rPr>
            <w:t>应熟知景区景点交通线路、服务设施、便民措施等，能为旅游者提供引导服务。</w:t>
          </w:r>
        </w:p>
        <w:p>
          <w:pPr>
            <w:pStyle w:val="244"/>
            <w:numPr>
              <w:ilvl w:val="0"/>
              <w:numId w:val="0"/>
            </w:numPr>
          </w:pPr>
          <w:r>
            <w:rPr>
              <w:rFonts w:hint="eastAsia" w:ascii="黑体" w:eastAsia="黑体"/>
            </w:rPr>
            <w:t xml:space="preserve">6.2.1.3 </w:t>
          </w:r>
          <w:r>
            <w:rPr>
              <w:rFonts w:hint="eastAsia"/>
            </w:rPr>
            <w:t>宜取得导游人员职业资格证书。</w:t>
          </w:r>
        </w:p>
        <w:p>
          <w:pPr>
            <w:pStyle w:val="241"/>
            <w:numPr>
              <w:ilvl w:val="0"/>
              <w:numId w:val="0"/>
            </w:numPr>
          </w:pPr>
          <w:r>
            <w:rPr>
              <w:rFonts w:hint="eastAsia"/>
            </w:rPr>
            <w:t>6.2.2  双语交流</w:t>
          </w:r>
        </w:p>
        <w:p>
          <w:pPr>
            <w:pStyle w:val="244"/>
            <w:numPr>
              <w:ilvl w:val="0"/>
              <w:numId w:val="0"/>
            </w:numPr>
          </w:pPr>
          <w:r>
            <w:rPr>
              <w:rFonts w:hint="eastAsia" w:ascii="黑体" w:eastAsia="黑体"/>
            </w:rPr>
            <w:t xml:space="preserve">6.2.2.1 </w:t>
          </w:r>
          <w:r>
            <w:rPr>
              <w:rFonts w:hint="eastAsia"/>
            </w:rPr>
            <w:t>宜具备英语或其他语种基本口语对话能力，掌握旅游警察双语场景对话内容，并能熟练应用。</w:t>
          </w:r>
        </w:p>
        <w:p>
          <w:pPr>
            <w:pStyle w:val="244"/>
            <w:numPr>
              <w:ilvl w:val="0"/>
              <w:numId w:val="0"/>
            </w:numPr>
          </w:pPr>
          <w:r>
            <w:rPr>
              <w:rFonts w:hint="eastAsia" w:ascii="黑体" w:eastAsia="黑体"/>
            </w:rPr>
            <w:t xml:space="preserve">6.2.2.2 </w:t>
          </w:r>
          <w:r>
            <w:rPr>
              <w:rFonts w:hint="eastAsia"/>
            </w:rPr>
            <w:t>宜通过“全国公共英语等级考试（PETS）”二级以上考试。</w:t>
          </w:r>
        </w:p>
        <w:p>
          <w:pPr>
            <w:pStyle w:val="241"/>
            <w:numPr>
              <w:ilvl w:val="0"/>
              <w:numId w:val="0"/>
            </w:numPr>
          </w:pPr>
          <w:r>
            <w:rPr>
              <w:rFonts w:hint="eastAsia"/>
            </w:rPr>
            <w:t>6.2.3  应急救助</w:t>
          </w:r>
        </w:p>
        <w:p>
          <w:pPr>
            <w:pStyle w:val="244"/>
            <w:numPr>
              <w:ilvl w:val="0"/>
              <w:numId w:val="0"/>
            </w:numPr>
          </w:pPr>
          <w:r>
            <w:rPr>
              <w:rFonts w:hint="eastAsia" w:ascii="黑体" w:eastAsia="黑体"/>
            </w:rPr>
            <w:t xml:space="preserve">6.2.3.1 </w:t>
          </w:r>
          <w:r>
            <w:rPr>
              <w:rFonts w:hint="eastAsia"/>
            </w:rPr>
            <w:t>应掌握创伤救护等基本急救常识和应急救援相关装备使用方法，第一时间开展救助救援。</w:t>
          </w:r>
        </w:p>
        <w:p>
          <w:pPr>
            <w:pStyle w:val="244"/>
            <w:numPr>
              <w:ilvl w:val="0"/>
              <w:numId w:val="0"/>
            </w:numPr>
          </w:pPr>
          <w:r>
            <w:rPr>
              <w:rFonts w:hint="eastAsia" w:ascii="黑体" w:eastAsia="黑体"/>
            </w:rPr>
            <w:t xml:space="preserve">6.2.3.2 </w:t>
          </w:r>
          <w:r>
            <w:rPr>
              <w:rFonts w:hint="eastAsia"/>
            </w:rPr>
            <w:t>宜取得国家应急救援员等资格证书。</w:t>
          </w:r>
        </w:p>
        <w:p>
          <w:pPr>
            <w:pStyle w:val="241"/>
            <w:numPr>
              <w:ilvl w:val="0"/>
              <w:numId w:val="0"/>
            </w:numPr>
          </w:pPr>
          <w:r>
            <w:rPr>
              <w:rFonts w:hint="eastAsia"/>
            </w:rPr>
            <w:t>6.2.4  信息服务</w:t>
          </w:r>
        </w:p>
        <w:p>
          <w:pPr>
            <w:pStyle w:val="244"/>
            <w:numPr>
              <w:ilvl w:val="0"/>
              <w:numId w:val="0"/>
            </w:numPr>
          </w:pPr>
          <w:r>
            <w:rPr>
              <w:rFonts w:hint="eastAsia" w:ascii="黑体" w:eastAsia="黑体"/>
            </w:rPr>
            <w:t xml:space="preserve">6.2.4.1 </w:t>
          </w:r>
          <w:r>
            <w:rPr>
              <w:rFonts w:hint="eastAsia"/>
            </w:rPr>
            <w:t>应根据岗位要求，熟悉掌握旅游警务相关信息系统、平台和移动应用功能。</w:t>
          </w:r>
        </w:p>
        <w:p>
          <w:pPr>
            <w:pStyle w:val="244"/>
            <w:numPr>
              <w:ilvl w:val="0"/>
              <w:numId w:val="0"/>
            </w:numPr>
          </w:pPr>
          <w:r>
            <w:rPr>
              <w:rFonts w:hint="eastAsia" w:ascii="黑体" w:eastAsia="黑体"/>
            </w:rPr>
            <w:t xml:space="preserve">6.2.4.2 </w:t>
          </w:r>
          <w:r>
            <w:rPr>
              <w:rFonts w:hint="eastAsia"/>
            </w:rPr>
            <w:t>应熟悉旅游警察微信公众号、城市或景区智慧旅游服务APP等服务功能，能主动为旅游者推介相关应用。</w:t>
          </w:r>
        </w:p>
        <w:p>
          <w:pPr>
            <w:pStyle w:val="244"/>
            <w:numPr>
              <w:ilvl w:val="0"/>
              <w:numId w:val="0"/>
            </w:numPr>
          </w:pPr>
          <w:r>
            <w:rPr>
              <w:rFonts w:hint="eastAsia" w:ascii="黑体" w:eastAsia="黑体"/>
            </w:rPr>
            <w:t xml:space="preserve">6.2.4.3 </w:t>
          </w:r>
          <w:r>
            <w:rPr>
              <w:rFonts w:hint="eastAsia"/>
            </w:rPr>
            <w:t>应熟练使用导航、交通信息查询、翻译等功能的手机APP软件和手持式移动警务终端等科技装备，能主动为旅游者提供服务。</w:t>
          </w:r>
        </w:p>
        <w:p>
          <w:pPr>
            <w:pStyle w:val="238"/>
            <w:spacing w:before="312" w:after="312"/>
          </w:pPr>
          <w:r>
            <w:rPr>
              <w:rFonts w:hint="eastAsia"/>
            </w:rPr>
            <w:t>形象与装备</w:t>
          </w:r>
        </w:p>
        <w:p>
          <w:pPr>
            <w:pStyle w:val="239"/>
            <w:spacing w:before="156" w:after="156"/>
          </w:pPr>
          <w:r>
            <w:rPr>
              <w:rFonts w:hint="eastAsia"/>
            </w:rPr>
            <w:t>着装</w:t>
          </w:r>
        </w:p>
        <w:p>
          <w:pPr>
            <w:pStyle w:val="240"/>
            <w:numPr>
              <w:ilvl w:val="0"/>
              <w:numId w:val="0"/>
            </w:numPr>
          </w:pPr>
          <w:r>
            <w:rPr>
              <w:rFonts w:hint="eastAsia" w:ascii="黑体" w:eastAsia="黑体"/>
            </w:rPr>
            <w:t xml:space="preserve">7.1.1 </w:t>
          </w:r>
          <w:r>
            <w:rPr>
              <w:rFonts w:hint="eastAsia"/>
            </w:rPr>
            <w:t>旅游警察着装应符合《公安机关人民警察内务条令》的要求。</w:t>
          </w:r>
        </w:p>
        <w:p>
          <w:pPr>
            <w:pStyle w:val="240"/>
            <w:numPr>
              <w:ilvl w:val="0"/>
              <w:numId w:val="0"/>
            </w:numPr>
          </w:pPr>
          <w:r>
            <w:rPr>
              <w:rFonts w:hint="eastAsia" w:ascii="黑体" w:eastAsia="黑体"/>
            </w:rPr>
            <w:t xml:space="preserve">7.1.2 </w:t>
          </w:r>
          <w:r>
            <w:rPr>
              <w:rFonts w:hint="eastAsia"/>
            </w:rPr>
            <w:t>旅游警察除按规定着装外，民警应在右上臂规范佩戴制式统一的旅游警察专属袖标，警务辅助人员应佩戴旅游警辅专属袖标，旅游警察和警务辅助人员专属袖标应符合附录A和附录B的要求。</w:t>
          </w:r>
        </w:p>
        <w:p>
          <w:pPr>
            <w:pStyle w:val="240"/>
            <w:numPr>
              <w:ilvl w:val="0"/>
              <w:numId w:val="0"/>
            </w:numPr>
          </w:pPr>
          <w:r>
            <w:rPr>
              <w:rFonts w:hint="eastAsia" w:ascii="黑体" w:eastAsia="黑体"/>
            </w:rPr>
            <w:t xml:space="preserve">7.1.3 </w:t>
          </w:r>
          <w:r>
            <w:rPr>
              <w:rFonts w:hint="eastAsia"/>
            </w:rPr>
            <w:t>负责或协助道路交通疏导的旅游警察和警务辅助人员应着反光背心。</w:t>
          </w:r>
        </w:p>
        <w:p>
          <w:pPr>
            <w:pStyle w:val="240"/>
            <w:numPr>
              <w:ilvl w:val="0"/>
              <w:numId w:val="0"/>
            </w:numPr>
          </w:pPr>
          <w:r>
            <w:rPr>
              <w:rFonts w:hint="eastAsia" w:ascii="黑体" w:eastAsia="黑体"/>
            </w:rPr>
            <w:t xml:space="preserve">7.1.4 </w:t>
          </w:r>
          <w:r>
            <w:rPr>
              <w:rFonts w:hint="eastAsia"/>
            </w:rPr>
            <w:t>如遇特殊气候变化或特殊任务要求，由各地旅游警察牵头部门统一通知着装、换装要求。</w:t>
          </w:r>
        </w:p>
        <w:p>
          <w:pPr>
            <w:pStyle w:val="239"/>
            <w:spacing w:before="156" w:after="156"/>
          </w:pPr>
          <w:r>
            <w:rPr>
              <w:rFonts w:hint="eastAsia"/>
            </w:rPr>
            <w:t>携装</w:t>
          </w:r>
        </w:p>
        <w:p>
          <w:pPr>
            <w:pStyle w:val="240"/>
            <w:numPr>
              <w:ilvl w:val="0"/>
              <w:numId w:val="0"/>
            </w:numPr>
          </w:pPr>
          <w:r>
            <w:rPr>
              <w:rFonts w:hint="eastAsia" w:ascii="黑体" w:eastAsia="黑体"/>
            </w:rPr>
            <w:t xml:space="preserve">7.2.1 </w:t>
          </w:r>
          <w:r>
            <w:rPr>
              <w:rFonts w:hint="eastAsia"/>
            </w:rPr>
            <w:t>旅游警察单警应配带警用多功能腰带、伸缩警棍、金属手铐、催泪喷射器、强光手电、便民服务包、执法记录仪、对讲机、手持式移动警务终端等“九小件”；旅游警辅单警应配带警用多功能腰带、防卫棍、便民服务包、执法记录仪等“四小件”。可选配发光交通指挥棒、肩闪灯、警用水壶等。</w:t>
          </w:r>
        </w:p>
        <w:p>
          <w:pPr>
            <w:pStyle w:val="240"/>
            <w:numPr>
              <w:ilvl w:val="0"/>
              <w:numId w:val="0"/>
            </w:numPr>
          </w:pPr>
          <w:r>
            <w:rPr>
              <w:rFonts w:hint="eastAsia" w:ascii="黑体" w:eastAsia="黑体"/>
            </w:rPr>
            <w:t xml:space="preserve">7.2.2 </w:t>
          </w:r>
          <w:r>
            <w:rPr>
              <w:rFonts w:hint="eastAsia"/>
            </w:rPr>
            <w:t>旅游警察所携便民服务包宜放置急救护理用品、旅游景点地图、平安旅游宣传册等。</w:t>
          </w:r>
        </w:p>
        <w:p>
          <w:pPr>
            <w:pStyle w:val="240"/>
            <w:numPr>
              <w:ilvl w:val="0"/>
              <w:numId w:val="0"/>
            </w:numPr>
          </w:pPr>
          <w:r>
            <w:rPr>
              <w:rFonts w:hint="eastAsia" w:ascii="黑体" w:eastAsia="黑体"/>
            </w:rPr>
            <w:t xml:space="preserve">7.2.3 </w:t>
          </w:r>
          <w:r>
            <w:rPr>
              <w:rFonts w:hint="eastAsia"/>
            </w:rPr>
            <w:t>旅游警察根据警务活动需要，配备警用自行车、自平衡巡逻车、电动巡逻车、警用摩托车、指挥服务车、警用无人驾驶航空器、警用船艇等交通工具和指挥调度、应急处突、救援救护、便民服务等专用装备。</w:t>
          </w:r>
        </w:p>
        <w:p>
          <w:pPr>
            <w:pStyle w:val="240"/>
            <w:numPr>
              <w:ilvl w:val="0"/>
              <w:numId w:val="0"/>
            </w:numPr>
          </w:pPr>
          <w:r>
            <w:rPr>
              <w:rFonts w:hint="eastAsia" w:ascii="黑体" w:eastAsia="黑体"/>
            </w:rPr>
            <w:t xml:space="preserve">7.2.4 </w:t>
          </w:r>
          <w:r>
            <w:rPr>
              <w:rFonts w:hint="eastAsia"/>
            </w:rPr>
            <w:t>旅游警察所使用制式车辆、装备应按照GA 524-2004、GA 525-2004、GA 1068-2013、GA 1732-2020的要求进行涂装，</w:t>
          </w:r>
          <w:r>
            <w:rPr>
              <w:rFonts w:hint="eastAsia"/>
              <w:lang w:val="en-US" w:eastAsia="zh-CN"/>
            </w:rPr>
            <w:t>并宜</w:t>
          </w:r>
          <w:r>
            <w:rPr>
              <w:rFonts w:hint="eastAsia"/>
            </w:rPr>
            <w:t>在合适部位增加喷绘或张贴旅游警察专属标牌（参见附录C），所携装备应保持外观完好、状况良好，并规范携带、配带。</w:t>
          </w:r>
        </w:p>
        <w:p>
          <w:pPr>
            <w:pStyle w:val="239"/>
            <w:spacing w:before="156" w:after="156"/>
          </w:pPr>
          <w:r>
            <w:rPr>
              <w:rFonts w:hint="eastAsia"/>
            </w:rPr>
            <w:t>执勤姿态</w:t>
          </w:r>
        </w:p>
        <w:p>
          <w:pPr>
            <w:pStyle w:val="240"/>
            <w:numPr>
              <w:ilvl w:val="0"/>
              <w:numId w:val="0"/>
            </w:numPr>
          </w:pPr>
          <w:r>
            <w:rPr>
              <w:rFonts w:hint="eastAsia" w:ascii="黑体" w:eastAsia="黑体"/>
            </w:rPr>
            <w:t xml:space="preserve">7.3.1 </w:t>
          </w:r>
          <w:r>
            <w:rPr>
              <w:rFonts w:hint="eastAsia"/>
            </w:rPr>
            <w:t>旅游警察站姿状态执勤时，应采取并步或跨步站姿，保持精神饱满、站姿挺拔。</w:t>
          </w:r>
        </w:p>
        <w:p>
          <w:pPr>
            <w:pStyle w:val="240"/>
            <w:numPr>
              <w:ilvl w:val="0"/>
              <w:numId w:val="0"/>
            </w:numPr>
          </w:pPr>
          <w:r>
            <w:rPr>
              <w:rFonts w:hint="eastAsia" w:ascii="黑体" w:eastAsia="黑体"/>
            </w:rPr>
            <w:t xml:space="preserve">7.3.2 </w:t>
          </w:r>
          <w:r>
            <w:rPr>
              <w:rFonts w:hint="eastAsia"/>
            </w:rPr>
            <w:t>旅游警察步巡执勤时，应按“两人成行、三人成列”要求组成队列巡进，队列排面整齐、步调划一、步态稳健。</w:t>
          </w:r>
        </w:p>
        <w:p>
          <w:pPr>
            <w:pStyle w:val="240"/>
            <w:numPr>
              <w:ilvl w:val="0"/>
              <w:numId w:val="0"/>
            </w:numPr>
          </w:pPr>
          <w:r>
            <w:rPr>
              <w:rFonts w:hint="eastAsia" w:ascii="黑体" w:eastAsia="黑体"/>
            </w:rPr>
            <w:t xml:space="preserve">7.3.3 </w:t>
          </w:r>
          <w:r>
            <w:rPr>
              <w:rFonts w:hint="eastAsia"/>
            </w:rPr>
            <w:t>旅游警察使用警用巡逻车（船）执勤时，应开启警灯，规范驾驶，主动避让旅游者及车辆（游船）。乘坐者应保持坐姿端正，注意观察周边情况，遇求助招手即停，主动热情询问，并帮助协调解决。车辆停驶状态下，应保持端庄坐姿或下车在车旁呈站姿观察、戒备状态，禁止在车（船）内坐姿不正、吸烟、</w:t>
          </w:r>
          <w:r>
            <w:rPr>
              <w:rFonts w:hint="eastAsia"/>
              <w:lang w:val="en-US" w:eastAsia="zh-CN"/>
            </w:rPr>
            <w:t>闲聊</w:t>
          </w:r>
          <w:r>
            <w:rPr>
              <w:rFonts w:hint="eastAsia"/>
            </w:rPr>
            <w:t>、睡觉等。</w:t>
          </w:r>
        </w:p>
        <w:p>
          <w:pPr>
            <w:pStyle w:val="240"/>
            <w:numPr>
              <w:ilvl w:val="0"/>
              <w:numId w:val="0"/>
            </w:numPr>
          </w:pPr>
          <w:r>
            <w:rPr>
              <w:rFonts w:hint="eastAsia" w:ascii="黑体" w:eastAsia="黑体"/>
            </w:rPr>
            <w:t xml:space="preserve">7.3.4 </w:t>
          </w:r>
          <w:r>
            <w:rPr>
              <w:rFonts w:hint="eastAsia"/>
            </w:rPr>
            <w:t>旅游警察使用自平衡巡逻车执勤时应保持车上站立</w:t>
          </w:r>
          <w:r>
            <w:rPr>
              <w:rFonts w:hint="eastAsia"/>
              <w:lang w:eastAsia="zh-CN"/>
            </w:rPr>
            <w:t>、</w:t>
          </w:r>
          <w:r>
            <w:rPr>
              <w:rFonts w:hint="eastAsia"/>
            </w:rPr>
            <w:t>身姿挺拔，要注意控制车速，招手即停、热情应答。</w:t>
          </w:r>
        </w:p>
        <w:p>
          <w:pPr>
            <w:pStyle w:val="240"/>
            <w:numPr>
              <w:ilvl w:val="0"/>
              <w:numId w:val="0"/>
            </w:numPr>
          </w:pPr>
          <w:r>
            <w:rPr>
              <w:rFonts w:hint="eastAsia" w:ascii="黑体" w:eastAsia="黑体"/>
            </w:rPr>
            <w:t xml:space="preserve">7.3.5 </w:t>
          </w:r>
          <w:r>
            <w:rPr>
              <w:rFonts w:hint="eastAsia"/>
            </w:rPr>
            <w:t>旅游警察使用警用自行车执勤时应佩戴骑行风镜、头盔和反光背心，在非机动车道依交规行驶，保持适当车速，注意避让行人车辆，遇求助招手即停，驻车或下车热情询问，并帮助协调解决。</w:t>
          </w:r>
        </w:p>
        <w:p>
          <w:pPr>
            <w:pStyle w:val="240"/>
            <w:numPr>
              <w:ilvl w:val="0"/>
              <w:numId w:val="0"/>
            </w:numPr>
          </w:pPr>
          <w:r>
            <w:rPr>
              <w:rFonts w:hint="eastAsia" w:ascii="黑体" w:eastAsia="黑体"/>
            </w:rPr>
            <w:t xml:space="preserve">7.3.6 </w:t>
          </w:r>
          <w:r>
            <w:rPr>
              <w:rFonts w:hint="eastAsia"/>
            </w:rPr>
            <w:t>旅游警察使用警用无人驾驶航空器执行巡逻任务时，应由取得警用无人驾驶航空器驾驶资质的人员操作，</w:t>
          </w:r>
          <w:r>
            <w:rPr>
              <w:rFonts w:hint="eastAsia"/>
              <w:lang w:val="en-US" w:eastAsia="zh-CN"/>
            </w:rPr>
            <w:t>事先</w:t>
          </w:r>
          <w:r>
            <w:rPr>
              <w:rFonts w:hint="eastAsia"/>
            </w:rPr>
            <w:t>拟定飞行计划，注意观察现场情况，规范操作、安全驾驶。</w:t>
          </w:r>
        </w:p>
        <w:p>
          <w:pPr>
            <w:pStyle w:val="238"/>
            <w:spacing w:before="312" w:after="312"/>
          </w:pPr>
          <w:r>
            <w:rPr>
              <w:rFonts w:hint="eastAsia"/>
            </w:rPr>
            <w:t>服务要求</w:t>
          </w:r>
        </w:p>
        <w:p>
          <w:pPr>
            <w:pStyle w:val="240"/>
            <w:numPr>
              <w:ilvl w:val="0"/>
              <w:numId w:val="0"/>
            </w:numPr>
          </w:pPr>
          <w:r>
            <w:rPr>
              <w:rFonts w:hint="eastAsia" w:ascii="黑体" w:eastAsia="黑体"/>
            </w:rPr>
            <w:t xml:space="preserve">8.1 </w:t>
          </w:r>
          <w:r>
            <w:rPr>
              <w:rFonts w:hint="eastAsia"/>
            </w:rPr>
            <w:t xml:space="preserve"> 应会同相关职能部门开展旅游秩序综合执法，净化景区环境秩序，确保旅游市场文明有序，为旅游者提供舒心、放心、安心的旅游环境。</w:t>
          </w:r>
        </w:p>
        <w:p>
          <w:pPr>
            <w:pStyle w:val="237"/>
            <w:ind w:firstLine="0" w:firstLineChars="0"/>
          </w:pPr>
          <w:r>
            <w:rPr>
              <w:rFonts w:hint="eastAsia" w:ascii="黑体" w:eastAsia="黑体"/>
              <w:szCs w:val="21"/>
            </w:rPr>
            <w:t xml:space="preserve">8.2 </w:t>
          </w:r>
          <w:r>
            <w:rPr>
              <w:rFonts w:hint="eastAsia"/>
            </w:rPr>
            <w:t xml:space="preserve"> 接受旅游者询问咨询，应耐心倾听、积极解答、主动提示，帮助旅游者了解所需信息，并主动宣传推介地方旅游文化特色。</w:t>
          </w:r>
        </w:p>
        <w:p>
          <w:pPr>
            <w:pStyle w:val="240"/>
            <w:numPr>
              <w:ilvl w:val="0"/>
              <w:numId w:val="0"/>
            </w:numPr>
          </w:pPr>
          <w:r>
            <w:rPr>
              <w:rFonts w:hint="eastAsia" w:ascii="黑体" w:eastAsia="黑体"/>
            </w:rPr>
            <w:t xml:space="preserve">8.3  </w:t>
          </w:r>
          <w:r>
            <w:rPr>
              <w:rFonts w:hint="eastAsia"/>
            </w:rPr>
            <w:t>接待旅游者报警求助，应当首先问好并致意，做到态度热情诚恳、语言文明礼貌、语气谦和客气、表达准确通俗，引导其尽快讲清案由、事件、地点等要素，做好记录，并根据情况迅速通知相关部门调度处警，不得以任何借口推诿、扯皮、耍态度，严禁态度冷、硬、横。</w:t>
          </w:r>
        </w:p>
        <w:p>
          <w:pPr>
            <w:pStyle w:val="240"/>
            <w:numPr>
              <w:ilvl w:val="0"/>
              <w:numId w:val="0"/>
            </w:numPr>
          </w:pPr>
          <w:r>
            <w:rPr>
              <w:rFonts w:hint="eastAsia" w:ascii="黑体" w:eastAsia="黑体"/>
            </w:rPr>
            <w:t xml:space="preserve">8.4  </w:t>
          </w:r>
          <w:r>
            <w:rPr>
              <w:rFonts w:hint="eastAsia"/>
            </w:rPr>
            <w:t>应健全完善投诉制度，及时受理、核查、处置、反馈旅游者投诉，或依据事实情况及职能分工移交相关部门处理。</w:t>
          </w:r>
        </w:p>
        <w:p>
          <w:pPr>
            <w:pStyle w:val="240"/>
            <w:numPr>
              <w:ilvl w:val="0"/>
              <w:numId w:val="0"/>
            </w:numPr>
          </w:pPr>
          <w:r>
            <w:rPr>
              <w:rFonts w:hint="eastAsia" w:ascii="黑体" w:eastAsia="黑体"/>
            </w:rPr>
            <w:t xml:space="preserve">8.5  </w:t>
          </w:r>
          <w:r>
            <w:rPr>
              <w:rFonts w:hint="eastAsia"/>
            </w:rPr>
            <w:t>应针对景区景点客流高峰节点，分时、分区、分段制定客流疏导路线，及时为旅游者提供路线指引。</w:t>
          </w:r>
        </w:p>
        <w:p>
          <w:pPr>
            <w:pStyle w:val="240"/>
            <w:numPr>
              <w:ilvl w:val="0"/>
              <w:numId w:val="0"/>
            </w:numPr>
          </w:pPr>
          <w:r>
            <w:rPr>
              <w:rFonts w:hint="eastAsia" w:ascii="黑体" w:eastAsia="黑体"/>
            </w:rPr>
            <w:t xml:space="preserve">8.6  </w:t>
          </w:r>
          <w:r>
            <w:rPr>
              <w:rFonts w:hint="eastAsia"/>
            </w:rPr>
            <w:t>旅游交通指引标识应按照GB/T 31384-2024要求</w:t>
          </w:r>
          <w:r>
            <w:rPr>
              <w:rFonts w:hint="eastAsia"/>
              <w:lang w:val="en-US" w:eastAsia="zh-CN"/>
            </w:rPr>
            <w:t>设置</w:t>
          </w:r>
          <w:r>
            <w:rPr>
              <w:rFonts w:hint="eastAsia"/>
            </w:rPr>
            <w:t>，应</w:t>
          </w:r>
          <w:r>
            <w:rPr>
              <w:rFonts w:hint="eastAsia" w:hAnsi="宋体"/>
            </w:rPr>
            <w:t>协调交通管理部门</w:t>
          </w:r>
          <w:r>
            <w:rPr>
              <w:rFonts w:hint="eastAsia"/>
            </w:rPr>
            <w:t>制定交通管理应急预案，加强交通引导疏导，共同打造“好停、好寻、好行”景区交通秩序环境。</w:t>
          </w:r>
        </w:p>
        <w:p>
          <w:pPr>
            <w:pStyle w:val="240"/>
            <w:numPr>
              <w:ilvl w:val="0"/>
              <w:numId w:val="0"/>
            </w:numPr>
          </w:pPr>
          <w:r>
            <w:rPr>
              <w:rFonts w:hint="eastAsia" w:ascii="黑体" w:eastAsia="黑体"/>
            </w:rPr>
            <w:t xml:space="preserve">8.7  </w:t>
          </w:r>
          <w:r>
            <w:rPr>
              <w:rFonts w:hint="eastAsia"/>
            </w:rPr>
            <w:t>应依据景区景点地形地貌、极端天气、动植物观赏、游乐设施等方面的注意事项，主动向旅游者发布安全提示。</w:t>
          </w:r>
        </w:p>
        <w:p>
          <w:pPr>
            <w:pStyle w:val="240"/>
            <w:numPr>
              <w:ilvl w:val="0"/>
              <w:numId w:val="0"/>
            </w:numPr>
          </w:pPr>
          <w:r>
            <w:rPr>
              <w:rFonts w:hint="eastAsia" w:ascii="黑体" w:eastAsia="黑体"/>
            </w:rPr>
            <w:t xml:space="preserve">8.8  </w:t>
          </w:r>
          <w:r>
            <w:rPr>
              <w:rFonts w:hint="eastAsia"/>
            </w:rPr>
            <w:t>应督促指导景区景点管理单位和企业开展日常安全检查，制定安全防范、应急处置等工作预案，合理设置安全警告标志、标识，遇旅游者突发疾病、溺水坠落、意外受伤等紧急情况时，应立即采取相关应急措施，启动工作预案。</w:t>
          </w:r>
        </w:p>
        <w:p>
          <w:pPr>
            <w:pStyle w:val="240"/>
            <w:numPr>
              <w:ilvl w:val="0"/>
              <w:numId w:val="0"/>
            </w:numPr>
          </w:pPr>
          <w:r>
            <w:rPr>
              <w:rFonts w:hint="eastAsia" w:ascii="黑体" w:eastAsia="黑体"/>
            </w:rPr>
            <w:t xml:space="preserve">8.9  </w:t>
          </w:r>
          <w:r>
            <w:rPr>
              <w:rFonts w:hint="eastAsia"/>
            </w:rPr>
            <w:t>在景区景点遇到老弱病残孕等需要帮助的旅游者，应主动关注询问，给予优先通行、搀扶协助等照顾。</w:t>
          </w:r>
        </w:p>
        <w:p>
          <w:pPr>
            <w:pStyle w:val="240"/>
            <w:numPr>
              <w:ilvl w:val="0"/>
              <w:numId w:val="0"/>
            </w:numPr>
            <w:rPr>
              <w:highlight w:val="none"/>
            </w:rPr>
          </w:pPr>
          <w:r>
            <w:rPr>
              <w:rFonts w:hint="eastAsia" w:ascii="黑体" w:eastAsia="黑体"/>
            </w:rPr>
            <w:t xml:space="preserve">8.10 </w:t>
          </w:r>
          <w:r>
            <w:rPr>
              <w:rFonts w:hint="eastAsia"/>
            </w:rPr>
            <w:t>对旅游者遗落的证件物品等应及时联系、核实归还；旅游者已离开景区的，</w:t>
          </w:r>
          <w:r>
            <w:rPr>
              <w:rFonts w:hint="eastAsia"/>
              <w:highlight w:val="none"/>
            </w:rPr>
            <w:t>提供免费寄递服务。</w:t>
          </w:r>
        </w:p>
        <w:p>
          <w:pPr>
            <w:pStyle w:val="240"/>
            <w:numPr>
              <w:ilvl w:val="0"/>
              <w:numId w:val="0"/>
            </w:numPr>
          </w:pPr>
          <w:r>
            <w:rPr>
              <w:rFonts w:hint="eastAsia" w:ascii="黑体" w:eastAsia="黑体"/>
            </w:rPr>
            <w:t xml:space="preserve">8.11 </w:t>
          </w:r>
          <w:r>
            <w:rPr>
              <w:rFonts w:hint="eastAsia"/>
            </w:rPr>
            <w:t>应利用“互联网+”，拓展“两微一端”等线上服务应用功能，开放共享涉旅警务服务数据，提供便利快捷的在线服务，打造“游客身边的旅游警察”。</w:t>
          </w:r>
        </w:p>
        <w:p>
          <w:pPr>
            <w:pStyle w:val="238"/>
            <w:spacing w:before="312" w:after="312"/>
          </w:pPr>
          <w:r>
            <w:rPr>
              <w:rFonts w:hint="eastAsia"/>
            </w:rPr>
            <w:t>设施与设置</w:t>
          </w:r>
        </w:p>
        <w:p>
          <w:pPr>
            <w:pStyle w:val="239"/>
            <w:spacing w:before="156" w:after="156"/>
          </w:pPr>
          <w:r>
            <w:rPr>
              <w:rFonts w:hint="eastAsia"/>
            </w:rPr>
            <w:t>警务服务站（亭、点）</w:t>
          </w:r>
        </w:p>
        <w:p>
          <w:pPr>
            <w:pStyle w:val="240"/>
            <w:numPr>
              <w:ilvl w:val="0"/>
              <w:numId w:val="0"/>
            </w:numPr>
          </w:pPr>
          <w:r>
            <w:rPr>
              <w:rFonts w:hint="eastAsia" w:ascii="黑体" w:eastAsia="黑体"/>
            </w:rPr>
            <w:t xml:space="preserve">9.1.1 </w:t>
          </w:r>
          <w:r>
            <w:rPr>
              <w:rFonts w:hint="eastAsia"/>
            </w:rPr>
            <w:t>4A级以上景区所在地宜设立“旅游警察警务服务站（亭、点）”，其他景区景点、车站机场、</w:t>
          </w:r>
          <w:r>
            <w:rPr>
              <w:rFonts w:hint="eastAsia"/>
              <w:lang w:val="en-US" w:eastAsia="zh-CN"/>
            </w:rPr>
            <w:t>港口码头、</w:t>
          </w:r>
          <w:r>
            <w:rPr>
              <w:rFonts w:hint="eastAsia"/>
            </w:rPr>
            <w:t>重要交通道口根据日常旅游者聚集流量情况视情设立。</w:t>
          </w:r>
        </w:p>
        <w:p>
          <w:pPr>
            <w:pStyle w:val="240"/>
            <w:numPr>
              <w:ilvl w:val="0"/>
              <w:numId w:val="0"/>
            </w:numPr>
          </w:pPr>
          <w:r>
            <w:rPr>
              <w:rFonts w:hint="eastAsia" w:ascii="黑体" w:eastAsia="黑体"/>
            </w:rPr>
            <w:t xml:space="preserve">9.1.2 </w:t>
          </w:r>
          <w:r>
            <w:rPr>
              <w:rFonts w:hint="eastAsia"/>
            </w:rPr>
            <w:t>旅游警察警务服务站（亭、点）应统一设置醒目、规范的旅游警察专属标牌（参见附录C）。</w:t>
          </w:r>
        </w:p>
        <w:p>
          <w:pPr>
            <w:pStyle w:val="240"/>
            <w:numPr>
              <w:ilvl w:val="0"/>
              <w:numId w:val="0"/>
            </w:numPr>
          </w:pPr>
          <w:r>
            <w:rPr>
              <w:rFonts w:hint="eastAsia" w:ascii="黑体" w:eastAsia="黑体"/>
            </w:rPr>
            <w:t xml:space="preserve">9.1.3 </w:t>
          </w:r>
          <w:r>
            <w:rPr>
              <w:rFonts w:hint="eastAsia"/>
            </w:rPr>
            <w:t>旅游警察警务服务站（亭、点）应设置旅游警察人员公示牌，将旅游警察姓名、警号、照片以及岗位责任信息等予以公示，接受监督。</w:t>
          </w:r>
        </w:p>
        <w:p>
          <w:pPr>
            <w:pStyle w:val="240"/>
            <w:numPr>
              <w:ilvl w:val="0"/>
              <w:numId w:val="0"/>
            </w:numPr>
          </w:pPr>
          <w:r>
            <w:rPr>
              <w:rFonts w:hint="eastAsia" w:ascii="黑体" w:eastAsia="黑体"/>
            </w:rPr>
            <w:t xml:space="preserve">9.1.4 </w:t>
          </w:r>
          <w:r>
            <w:rPr>
              <w:rFonts w:hint="eastAsia"/>
            </w:rPr>
            <w:t>旅游警察警务服务站（亭、点）宜安装内部及周边视频监控。</w:t>
          </w:r>
        </w:p>
        <w:p>
          <w:pPr>
            <w:pStyle w:val="240"/>
            <w:numPr>
              <w:ilvl w:val="0"/>
              <w:numId w:val="0"/>
            </w:numPr>
          </w:pPr>
          <w:r>
            <w:rPr>
              <w:rFonts w:hint="eastAsia" w:ascii="黑体" w:eastAsia="黑体"/>
            </w:rPr>
            <w:t xml:space="preserve">9.1.5 </w:t>
          </w:r>
          <w:r>
            <w:rPr>
              <w:rFonts w:hint="eastAsia"/>
            </w:rPr>
            <w:t>旅游警察警务服务站（亭、点）应提供报警求助、问询解答、交通疏导、旅游宣传等服务内容。</w:t>
          </w:r>
        </w:p>
        <w:p>
          <w:pPr>
            <w:pStyle w:val="240"/>
            <w:numPr>
              <w:ilvl w:val="0"/>
              <w:numId w:val="0"/>
            </w:numPr>
          </w:pPr>
          <w:r>
            <w:rPr>
              <w:rFonts w:hint="eastAsia" w:ascii="黑体" w:eastAsia="黑体"/>
            </w:rPr>
            <w:t xml:space="preserve">9.1.6 </w:t>
          </w:r>
          <w:r>
            <w:rPr>
              <w:rFonts w:hint="eastAsia"/>
            </w:rPr>
            <w:t>旅游警察警务服务站（亭、点）应根据实际条件设置以下便民服务设施：</w:t>
          </w:r>
        </w:p>
        <w:p>
          <w:pPr>
            <w:pStyle w:val="246"/>
          </w:pPr>
          <w:r>
            <w:rPr>
              <w:rFonts w:hint="eastAsia"/>
            </w:rPr>
            <w:t>旅游宣传手册；</w:t>
          </w:r>
        </w:p>
        <w:p>
          <w:pPr>
            <w:pStyle w:val="246"/>
          </w:pPr>
          <w:r>
            <w:rPr>
              <w:rFonts w:hint="eastAsia"/>
            </w:rPr>
            <w:t>自助寄存柜；</w:t>
          </w:r>
        </w:p>
        <w:p>
          <w:pPr>
            <w:pStyle w:val="246"/>
          </w:pPr>
          <w:r>
            <w:rPr>
              <w:rFonts w:hint="eastAsia"/>
            </w:rPr>
            <w:t>失物招领箱（柜）；</w:t>
          </w:r>
        </w:p>
        <w:p>
          <w:pPr>
            <w:pStyle w:val="246"/>
          </w:pPr>
          <w:r>
            <w:rPr>
              <w:rFonts w:hint="eastAsia"/>
            </w:rPr>
            <w:t>急救护理用品；</w:t>
          </w:r>
          <w:bookmarkStart w:id="36" w:name="_GoBack"/>
          <w:bookmarkEnd w:id="36"/>
        </w:p>
        <w:p>
          <w:pPr>
            <w:pStyle w:val="246"/>
          </w:pPr>
          <w:r>
            <w:rPr>
              <w:rFonts w:hint="eastAsia"/>
            </w:rPr>
            <w:t>饮水设备；</w:t>
          </w:r>
        </w:p>
        <w:p>
          <w:pPr>
            <w:pStyle w:val="246"/>
          </w:pPr>
          <w:r>
            <w:rPr>
              <w:rFonts w:hint="eastAsia"/>
            </w:rPr>
            <w:t>手机充电设备；</w:t>
          </w:r>
        </w:p>
        <w:p>
          <w:pPr>
            <w:pStyle w:val="246"/>
          </w:pPr>
          <w:r>
            <w:rPr>
              <w:rFonts w:hint="eastAsia"/>
            </w:rPr>
            <w:t>非机动车充气设备；</w:t>
          </w:r>
        </w:p>
        <w:p>
          <w:pPr>
            <w:pStyle w:val="246"/>
          </w:pPr>
          <w:r>
            <w:rPr>
              <w:rFonts w:hint="eastAsia"/>
            </w:rPr>
            <w:t>免费WIFI；</w:t>
          </w:r>
        </w:p>
        <w:p>
          <w:pPr>
            <w:pStyle w:val="246"/>
          </w:pPr>
          <w:r>
            <w:rPr>
              <w:rFonts w:hint="eastAsia"/>
            </w:rPr>
            <w:t>公安智慧政务自助服务终端；</w:t>
          </w:r>
        </w:p>
        <w:p>
          <w:pPr>
            <w:pStyle w:val="246"/>
          </w:pPr>
          <w:r>
            <w:rPr>
              <w:rFonts w:hint="eastAsia"/>
            </w:rPr>
            <w:t>有条件的可设置电动车充电桩和单独的休息区、卫生间、医务室。</w:t>
          </w:r>
        </w:p>
        <w:p>
          <w:pPr>
            <w:pStyle w:val="240"/>
            <w:numPr>
              <w:ilvl w:val="0"/>
              <w:numId w:val="0"/>
            </w:numPr>
          </w:pPr>
          <w:r>
            <w:rPr>
              <w:rFonts w:hint="eastAsia" w:ascii="黑体" w:eastAsia="黑体"/>
            </w:rPr>
            <w:t xml:space="preserve">9.1.7 </w:t>
          </w:r>
          <w:r>
            <w:rPr>
              <w:rFonts w:hint="eastAsia"/>
            </w:rPr>
            <w:t>根据任务或服务需要，宜在景区景点设立旅游警察临时服务点，并根据现场条件设置便民服务设施。</w:t>
          </w:r>
        </w:p>
        <w:p>
          <w:pPr>
            <w:pStyle w:val="239"/>
            <w:spacing w:before="156" w:after="156"/>
          </w:pPr>
          <w:r>
            <w:rPr>
              <w:rFonts w:hint="eastAsia"/>
            </w:rPr>
            <w:t>装备存放取用点</w:t>
          </w:r>
        </w:p>
        <w:p>
          <w:pPr>
            <w:pStyle w:val="240"/>
            <w:numPr>
              <w:ilvl w:val="0"/>
              <w:numId w:val="0"/>
            </w:numPr>
          </w:pPr>
          <w:r>
            <w:rPr>
              <w:rFonts w:hint="eastAsia" w:ascii="黑体" w:eastAsia="黑体"/>
            </w:rPr>
            <w:t xml:space="preserve">9.2.1 </w:t>
          </w:r>
          <w:r>
            <w:rPr>
              <w:rFonts w:hint="eastAsia"/>
            </w:rPr>
            <w:t>旅游警察根据警务活动需要，按照“应急常备、就近取用”原则，宜在景区景点设立装备存放取用点。</w:t>
          </w:r>
        </w:p>
        <w:p>
          <w:pPr>
            <w:pStyle w:val="240"/>
            <w:numPr>
              <w:ilvl w:val="0"/>
              <w:numId w:val="0"/>
            </w:numPr>
          </w:pPr>
          <w:r>
            <w:rPr>
              <w:rFonts w:hint="eastAsia" w:ascii="黑体" w:eastAsia="黑体"/>
            </w:rPr>
            <w:t xml:space="preserve">9.2.2 </w:t>
          </w:r>
          <w:r>
            <w:rPr>
              <w:rFonts w:hint="eastAsia"/>
            </w:rPr>
            <w:t>旅游警察装备存放取用点应明确专人管理，实行取用登记、定期盘点，防止装备遗失、丢失、他用。</w:t>
          </w:r>
        </w:p>
        <w:p>
          <w:pPr>
            <w:pStyle w:val="238"/>
            <w:spacing w:before="312" w:after="312"/>
            <w:rPr>
              <w:szCs w:val="22"/>
            </w:rPr>
          </w:pPr>
          <w:r>
            <w:rPr>
              <w:rFonts w:hint="eastAsia"/>
              <w:szCs w:val="22"/>
            </w:rPr>
            <w:t>旅游智慧警务</w:t>
          </w:r>
        </w:p>
        <w:p>
          <w:pPr>
            <w:pStyle w:val="237"/>
            <w:rPr>
              <w:szCs w:val="22"/>
            </w:rPr>
          </w:pPr>
          <w:r>
            <w:rPr>
              <w:rFonts w:hint="eastAsia"/>
              <w:szCs w:val="22"/>
            </w:rPr>
            <w:t>旅游警务牵头部门应开展旅游智慧警务研究，汇聚旅游治安要素和数据资源，运用警务信息化手段赋能，提升涉旅执法、秩序管理、应急救援、警务服务等效能。</w:t>
          </w:r>
        </w:p>
        <w:p>
          <w:pPr>
            <w:pStyle w:val="237"/>
            <w:ind w:firstLine="0" w:firstLineChars="0"/>
            <w:rPr>
              <w:szCs w:val="22"/>
            </w:rPr>
          </w:pPr>
        </w:p>
        <w:p>
          <w:pPr>
            <w:pStyle w:val="238"/>
            <w:spacing w:before="312" w:after="312"/>
          </w:pPr>
          <w:r>
            <w:rPr>
              <w:rFonts w:hint="eastAsia"/>
            </w:rPr>
            <w:t>评价与考核</w:t>
          </w:r>
        </w:p>
        <w:p>
          <w:pPr>
            <w:pStyle w:val="239"/>
            <w:spacing w:before="156" w:after="156"/>
          </w:pPr>
          <w:r>
            <w:rPr>
              <w:rFonts w:hint="eastAsia"/>
            </w:rPr>
            <w:t>考核评价</w:t>
          </w:r>
        </w:p>
        <w:p>
          <w:pPr>
            <w:pStyle w:val="237"/>
          </w:pPr>
          <w:r>
            <w:rPr>
              <w:rFonts w:hint="eastAsia"/>
              <w:szCs w:val="22"/>
            </w:rPr>
            <w:t>旅游警务牵头部门应</w:t>
          </w:r>
          <w:r>
            <w:rPr>
              <w:rFonts w:hint="eastAsia"/>
            </w:rPr>
            <w:t>结合督查检查、民意访评、满意度调查，定期对旅游警队素质技能、履职效能、服务质态等进行考评。</w:t>
          </w:r>
        </w:p>
        <w:p>
          <w:pPr>
            <w:pStyle w:val="239"/>
            <w:spacing w:before="156" w:after="156"/>
          </w:pPr>
          <w:r>
            <w:rPr>
              <w:rFonts w:hint="eastAsia"/>
            </w:rPr>
            <w:t>结果运用</w:t>
          </w:r>
        </w:p>
        <w:p>
          <w:pPr>
            <w:ind w:firstLine="420" w:firstLineChars="200"/>
          </w:pPr>
          <w:r>
            <w:rPr>
              <w:rFonts w:hint="eastAsia"/>
            </w:rPr>
            <w:t>考评结果作为旅游警务工作考核评选的重要依据。</w:t>
          </w:r>
        </w:p>
        <w:p>
          <w:pPr>
            <w:ind w:firstLine="420" w:firstLineChars="200"/>
          </w:pPr>
        </w:p>
        <w:p>
          <w:pPr>
            <w:pStyle w:val="56"/>
            <w:ind w:firstLine="0" w:firstLineChars="0"/>
            <w:jc w:val="center"/>
          </w:pPr>
        </w:p>
        <w:p>
          <w:pPr>
            <w:pStyle w:val="56"/>
            <w:ind w:firstLine="0" w:firstLineChars="0"/>
            <w:jc w:val="center"/>
          </w:pPr>
        </w:p>
        <w:p>
          <w:pPr>
            <w:pStyle w:val="56"/>
            <w:ind w:firstLine="0" w:firstLineChars="0"/>
            <w:jc w:val="center"/>
          </w:pPr>
        </w:p>
        <w:p>
          <w:pPr>
            <w:pStyle w:val="56"/>
            <w:ind w:firstLine="0" w:firstLineChars="0"/>
            <w:jc w:val="center"/>
          </w:pPr>
        </w:p>
        <w:p>
          <w:pPr>
            <w:pStyle w:val="56"/>
            <w:ind w:firstLine="0" w:firstLineChars="0"/>
            <w:jc w:val="center"/>
          </w:pPr>
        </w:p>
        <w:p>
          <w:pPr>
            <w:pStyle w:val="56"/>
            <w:ind w:firstLine="0" w:firstLineChars="0"/>
            <w:jc w:val="center"/>
          </w:pPr>
        </w:p>
        <w:p>
          <w:pPr>
            <w:pStyle w:val="56"/>
            <w:ind w:firstLine="0" w:firstLineChars="0"/>
            <w:jc w:val="center"/>
          </w:pPr>
        </w:p>
        <w:p>
          <w:pPr>
            <w:pStyle w:val="56"/>
            <w:ind w:firstLine="0" w:firstLineChars="0"/>
            <w:jc w:val="center"/>
          </w:pPr>
        </w:p>
        <w:p>
          <w:pPr>
            <w:pStyle w:val="56"/>
            <w:ind w:firstLine="0" w:firstLineChars="0"/>
            <w:jc w:val="center"/>
          </w:pPr>
        </w:p>
        <w:p>
          <w:pPr>
            <w:pStyle w:val="56"/>
            <w:ind w:firstLine="0" w:firstLineChars="0"/>
            <w:jc w:val="center"/>
          </w:pPr>
        </w:p>
        <w:p>
          <w:pPr>
            <w:pStyle w:val="56"/>
            <w:ind w:firstLine="0" w:firstLineChars="0"/>
            <w:jc w:val="center"/>
          </w:pPr>
        </w:p>
        <w:p>
          <w:pPr>
            <w:pStyle w:val="56"/>
            <w:ind w:firstLine="0" w:firstLineChars="0"/>
            <w:jc w:val="center"/>
          </w:pPr>
        </w:p>
        <w:p>
          <w:pPr>
            <w:pStyle w:val="56"/>
            <w:ind w:firstLine="0" w:firstLineChars="0"/>
            <w:jc w:val="center"/>
          </w:pPr>
        </w:p>
        <w:p>
          <w:pPr>
            <w:pStyle w:val="56"/>
            <w:ind w:firstLine="0" w:firstLineChars="0"/>
            <w:jc w:val="center"/>
          </w:pPr>
        </w:p>
        <w:p>
          <w:pPr>
            <w:pStyle w:val="56"/>
            <w:ind w:firstLine="0" w:firstLineChars="0"/>
            <w:jc w:val="center"/>
          </w:pPr>
        </w:p>
        <w:p>
          <w:pPr>
            <w:pStyle w:val="56"/>
            <w:ind w:firstLine="0" w:firstLineChars="0"/>
            <w:jc w:val="center"/>
            <w:rPr>
              <w:rFonts w:hint="eastAsia" w:ascii="黑体" w:eastAsia="黑体"/>
            </w:rPr>
          </w:pPr>
        </w:p>
        <w:p>
          <w:pPr>
            <w:pStyle w:val="56"/>
            <w:ind w:firstLine="0" w:firstLineChars="0"/>
            <w:jc w:val="center"/>
            <w:rPr>
              <w:rFonts w:hint="eastAsia" w:ascii="黑体" w:eastAsia="黑体"/>
            </w:rPr>
          </w:pPr>
        </w:p>
        <w:p>
          <w:pPr>
            <w:pStyle w:val="56"/>
            <w:ind w:firstLine="0" w:firstLineChars="0"/>
            <w:jc w:val="center"/>
            <w:rPr>
              <w:rFonts w:hint="eastAsia" w:ascii="黑体" w:eastAsia="黑体"/>
            </w:rPr>
          </w:pPr>
        </w:p>
        <w:p>
          <w:pPr>
            <w:pStyle w:val="56"/>
            <w:ind w:firstLine="0" w:firstLineChars="0"/>
            <w:jc w:val="center"/>
          </w:pPr>
          <w:r>
            <w:rPr>
              <w:rFonts w:hint="eastAsia" w:ascii="黑体" w:eastAsia="黑体"/>
            </w:rPr>
            <w:t>附 录 A</w:t>
          </w:r>
        </w:p>
        <w:p>
          <w:pPr>
            <w:pStyle w:val="56"/>
            <w:ind w:firstLine="0" w:firstLineChars="0"/>
            <w:jc w:val="center"/>
          </w:pPr>
        </w:p>
        <w:p>
          <w:pPr>
            <w:pStyle w:val="56"/>
            <w:ind w:firstLine="0" w:firstLineChars="0"/>
            <w:jc w:val="center"/>
          </w:pPr>
          <w:r>
            <w:rPr>
              <w:rFonts w:hint="eastAsia" w:ascii="黑体" w:eastAsia="黑体"/>
            </w:rPr>
            <w:t>(资料性）</w:t>
          </w:r>
        </w:p>
        <w:p>
          <w:pPr>
            <w:pStyle w:val="56"/>
            <w:ind w:firstLine="0" w:firstLineChars="0"/>
            <w:jc w:val="center"/>
          </w:pPr>
        </w:p>
        <w:bookmarkEnd w:id="34"/>
        <w:bookmarkEnd w:id="35"/>
        <w:p>
          <w:pPr>
            <w:pStyle w:val="177"/>
            <w:spacing w:before="0" w:after="0"/>
            <w:jc w:val="both"/>
          </w:pPr>
        </w:p>
        <w:p>
          <w:pPr>
            <w:pStyle w:val="177"/>
            <w:spacing w:beforeLines="1" w:afterLines="220" w:line="240" w:lineRule="auto"/>
          </w:pPr>
          <w:r>
            <w:rPr>
              <w:rFonts w:hint="eastAsia"/>
            </w:rPr>
            <w:drawing>
              <wp:inline distT="0" distB="0" distL="114300" distR="114300">
                <wp:extent cx="5866130" cy="5177790"/>
                <wp:effectExtent l="0" t="0" r="1270" b="3810"/>
                <wp:docPr id="4" name="图片 4" descr="袖章坐标网格图--警察（看样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袖章坐标网格图--警察（看样稿）"/>
                        <pic:cNvPicPr>
                          <a:picLocks noChangeAspect="1"/>
                        </pic:cNvPicPr>
                      </pic:nvPicPr>
                      <pic:blipFill>
                        <a:blip r:embed="rId18" cstate="print"/>
                        <a:stretch>
                          <a:fillRect/>
                        </a:stretch>
                      </pic:blipFill>
                      <pic:spPr>
                        <a:xfrm>
                          <a:off x="0" y="0"/>
                          <a:ext cx="5866130" cy="5177790"/>
                        </a:xfrm>
                        <a:prstGeom prst="rect">
                          <a:avLst/>
                        </a:prstGeom>
                      </pic:spPr>
                    </pic:pic>
                  </a:graphicData>
                </a:graphic>
              </wp:inline>
            </w:drawing>
          </w:r>
        </w:p>
        <w:p>
          <w:pPr>
            <w:pStyle w:val="83"/>
            <w:rPr>
              <w:rFonts w:hint="eastAsia"/>
            </w:rPr>
          </w:pPr>
          <w:r>
            <w:rPr>
              <w:rFonts w:hint="eastAsia"/>
            </w:rPr>
            <w:t>旅游警察专属袖标</w:t>
          </w:r>
        </w:p>
        <w:p>
          <w:pPr>
            <w:pStyle w:val="56"/>
            <w:ind w:firstLine="420"/>
            <w:rPr>
              <w:rFonts w:hint="eastAsia"/>
            </w:rPr>
          </w:pPr>
        </w:p>
        <w:p>
          <w:pPr>
            <w:pStyle w:val="56"/>
            <w:ind w:firstLine="420"/>
            <w:rPr>
              <w:rFonts w:hint="eastAsia"/>
            </w:rPr>
          </w:pPr>
        </w:p>
        <w:p>
          <w:pPr>
            <w:pStyle w:val="56"/>
            <w:ind w:firstLine="420"/>
          </w:pPr>
        </w:p>
        <w:p>
          <w:pPr>
            <w:pStyle w:val="177"/>
            <w:spacing w:beforeLines="1" w:afterLines="220" w:line="240" w:lineRule="auto"/>
          </w:pPr>
        </w:p>
        <w:p>
          <w:pPr>
            <w:pStyle w:val="56"/>
            <w:ind w:firstLine="0" w:firstLineChars="0"/>
            <w:jc w:val="center"/>
          </w:pPr>
          <w:r>
            <w:rPr>
              <w:rFonts w:hint="eastAsia" w:ascii="黑体" w:eastAsia="黑体"/>
            </w:rPr>
            <w:t>附 录 B</w:t>
          </w:r>
        </w:p>
        <w:p>
          <w:pPr>
            <w:pStyle w:val="56"/>
            <w:ind w:firstLine="0" w:firstLineChars="0"/>
            <w:jc w:val="center"/>
          </w:pPr>
        </w:p>
        <w:p>
          <w:pPr>
            <w:pStyle w:val="177"/>
            <w:spacing w:before="0" w:after="0"/>
            <w:rPr>
              <w:rFonts w:hAnsi="Times New Roman"/>
              <w:kern w:val="0"/>
              <w:sz w:val="21"/>
              <w:szCs w:val="20"/>
            </w:rPr>
          </w:pPr>
          <w:r>
            <w:rPr>
              <w:rFonts w:hint="eastAsia" w:hAnsi="Times New Roman"/>
              <w:kern w:val="0"/>
              <w:sz w:val="21"/>
              <w:szCs w:val="20"/>
            </w:rPr>
            <w:t>(资料性）</w:t>
          </w:r>
        </w:p>
        <w:p>
          <w:pPr>
            <w:pStyle w:val="177"/>
            <w:spacing w:before="0" w:after="0"/>
            <w:jc w:val="both"/>
            <w:rPr>
              <w:rFonts w:hAnsi="Times New Roman"/>
              <w:kern w:val="0"/>
              <w:sz w:val="21"/>
              <w:szCs w:val="20"/>
            </w:rPr>
          </w:pPr>
        </w:p>
        <w:p>
          <w:pPr>
            <w:pStyle w:val="177"/>
            <w:spacing w:beforeLines="1" w:afterLines="220" w:line="240" w:lineRule="auto"/>
          </w:pPr>
          <w:r>
            <w:rPr>
              <w:rFonts w:hint="eastAsia"/>
            </w:rPr>
            <w:drawing>
              <wp:inline distT="0" distB="0" distL="114300" distR="114300">
                <wp:extent cx="5923915" cy="5356860"/>
                <wp:effectExtent l="0" t="0" r="635" b="15240"/>
                <wp:docPr id="11" name="图片 11" descr="旅游警辅袖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旅游警辅袖标"/>
                        <pic:cNvPicPr>
                          <a:picLocks noChangeAspect="1"/>
                        </pic:cNvPicPr>
                      </pic:nvPicPr>
                      <pic:blipFill>
                        <a:blip r:embed="rId19" cstate="print"/>
                        <a:stretch>
                          <a:fillRect/>
                        </a:stretch>
                      </pic:blipFill>
                      <pic:spPr>
                        <a:xfrm>
                          <a:off x="0" y="0"/>
                          <a:ext cx="5923915" cy="5356860"/>
                        </a:xfrm>
                        <a:prstGeom prst="rect">
                          <a:avLst/>
                        </a:prstGeom>
                      </pic:spPr>
                    </pic:pic>
                  </a:graphicData>
                </a:graphic>
              </wp:inline>
            </w:drawing>
          </w:r>
        </w:p>
        <w:p>
          <w:pPr>
            <w:pStyle w:val="83"/>
            <w:rPr>
              <w:rFonts w:hint="eastAsia"/>
            </w:rPr>
          </w:pPr>
          <w:r>
            <w:rPr>
              <w:rFonts w:hint="eastAsia"/>
            </w:rPr>
            <w:t>旅游警辅专属袖标</w:t>
          </w:r>
        </w:p>
        <w:p>
          <w:pPr>
            <w:pStyle w:val="56"/>
            <w:ind w:firstLine="420"/>
            <w:rPr>
              <w:rFonts w:hint="eastAsia"/>
            </w:rPr>
          </w:pPr>
        </w:p>
        <w:p>
          <w:pPr>
            <w:pStyle w:val="56"/>
            <w:ind w:firstLine="420"/>
            <w:rPr>
              <w:rFonts w:hint="eastAsia"/>
            </w:rPr>
          </w:pPr>
        </w:p>
        <w:p>
          <w:pPr>
            <w:pStyle w:val="56"/>
            <w:ind w:firstLine="420"/>
          </w:pPr>
        </w:p>
        <w:p>
          <w:pPr>
            <w:pStyle w:val="177"/>
            <w:spacing w:beforeLines="1" w:afterLines="220" w:line="240" w:lineRule="auto"/>
            <w:jc w:val="both"/>
          </w:pPr>
        </w:p>
        <w:p>
          <w:pPr>
            <w:pStyle w:val="56"/>
            <w:ind w:firstLine="0" w:firstLineChars="0"/>
            <w:jc w:val="center"/>
          </w:pPr>
          <w:r>
            <w:rPr>
              <w:rFonts w:hint="eastAsia" w:ascii="黑体" w:eastAsia="黑体"/>
            </w:rPr>
            <w:t>附 录 C</w:t>
          </w:r>
        </w:p>
        <w:p>
          <w:pPr>
            <w:pStyle w:val="56"/>
            <w:ind w:firstLine="0" w:firstLineChars="0"/>
            <w:jc w:val="center"/>
          </w:pPr>
        </w:p>
        <w:p>
          <w:pPr>
            <w:pStyle w:val="177"/>
            <w:spacing w:before="0" w:after="0"/>
            <w:rPr>
              <w:rFonts w:hAnsi="Times New Roman"/>
              <w:kern w:val="0"/>
              <w:sz w:val="21"/>
              <w:szCs w:val="20"/>
            </w:rPr>
          </w:pPr>
          <w:r>
            <w:rPr>
              <w:rFonts w:hint="eastAsia" w:hAnsi="Times New Roman"/>
              <w:kern w:val="0"/>
              <w:sz w:val="21"/>
              <w:szCs w:val="20"/>
            </w:rPr>
            <w:t>(资料性）</w:t>
          </w:r>
        </w:p>
        <w:p>
          <w:pPr>
            <w:pStyle w:val="177"/>
            <w:spacing w:before="0" w:after="0"/>
            <w:rPr>
              <w:rFonts w:hAnsi="Times New Roman"/>
              <w:kern w:val="0"/>
              <w:sz w:val="21"/>
              <w:szCs w:val="20"/>
            </w:rPr>
          </w:pPr>
        </w:p>
        <w:p>
          <w:pPr>
            <w:pStyle w:val="177"/>
            <w:spacing w:before="0" w:after="0"/>
            <w:rPr>
              <w:rFonts w:hAnsi="Times New Roman"/>
              <w:kern w:val="0"/>
              <w:sz w:val="21"/>
              <w:szCs w:val="20"/>
            </w:rPr>
          </w:pPr>
        </w:p>
        <w:p>
          <w:pPr>
            <w:pStyle w:val="177"/>
            <w:spacing w:beforeLines="1" w:afterLines="220" w:line="240" w:lineRule="auto"/>
          </w:pPr>
          <w:r>
            <w:rPr>
              <w:rFonts w:hint="eastAsia"/>
            </w:rPr>
            <w:drawing>
              <wp:inline distT="0" distB="0" distL="114300" distR="114300">
                <wp:extent cx="4763135" cy="6101080"/>
                <wp:effectExtent l="0" t="0" r="18415" b="13970"/>
                <wp:docPr id="15" name="图片 15" descr="（定稿）旅游警察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定稿）旅游警察盾标"/>
                        <pic:cNvPicPr>
                          <a:picLocks noChangeAspect="1"/>
                        </pic:cNvPicPr>
                      </pic:nvPicPr>
                      <pic:blipFill>
                        <a:blip r:embed="rId20" cstate="print"/>
                        <a:stretch>
                          <a:fillRect/>
                        </a:stretch>
                      </pic:blipFill>
                      <pic:spPr>
                        <a:xfrm>
                          <a:off x="0" y="0"/>
                          <a:ext cx="4760619" cy="6102159"/>
                        </a:xfrm>
                        <a:prstGeom prst="rect">
                          <a:avLst/>
                        </a:prstGeom>
                      </pic:spPr>
                    </pic:pic>
                  </a:graphicData>
                </a:graphic>
              </wp:inline>
            </w:drawing>
          </w:r>
        </w:p>
        <w:p>
          <w:pPr>
            <w:pStyle w:val="83"/>
            <w:rPr>
              <w:rFonts w:hint="eastAsia"/>
            </w:rPr>
          </w:pPr>
          <w:r>
            <w:rPr>
              <w:rFonts w:hint="eastAsia"/>
            </w:rPr>
            <w:t>旅游警察专属标牌</w:t>
          </w:r>
        </w:p>
        <w:p>
          <w:pPr>
            <w:pStyle w:val="177"/>
            <w:spacing w:beforeLines="1" w:afterLines="220" w:line="240" w:lineRule="auto"/>
          </w:pPr>
          <w:r>
            <w:rPr>
              <w:rFonts w:hint="eastAsia" w:cs="黑体"/>
              <w:spacing w:val="-57"/>
              <w:sz w:val="21"/>
              <w:szCs w:val="21"/>
            </w:rPr>
            <w:t>-----------------------------------------------</w:t>
          </w:r>
        </w:p>
      </w:sdtContent>
    </w:sdt>
    <w:p>
      <w:pPr>
        <w:ind w:firstLine="960" w:firstLineChars="300"/>
        <w:rPr>
          <w:rFonts w:ascii="黑体" w:hAnsi="黑体" w:eastAsia="黑体"/>
          <w:sz w:val="32"/>
          <w:szCs w:val="32"/>
        </w:rPr>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sectPr>
      <w:footerReference r:id="rId15"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jc w:val="left"/>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2"/>
                            <w:jc w:val="left"/>
                          </w:pPr>
                          <w:r>
                            <w:fldChar w:fldCharType="begin"/>
                          </w:r>
                          <w:r>
                            <w:instrText xml:space="preserve">PAGE   \* MERGEFORMAT</w:instrText>
                          </w:r>
                          <w:r>
                            <w:fldChar w:fldCharType="separate"/>
                          </w:r>
                          <w:r>
                            <w:rPr>
                              <w:lang w:val="zh-CN"/>
                            </w:rP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pPr>
                      <w:pStyle w:val="52"/>
                      <w:jc w:val="left"/>
                    </w:pPr>
                    <w:r>
                      <w:fldChar w:fldCharType="begin"/>
                    </w:r>
                    <w:r>
                      <w:instrText xml:space="preserve">PAGE   \* MERGEFORMAT</w:instrText>
                    </w:r>
                    <w:r>
                      <w:fldChar w:fldCharType="separate"/>
                    </w:r>
                    <w:r>
                      <w:rPr>
                        <w:lang w:val="zh-CN"/>
                      </w:rP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4</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jc w:val="left"/>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2"/>
                            <w:jc w:val="left"/>
                          </w:pPr>
                          <w:r>
                            <w:fldChar w:fldCharType="begin"/>
                          </w:r>
                          <w:r>
                            <w:instrText xml:space="preserve">PAGE   \* MERGEFORMAT</w:instrText>
                          </w:r>
                          <w:r>
                            <w:fldChar w:fldCharType="separate"/>
                          </w:r>
                          <w:r>
                            <w:rPr>
                              <w:lang w:val="zh-CN"/>
                            </w:rP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pPr>
                      <w:pStyle w:val="52"/>
                      <w:jc w:val="left"/>
                    </w:pPr>
                    <w:r>
                      <w:fldChar w:fldCharType="begin"/>
                    </w:r>
                    <w:r>
                      <w:instrText xml:space="preserve">PAGE   \* MERGEFORMAT</w:instrText>
                    </w:r>
                    <w:r>
                      <w:fldChar w:fldCharType="separate"/>
                    </w:r>
                    <w:r>
                      <w:rPr>
                        <w:lang w:val="zh-CN"/>
                      </w:rPr>
                      <w:t>II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tabs>
        <w:tab w:val="left" w:pos="5937"/>
      </w:tabs>
      <w:jc w:val="left"/>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2"/>
                            <w:jc w:val="left"/>
                          </w:pPr>
                          <w:r>
                            <w:fldChar w:fldCharType="begin"/>
                          </w:r>
                          <w:r>
                            <w:instrText xml:space="preserve">PAGE   \* MERGEFORMAT</w:instrText>
                          </w:r>
                          <w:r>
                            <w:fldChar w:fldCharType="separate"/>
                          </w:r>
                          <w:r>
                            <w:rPr>
                              <w:lang w:val="zh-CN"/>
                            </w:rPr>
                            <w:t>1</w:t>
                          </w:r>
                          <w:r>
                            <w:fldChar w:fldCharType="end"/>
                          </w:r>
                        </w:p>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VZerI4AgAAb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Vl6sjgCAABvBAAADgAAAAAAAAABACAAAAAfAQAAZHJzL2Uyb0RvYy54&#10;bWxQSwUGAAAAAAYABgBZAQAAyQUAAAAA&#10;">
              <v:fill on="f" focussize="0,0"/>
              <v:stroke on="f" weight="0.5pt"/>
              <v:imagedata o:title=""/>
              <o:lock v:ext="edit" aspectratio="f"/>
              <v:textbox inset="0mm,0mm,0mm,0mm" style="mso-fit-shape-to-text:t;">
                <w:txbxContent>
                  <w:p>
                    <w:pPr>
                      <w:pStyle w:val="52"/>
                      <w:jc w:val="left"/>
                    </w:pPr>
                    <w:r>
                      <w:fldChar w:fldCharType="begin"/>
                    </w:r>
                    <w:r>
                      <w:instrText xml:space="preserve">PAGE   \* MERGEFORMAT</w:instrText>
                    </w:r>
                    <w:r>
                      <w:fldChar w:fldCharType="separate"/>
                    </w:r>
                    <w:r>
                      <w:rPr>
                        <w:lang w:val="zh-CN"/>
                      </w:rPr>
                      <w:t>1</w:t>
                    </w:r>
                    <w:r>
                      <w:fldChar w:fldCharType="end"/>
                    </w:r>
                  </w:p>
                  <w:p/>
                </w:txbxContent>
              </v:textbox>
            </v:shape>
          </w:pict>
        </mc:Fallback>
      </mc:AlternateConten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CBCFD5"/>
    <w:multiLevelType w:val="multilevel"/>
    <w:tmpl w:val="1ACBCFD5"/>
    <w:lvl w:ilvl="0" w:tentative="0">
      <w:start w:val="1"/>
      <w:numFmt w:val="lowerLetter"/>
      <w:pStyle w:val="246"/>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9"/>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243"/>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9"/>
  </w:num>
  <w:num w:numId="8">
    <w:abstractNumId w:val="3"/>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31"/>
  </w:num>
  <w:num w:numId="18">
    <w:abstractNumId w:val="17"/>
  </w:num>
  <w:num w:numId="19">
    <w:abstractNumId w:val="1"/>
  </w:num>
  <w:num w:numId="20">
    <w:abstractNumId w:val="12"/>
  </w:num>
  <w:num w:numId="21">
    <w:abstractNumId w:val="32"/>
  </w:num>
  <w:num w:numId="22">
    <w:abstractNumId w:val="22"/>
  </w:num>
  <w:num w:numId="23">
    <w:abstractNumId w:val="6"/>
  </w:num>
  <w:num w:numId="24">
    <w:abstractNumId w:val="28"/>
  </w:num>
  <w:num w:numId="25">
    <w:abstractNumId w:val="30"/>
  </w:num>
  <w:num w:numId="26">
    <w:abstractNumId w:val="2"/>
  </w:num>
  <w:num w:numId="27">
    <w:abstractNumId w:val="4"/>
  </w:num>
  <w:num w:numId="28">
    <w:abstractNumId w:val="16"/>
  </w:num>
  <w:num w:numId="29">
    <w:abstractNumId w:val="26"/>
  </w:num>
  <w:num w:numId="30">
    <w:abstractNumId w:val="24"/>
  </w:num>
  <w:num w:numId="31">
    <w:abstractNumId w:val="11"/>
  </w:num>
  <w:num w:numId="32">
    <w:abstractNumId w:val="19"/>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262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4ZjBkYzJiZTdlY2QwODI4MTk1MjczMTdmNWMyZDIifQ=="/>
  </w:docVars>
  <w:rsids>
    <w:rsidRoot w:val="52386681"/>
    <w:rsid w:val="002C6076"/>
    <w:rsid w:val="004061B3"/>
    <w:rsid w:val="006C3408"/>
    <w:rsid w:val="00A65E6F"/>
    <w:rsid w:val="00AC44FC"/>
    <w:rsid w:val="00BF650F"/>
    <w:rsid w:val="00F507E5"/>
    <w:rsid w:val="00F74E0D"/>
    <w:rsid w:val="014B08FF"/>
    <w:rsid w:val="059548B3"/>
    <w:rsid w:val="12D0620C"/>
    <w:rsid w:val="177C37EE"/>
    <w:rsid w:val="19835866"/>
    <w:rsid w:val="1A846F04"/>
    <w:rsid w:val="23AD651C"/>
    <w:rsid w:val="29B116B2"/>
    <w:rsid w:val="2CEF21C5"/>
    <w:rsid w:val="2F1D70ED"/>
    <w:rsid w:val="3BEB1AE4"/>
    <w:rsid w:val="3FC56F60"/>
    <w:rsid w:val="47B1448E"/>
    <w:rsid w:val="49E54A1A"/>
    <w:rsid w:val="4B372A33"/>
    <w:rsid w:val="4E110E2E"/>
    <w:rsid w:val="52386681"/>
    <w:rsid w:val="588C0912"/>
    <w:rsid w:val="5A152036"/>
    <w:rsid w:val="5E4C4C10"/>
    <w:rsid w:val="61932B55"/>
    <w:rsid w:val="62CD07FB"/>
    <w:rsid w:val="685C7BC6"/>
    <w:rsid w:val="68F026B6"/>
    <w:rsid w:val="6E330DF9"/>
    <w:rsid w:val="71A07C6F"/>
    <w:rsid w:val="71FB7B05"/>
    <w:rsid w:val="75E137CE"/>
    <w:rsid w:val="775D4510"/>
    <w:rsid w:val="780053A1"/>
    <w:rsid w:val="7A6A4943"/>
    <w:rsid w:val="7B5E0422"/>
    <w:rsid w:val="7B823DB1"/>
    <w:rsid w:val="7FB51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autoRedefine/>
    <w:qFormat/>
    <w:uiPriority w:val="22"/>
    <w:rPr>
      <w:rFonts w:ascii="Times New Roman" w:hAnsi="Times New Roman" w:eastAsia="宋体" w:cs="Times New Roman"/>
      <w:b/>
      <w:bCs/>
    </w:rPr>
  </w:style>
  <w:style w:type="character" w:styleId="30">
    <w:name w:val="page number"/>
    <w:autoRedefine/>
    <w:qFormat/>
    <w:uiPriority w:val="0"/>
    <w:rPr>
      <w:rFonts w:ascii="宋体" w:hAnsi="Times New Roman" w:eastAsia="宋体" w:cs="Times New Roman"/>
      <w:sz w:val="18"/>
    </w:rPr>
  </w:style>
  <w:style w:type="character" w:styleId="31">
    <w:name w:val="Emphasis"/>
    <w:autoRedefine/>
    <w:qFormat/>
    <w:uiPriority w:val="20"/>
    <w:rPr>
      <w:rFonts w:ascii="Times New Roman" w:hAnsi="Times New Roman" w:eastAsia="宋体" w:cs="Times New Roman"/>
      <w:i/>
      <w:iCs/>
    </w:rPr>
  </w:style>
  <w:style w:type="character" w:styleId="32">
    <w:name w:val="Hyperlink"/>
    <w:autoRedefine/>
    <w:qFormat/>
    <w:uiPriority w:val="99"/>
    <w:rPr>
      <w:rFonts w:ascii="宋体" w:hAnsi="Times New Roman" w:eastAsia="宋体" w:cs="Times New Roman"/>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autoRedefine/>
    <w:qFormat/>
    <w:uiPriority w:val="0"/>
    <w:rPr>
      <w:rFonts w:ascii="Times New Roman" w:hAnsi="Times New Roman" w:eastAsia="宋体" w:cs="Times New Roman"/>
      <w:b/>
      <w:bCs/>
      <w:kern w:val="44"/>
      <w:sz w:val="44"/>
      <w:szCs w:val="44"/>
    </w:rPr>
  </w:style>
  <w:style w:type="character" w:customStyle="1" w:styleId="35">
    <w:name w:val="标题 2 Char"/>
    <w:link w:val="3"/>
    <w:autoRedefine/>
    <w:qFormat/>
    <w:uiPriority w:val="0"/>
    <w:rPr>
      <w:rFonts w:ascii="Arial" w:hAnsi="Arial" w:eastAsia="黑体" w:cs="Times New Roman"/>
      <w:b/>
      <w:bCs/>
      <w:sz w:val="32"/>
      <w:szCs w:val="32"/>
    </w:rPr>
  </w:style>
  <w:style w:type="character" w:customStyle="1" w:styleId="36">
    <w:name w:val="标题 3 Char"/>
    <w:link w:val="4"/>
    <w:autoRedefine/>
    <w:qFormat/>
    <w:uiPriority w:val="0"/>
    <w:rPr>
      <w:rFonts w:ascii="Times New Roman" w:hAnsi="Times New Roman" w:eastAsia="宋体" w:cs="Times New Roman"/>
      <w:b/>
      <w:bCs/>
      <w:sz w:val="32"/>
      <w:szCs w:val="32"/>
    </w:rPr>
  </w:style>
  <w:style w:type="character" w:customStyle="1" w:styleId="37">
    <w:name w:val="标题 4 Char"/>
    <w:link w:val="5"/>
    <w:autoRedefine/>
    <w:qFormat/>
    <w:uiPriority w:val="0"/>
    <w:rPr>
      <w:rFonts w:ascii="Arial" w:hAnsi="Arial" w:eastAsia="黑体" w:cs="Times New Roman"/>
      <w:b/>
      <w:bCs/>
      <w:sz w:val="28"/>
      <w:szCs w:val="28"/>
    </w:rPr>
  </w:style>
  <w:style w:type="character" w:customStyle="1" w:styleId="38">
    <w:name w:val="标题 5 Char"/>
    <w:link w:val="6"/>
    <w:autoRedefine/>
    <w:qFormat/>
    <w:uiPriority w:val="0"/>
    <w:rPr>
      <w:rFonts w:ascii="Times New Roman" w:hAnsi="Times New Roman" w:eastAsia="宋体" w:cs="Times New Roman"/>
      <w:b/>
      <w:bCs/>
      <w:sz w:val="28"/>
      <w:szCs w:val="28"/>
    </w:rPr>
  </w:style>
  <w:style w:type="character" w:customStyle="1" w:styleId="39">
    <w:name w:val="标题 6 Char"/>
    <w:link w:val="7"/>
    <w:autoRedefine/>
    <w:qFormat/>
    <w:uiPriority w:val="0"/>
    <w:rPr>
      <w:rFonts w:ascii="Arial" w:hAnsi="Arial" w:eastAsia="黑体" w:cs="Times New Roman"/>
      <w:b/>
      <w:bCs/>
      <w:sz w:val="24"/>
      <w:szCs w:val="24"/>
    </w:rPr>
  </w:style>
  <w:style w:type="character" w:customStyle="1" w:styleId="40">
    <w:name w:val="标题 7 Char"/>
    <w:link w:val="8"/>
    <w:autoRedefine/>
    <w:qFormat/>
    <w:uiPriority w:val="0"/>
    <w:rPr>
      <w:rFonts w:ascii="Times New Roman" w:hAnsi="Times New Roman" w:eastAsia="宋体" w:cs="Times New Roman"/>
      <w:b/>
      <w:bCs/>
      <w:sz w:val="24"/>
      <w:szCs w:val="24"/>
    </w:rPr>
  </w:style>
  <w:style w:type="character" w:customStyle="1" w:styleId="41">
    <w:name w:val="标题 8 Char"/>
    <w:link w:val="9"/>
    <w:autoRedefine/>
    <w:qFormat/>
    <w:uiPriority w:val="0"/>
    <w:rPr>
      <w:rFonts w:ascii="Arial" w:hAnsi="Arial" w:eastAsia="黑体" w:cs="Times New Roman"/>
      <w:sz w:val="24"/>
      <w:szCs w:val="24"/>
    </w:rPr>
  </w:style>
  <w:style w:type="character" w:customStyle="1" w:styleId="42">
    <w:name w:val="标题 9 Char"/>
    <w:link w:val="10"/>
    <w:autoRedefine/>
    <w:qFormat/>
    <w:uiPriority w:val="0"/>
    <w:rPr>
      <w:rFonts w:ascii="Arial" w:hAnsi="Arial" w:eastAsia="黑体" w:cs="Times New Roman"/>
    </w:rPr>
  </w:style>
  <w:style w:type="character" w:customStyle="1" w:styleId="43">
    <w:name w:val="页眉 Char"/>
    <w:link w:val="18"/>
    <w:autoRedefine/>
    <w:qFormat/>
    <w:uiPriority w:val="99"/>
    <w:rPr>
      <w:rFonts w:ascii="Times New Roman" w:hAnsi="Times New Roman" w:eastAsia="宋体" w:cs="Times New Roman"/>
      <w:sz w:val="18"/>
      <w:szCs w:val="18"/>
    </w:rPr>
  </w:style>
  <w:style w:type="character" w:customStyle="1" w:styleId="44">
    <w:name w:val="页脚 Char"/>
    <w:link w:val="17"/>
    <w:autoRedefine/>
    <w:qFormat/>
    <w:uiPriority w:val="99"/>
    <w:rPr>
      <w:rFonts w:ascii="宋体" w:hAnsi="Times New Roman" w:eastAsia="宋体" w:cs="Times New Roman"/>
      <w:sz w:val="18"/>
      <w:szCs w:val="18"/>
    </w:rPr>
  </w:style>
  <w:style w:type="character" w:customStyle="1" w:styleId="45">
    <w:name w:val="批注框文本 Char"/>
    <w:link w:val="16"/>
    <w:autoRedefine/>
    <w:semiHidden/>
    <w:qFormat/>
    <w:uiPriority w:val="99"/>
    <w:rPr>
      <w:rFonts w:ascii="Times New Roman" w:hAnsi="Times New Roman" w:eastAsia="宋体" w:cs="Times New Roman"/>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qFormat/>
    <w:uiPriority w:val="29"/>
    <w:rPr>
      <w:rFonts w:ascii="Times New Roman" w:hAnsi="Times New Roman" w:eastAsia="宋体" w:cs="Times New Roman"/>
      <w:i/>
      <w:iCs/>
      <w:color w:val="000000"/>
    </w:rPr>
  </w:style>
  <w:style w:type="character" w:customStyle="1" w:styleId="48">
    <w:name w:val="标题 Char"/>
    <w:link w:val="25"/>
    <w:autoRedefine/>
    <w:qFormat/>
    <w:uiPriority w:val="0"/>
    <w:rPr>
      <w:rFonts w:ascii="Arial" w:hAnsi="Arial" w:eastAsia="宋体" w:cs="Arial"/>
      <w:b/>
      <w:bCs/>
      <w:sz w:val="32"/>
      <w:szCs w:val="32"/>
    </w:rPr>
  </w:style>
  <w:style w:type="paragraph" w:customStyle="1" w:styleId="49">
    <w:name w:val="标准标志"/>
    <w:next w:val="1"/>
    <w:autoRedefine/>
    <w:qFormat/>
    <w:uiPriority w:val="0"/>
    <w:pPr>
      <w:framePr w:hSpace="180" w:wrap="around" w:vAnchor="page" w:hAnchor="page" w:x="1433" w:y="890"/>
      <w:suppressOverlap/>
      <w:shd w:val="solid" w:color="FFFFFF" w:fill="FFFFFF"/>
      <w:wordWrap w:val="0"/>
      <w:adjustRightInd w:val="0"/>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hAnsi="Times New Roman" w:eastAsia="黑体" w:cs="Times New Roman"/>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rFonts w:ascii="Times New Roman" w:hAnsi="Times New Roman" w:eastAsia="宋体" w:cs="Times New Roman"/>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rFonts w:ascii="Times New Roman" w:hAnsi="Times New Roman" w:eastAsia="宋体" w:cs="Times New Roman"/>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hAnsi="Times New Roman" w:eastAsia="宋体" w:cs="Times New Roman"/>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Lines="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19"/>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0"/>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19"/>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19"/>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19"/>
      </w:numPr>
      <w:adjustRightInd/>
    </w:pPr>
    <w:rPr>
      <w:szCs w:val="24"/>
    </w:rPr>
  </w:style>
  <w:style w:type="paragraph" w:customStyle="1" w:styleId="159">
    <w:name w:val="一级无标题条"/>
    <w:basedOn w:val="1"/>
    <w:autoRedefine/>
    <w:qFormat/>
    <w:uiPriority w:val="0"/>
    <w:pPr>
      <w:numPr>
        <w:ilvl w:val="2"/>
        <w:numId w:val="19"/>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Lines="0" w:afterLines="0"/>
      <w:outlineLvl w:val="9"/>
    </w:pPr>
    <w:rPr>
      <w:rFonts w:ascii="宋体" w:eastAsia="宋体"/>
    </w:rPr>
  </w:style>
  <w:style w:type="paragraph" w:customStyle="1" w:styleId="163">
    <w:name w:val="标准文件_五级无标题"/>
    <w:basedOn w:val="103"/>
    <w:autoRedefine/>
    <w:qFormat/>
    <w:uiPriority w:val="0"/>
    <w:pPr>
      <w:spacing w:beforeLines="0" w:afterLines="0"/>
      <w:outlineLvl w:val="9"/>
    </w:pPr>
    <w:rPr>
      <w:rFonts w:ascii="宋体" w:eastAsia="宋体"/>
    </w:rPr>
  </w:style>
  <w:style w:type="paragraph" w:customStyle="1" w:styleId="164">
    <w:name w:val="标准文件_三级无标题"/>
    <w:basedOn w:val="94"/>
    <w:autoRedefine/>
    <w:qFormat/>
    <w:uiPriority w:val="0"/>
    <w:pPr>
      <w:spacing w:beforeLines="0" w:afterLines="0"/>
      <w:outlineLvl w:val="9"/>
    </w:pPr>
    <w:rPr>
      <w:rFonts w:ascii="宋体" w:eastAsia="宋体"/>
    </w:rPr>
  </w:style>
  <w:style w:type="paragraph" w:customStyle="1" w:styleId="165">
    <w:name w:val="标准文件_二级无标题"/>
    <w:basedOn w:val="65"/>
    <w:autoRedefine/>
    <w:qFormat/>
    <w:uiPriority w:val="0"/>
    <w:pPr>
      <w:spacing w:beforeLines="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2"/>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3"/>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0"/>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4"/>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8"/>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eastAsia="宋体" w:cs="Times New Roman"/>
      <w:sz w:val="21"/>
      <w:lang w:val="en-US" w:eastAsia="zh-CN" w:bidi="ar-SA"/>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rFonts w:ascii="Times New Roman" w:hAnsi="Times New Roman" w:eastAsia="宋体" w:cs="Times New Roman"/>
      <w:color w:val="808080"/>
    </w:rPr>
  </w:style>
  <w:style w:type="paragraph" w:customStyle="1" w:styleId="187">
    <w:name w:val="标准文件_二级项2"/>
    <w:basedOn w:val="56"/>
    <w:autoRedefine/>
    <w:qFormat/>
    <w:uiPriority w:val="0"/>
    <w:pPr>
      <w:numPr>
        <w:ilvl w:val="1"/>
        <w:numId w:val="20"/>
      </w:numPr>
      <w:ind w:firstLine="0" w:firstLineChars="0"/>
    </w:pPr>
  </w:style>
  <w:style w:type="paragraph" w:customStyle="1" w:styleId="188">
    <w:name w:val="标准文件_三级项2"/>
    <w:basedOn w:val="56"/>
    <w:autoRedefine/>
    <w:qFormat/>
    <w:uiPriority w:val="0"/>
    <w:pPr>
      <w:numPr>
        <w:ilvl w:val="0"/>
        <w:numId w:val="29"/>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0"/>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ascii="Times New Roman" w:hAnsi="Times New Roman" w:eastAsia="宋体" w:cs="Times New Roman"/>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framePr w:wrap="around"/>
      <w:spacing w:before="57"/>
    </w:pPr>
    <w:rPr>
      <w:sz w:val="21"/>
    </w:rPr>
  </w:style>
  <w:style w:type="paragraph" w:customStyle="1" w:styleId="197">
    <w:name w:val="标准文件_文件名称"/>
    <w:basedOn w:val="56"/>
    <w:next w:val="56"/>
    <w:autoRedefine/>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Lines="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Lines="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Lines="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Lines="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Lines="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Lines="0" w:afterLines="0" w:line="276" w:lineRule="auto"/>
    </w:pPr>
    <w:rPr>
      <w:rFonts w:ascii="宋体" w:eastAsia="宋体"/>
    </w:rPr>
  </w:style>
  <w:style w:type="paragraph" w:customStyle="1" w:styleId="218">
    <w:name w:val="标准文件_引言三级无标题"/>
    <w:basedOn w:val="202"/>
    <w:autoRedefine/>
    <w:qFormat/>
    <w:uiPriority w:val="0"/>
    <w:pPr>
      <w:spacing w:beforeLines="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Lines="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Lines="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hAnsi="Times New Roman" w:eastAsia="黑体" w:cs="Times New Roman"/>
      <w:spacing w:val="85"/>
      <w:w w:val="100"/>
      <w:position w:val="3"/>
      <w:sz w:val="28"/>
      <w:szCs w:val="28"/>
    </w:rPr>
  </w:style>
  <w:style w:type="paragraph" w:styleId="230">
    <w:name w:val="List Paragraph"/>
    <w:basedOn w:val="1"/>
    <w:autoRedefine/>
    <w:qFormat/>
    <w:uiPriority w:val="34"/>
    <w:pPr>
      <w:ind w:firstLine="420" w:firstLineChars="200"/>
    </w:pPr>
  </w:style>
  <w:style w:type="paragraph" w:customStyle="1" w:styleId="231">
    <w:name w:val="Table Text"/>
    <w:basedOn w:val="1"/>
    <w:autoRedefine/>
    <w:semiHidden/>
    <w:qFormat/>
    <w:uiPriority w:val="0"/>
    <w:pPr>
      <w:widowControl/>
      <w:kinsoku w:val="0"/>
      <w:autoSpaceDE w:val="0"/>
      <w:autoSpaceDN w:val="0"/>
      <w:snapToGrid w:val="0"/>
      <w:spacing w:line="240" w:lineRule="auto"/>
      <w:jc w:val="left"/>
      <w:textAlignment w:val="baseline"/>
    </w:pPr>
    <w:rPr>
      <w:rFonts w:ascii="微软雅黑" w:hAnsi="微软雅黑" w:eastAsia="微软雅黑" w:cs="宋体"/>
      <w:color w:val="000000"/>
      <w:kern w:val="0"/>
      <w:sz w:val="20"/>
      <w:szCs w:val="20"/>
    </w:rPr>
  </w:style>
  <w:style w:type="table" w:customStyle="1" w:styleId="232">
    <w:name w:val="Table Normal"/>
    <w:basedOn w:val="26"/>
    <w:autoRedefine/>
    <w:qFormat/>
    <w:uiPriority w:val="0"/>
    <w:rPr>
      <w:rFonts w:ascii="Times New Roman" w:hAnsi="Times New Roman" w:eastAsia="Times New Roman"/>
    </w:rPr>
    <w:tblPr>
      <w:tblCellMar>
        <w:top w:w="0" w:type="dxa"/>
        <w:left w:w="0" w:type="dxa"/>
        <w:bottom w:w="0" w:type="dxa"/>
        <w:right w:w="0" w:type="dxa"/>
      </w:tblCellMar>
    </w:tblPr>
  </w:style>
  <w:style w:type="table" w:customStyle="1" w:styleId="233">
    <w:name w:val="网格型1"/>
    <w:basedOn w:val="26"/>
    <w:autoRedefine/>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
    <w:name w:val="网格型2"/>
    <w:basedOn w:val="26"/>
    <w:autoRedefine/>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
    <w:name w:val="网格型3"/>
    <w:basedOn w:val="26"/>
    <w:autoRedefine/>
    <w:qFormat/>
    <w:uiPriority w:val="3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36">
    <w:name w:val="目次、标准名称标题"/>
    <w:basedOn w:val="1"/>
    <w:next w:val="237"/>
    <w:autoRedefine/>
    <w:qFormat/>
    <w:uiPriority w:val="0"/>
    <w:pPr>
      <w:keepNext/>
      <w:pageBreakBefore/>
      <w:widowControl/>
      <w:shd w:val="clear" w:color="FFFFFF" w:fill="FFFFFF"/>
      <w:spacing w:line="460" w:lineRule="exact"/>
      <w:jc w:val="center"/>
      <w:outlineLvl w:val="0"/>
    </w:pPr>
    <w:rPr>
      <w:rFonts w:ascii="黑体" w:eastAsia="黑体"/>
      <w:kern w:val="0"/>
      <w:sz w:val="32"/>
      <w:szCs w:val="20"/>
    </w:rPr>
  </w:style>
  <w:style w:type="paragraph" w:customStyle="1" w:styleId="237">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8">
    <w:name w:val="章标题"/>
    <w:next w:val="237"/>
    <w:link w:val="247"/>
    <w:autoRedefine/>
    <w:qFormat/>
    <w:uiPriority w:val="0"/>
    <w:pPr>
      <w:numPr>
        <w:ilvl w:val="0"/>
        <w:numId w:val="31"/>
      </w:numPr>
      <w:spacing w:beforeLines="100" w:afterLines="100"/>
      <w:jc w:val="both"/>
      <w:outlineLvl w:val="1"/>
    </w:pPr>
    <w:rPr>
      <w:rFonts w:ascii="黑体" w:hAnsi="Times New Roman" w:eastAsia="黑体" w:cs="Times New Roman"/>
      <w:sz w:val="21"/>
      <w:lang w:val="en-US" w:eastAsia="zh-CN" w:bidi="ar-SA"/>
    </w:rPr>
  </w:style>
  <w:style w:type="paragraph" w:customStyle="1" w:styleId="239">
    <w:name w:val="一级条标题"/>
    <w:next w:val="237"/>
    <w:autoRedefine/>
    <w:qFormat/>
    <w:uiPriority w:val="0"/>
    <w:pPr>
      <w:numPr>
        <w:ilvl w:val="1"/>
        <w:numId w:val="31"/>
      </w:numPr>
      <w:spacing w:beforeLines="50" w:afterLines="50"/>
      <w:outlineLvl w:val="2"/>
    </w:pPr>
    <w:rPr>
      <w:rFonts w:ascii="黑体" w:hAnsi="Times New Roman" w:eastAsia="黑体" w:cs="Times New Roman"/>
      <w:sz w:val="21"/>
      <w:szCs w:val="21"/>
      <w:lang w:val="en-US" w:eastAsia="zh-CN" w:bidi="ar-SA"/>
    </w:rPr>
  </w:style>
  <w:style w:type="paragraph" w:customStyle="1" w:styleId="240">
    <w:name w:val="二级无"/>
    <w:basedOn w:val="241"/>
    <w:autoRedefine/>
    <w:qFormat/>
    <w:uiPriority w:val="0"/>
    <w:rPr>
      <w:rFonts w:ascii="宋体" w:eastAsia="宋体"/>
    </w:rPr>
  </w:style>
  <w:style w:type="paragraph" w:customStyle="1" w:styleId="241">
    <w:name w:val="二级条标题"/>
    <w:basedOn w:val="239"/>
    <w:next w:val="237"/>
    <w:autoRedefine/>
    <w:qFormat/>
    <w:uiPriority w:val="0"/>
    <w:pPr>
      <w:spacing w:beforeLines="0" w:afterLines="0"/>
      <w:outlineLvl w:val="3"/>
    </w:pPr>
  </w:style>
  <w:style w:type="paragraph" w:customStyle="1" w:styleId="242">
    <w:name w:val="正文1"/>
    <w:autoRedefine/>
    <w:qFormat/>
    <w:uiPriority w:val="0"/>
    <w:pPr>
      <w:jc w:val="both"/>
    </w:pPr>
    <w:rPr>
      <w:rFonts w:ascii="Times New Roman" w:hAnsi="Times New Roman" w:eastAsia="宋体" w:cs="Times New Roman"/>
      <w:kern w:val="2"/>
      <w:sz w:val="21"/>
      <w:szCs w:val="21"/>
      <w:lang w:val="en-US" w:eastAsia="zh-CN" w:bidi="ar-SA"/>
    </w:rPr>
  </w:style>
  <w:style w:type="paragraph" w:customStyle="1" w:styleId="243">
    <w:name w:val="正文图标题"/>
    <w:next w:val="237"/>
    <w:autoRedefine/>
    <w:qFormat/>
    <w:uiPriority w:val="0"/>
    <w:pPr>
      <w:numPr>
        <w:ilvl w:val="0"/>
        <w:numId w:val="32"/>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44">
    <w:name w:val="三级无"/>
    <w:basedOn w:val="245"/>
    <w:autoRedefine/>
    <w:qFormat/>
    <w:uiPriority w:val="0"/>
    <w:rPr>
      <w:rFonts w:ascii="宋体" w:eastAsia="宋体"/>
    </w:rPr>
  </w:style>
  <w:style w:type="paragraph" w:customStyle="1" w:styleId="245">
    <w:name w:val="三级条标题"/>
    <w:basedOn w:val="241"/>
    <w:next w:val="237"/>
    <w:autoRedefine/>
    <w:qFormat/>
    <w:uiPriority w:val="0"/>
    <w:pPr>
      <w:outlineLvl w:val="4"/>
    </w:pPr>
  </w:style>
  <w:style w:type="paragraph" w:customStyle="1" w:styleId="246">
    <w:name w:val="字母编号列项（一级）"/>
    <w:autoRedefine/>
    <w:qFormat/>
    <w:uiPriority w:val="0"/>
    <w:pPr>
      <w:numPr>
        <w:ilvl w:val="0"/>
        <w:numId w:val="33"/>
      </w:numPr>
      <w:jc w:val="both"/>
    </w:pPr>
    <w:rPr>
      <w:rFonts w:ascii="宋体" w:hAnsi="Times New Roman" w:eastAsia="宋体" w:cs="Times New Roman"/>
      <w:sz w:val="21"/>
      <w:lang w:val="en-US" w:eastAsia="zh-CN" w:bidi="ar-SA"/>
    </w:rPr>
  </w:style>
  <w:style w:type="character" w:customStyle="1" w:styleId="247">
    <w:name w:val="章标题 Char"/>
    <w:link w:val="238"/>
    <w:autoRedefine/>
    <w:qFormat/>
    <w:uiPriority w:val="0"/>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4.jpeg"/><Relationship Id="rId2" Type="http://schemas.openxmlformats.org/officeDocument/2006/relationships/settings" Target="settings.xml"/><Relationship Id="rId19" Type="http://schemas.openxmlformats.org/officeDocument/2006/relationships/image" Target="media/image3.jpeg"/><Relationship Id="rId18" Type="http://schemas.openxmlformats.org/officeDocument/2006/relationships/image" Target="media/image2.jpeg"/><Relationship Id="rId17" Type="http://schemas.openxmlformats.org/officeDocument/2006/relationships/image" Target="media/image1.tiff"/><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643cb16-9ef3-4e11-834e-5b8162657358}"/>
        <w:style w:val=""/>
        <w:category>
          <w:name w:val="常规"/>
          <w:gallery w:val="placeholder"/>
        </w:category>
        <w:types>
          <w:type w:val="bbPlcHdr"/>
        </w:types>
        <w:behaviors>
          <w:behavior w:val="content"/>
        </w:behaviors>
        <w:description w:val=""/>
        <w:guid w:val="{D643CB16-9EF3-4E11-834E-5B8162657358}"/>
      </w:docPartPr>
      <w:docPartBody>
        <w:p>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4C6902"/>
    <w:rsid w:val="004C69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821E369DD4E345BA9C4A8A437F616AE9"/>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C7D9A3DA475481090DBF22C98FE63F8"/>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8A5E5A4C7A844FBB9B17F0824102CF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12</Pages>
  <Words>909</Words>
  <Characters>5182</Characters>
  <Lines>43</Lines>
  <Paragraphs>12</Paragraphs>
  <TotalTime>4</TotalTime>
  <ScaleCrop>false</ScaleCrop>
  <LinksUpToDate>false</LinksUpToDate>
  <CharactersWithSpaces>6079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2023-12-21T06:01:00Z</dcterms:created>
  <dc:creator>DELL</dc:creator>
  <dc:description>&lt;config cover="true" show_menu="true" version="1.0.0" doctype="SDKXY"&gt;_x000d_
&lt;/config&gt;</dc:description>
  <cp:lastModifiedBy>小王同学</cp:lastModifiedBy>
  <cp:lastPrinted>2023-08-16T06:37:00Z</cp:lastPrinted>
  <dcterms:modified xsi:type="dcterms:W3CDTF">2024-04-02T12:37:00Z</dcterms:modified>
  <dc:title>地方标准</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0D16847B14DD4E859D245B2382CDA13D_13</vt:lpwstr>
  </property>
  <property fmtid="{D5CDD505-2E9C-101B-9397-08002B2CF9AE}" pid="4" name="doctype">
    <vt:lpwstr>SDKXY</vt:lpwstr>
  </property>
  <property fmtid="{D5CDD505-2E9C-101B-9397-08002B2CF9AE}" pid="5" name="cover">
    <vt:lpwstr>true</vt:lpwstr>
  </property>
  <property fmtid="{D5CDD505-2E9C-101B-9397-08002B2CF9AE}" pid="6" name="show_menu">
    <vt:lpwstr>true</vt:lpwstr>
  </property>
  <property fmtid="{D5CDD505-2E9C-101B-9397-08002B2CF9AE}" pid="7" name="version">
    <vt:lpwstr>1.0.0</vt:lpwstr>
  </property>
  <property fmtid="{D5CDD505-2E9C-101B-9397-08002B2CF9AE}" pid="8" name="xmlname">
    <vt:lpwstr>地方标准</vt:lpwstr>
  </property>
  <property fmtid="{D5CDD505-2E9C-101B-9397-08002B2CF9AE}" pid="9" name="NSTD_CODE">
    <vt:lpwstr>GB/T-</vt:lpwstr>
  </property>
  <property fmtid="{D5CDD505-2E9C-101B-9397-08002B2CF9AE}" pid="10" name="OSTD_CODE">
    <vt:lpwstr>代替 GB/T-</vt:lpwstr>
  </property>
  <property fmtid="{D5CDD505-2E9C-101B-9397-08002B2CF9AE}" pid="11" name="flag_zhengwen">
    <vt:lpwstr>-1</vt:lpwstr>
  </property>
  <property fmtid="{D5CDD505-2E9C-101B-9397-08002B2CF9AE}" pid="12" name="flag_fulu">
    <vt:lpwstr>0</vt:lpwstr>
  </property>
  <property fmtid="{D5CDD505-2E9C-101B-9397-08002B2CF9AE}" pid="13" name="flag_pic">
    <vt:lpwstr>False</vt:lpwstr>
  </property>
  <property fmtid="{D5CDD505-2E9C-101B-9397-08002B2CF9AE}" pid="14" name="flag_tab">
    <vt:lpwstr>false</vt:lpwstr>
  </property>
  <property fmtid="{D5CDD505-2E9C-101B-9397-08002B2CF9AE}" pid="15" name="NumList">
    <vt:lpwstr>false</vt:lpwstr>
  </property>
</Properties>
</file>