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A2F" w:rsidRDefault="00C15A2F">
      <w:pPr>
        <w:adjustRightInd/>
        <w:snapToGrid/>
        <w:spacing w:after="0"/>
        <w:rPr>
          <w:rFonts w:ascii="Times New Roman" w:eastAsia="仿宋_GB2312" w:hAnsi="Times New Roman"/>
          <w:sz w:val="32"/>
          <w:szCs w:val="32"/>
        </w:rPr>
      </w:pPr>
    </w:p>
    <w:p w:rsidR="00C15A2F" w:rsidRDefault="00F420E5">
      <w:pPr>
        <w:pStyle w:val="a9"/>
        <w:sectPr w:rsidR="00C15A2F">
          <w:headerReference w:type="even" r:id="rId8"/>
          <w:footerReference w:type="even" r:id="rId9"/>
          <w:footerReference w:type="default" r:id="rId10"/>
          <w:headerReference w:type="first" r:id="rId11"/>
          <w:pgSz w:w="11907" w:h="16839"/>
          <w:pgMar w:top="567" w:right="851" w:bottom="1361" w:left="1418" w:header="0" w:footer="0" w:gutter="0"/>
          <w:pgNumType w:start="1"/>
          <w:cols w:space="720"/>
          <w:titlePg/>
          <w:docGrid w:type="lines" w:linePitch="312"/>
        </w:sectPr>
      </w:pPr>
      <w:bookmarkStart w:id="0" w:name="SectionMark0"/>
      <w:r>
        <w:rPr>
          <w:noProof/>
          <w:sz w:val="21"/>
        </w:rPr>
        <mc:AlternateContent>
          <mc:Choice Requires="wps">
            <w:drawing>
              <wp:anchor distT="0" distB="0" distL="114300" distR="114300" simplePos="0" relativeHeight="251680768" behindDoc="0" locked="0" layoutInCell="1" allowOverlap="1">
                <wp:simplePos x="0" y="0"/>
                <wp:positionH relativeFrom="column">
                  <wp:posOffset>15240</wp:posOffset>
                </wp:positionH>
                <wp:positionV relativeFrom="paragraph">
                  <wp:posOffset>8485505</wp:posOffset>
                </wp:positionV>
                <wp:extent cx="61214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w14:anchorId="364E1904" id="直接连接符 4"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2pt,668.15pt" to="483.2pt,66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" strokecolor="#800008" strokeweight="1pt"/>
            </w:pict>
          </mc:Fallback>
        </mc:AlternateContent>
      </w:r>
      <w:r>
        <w:rPr>
          <w:noProof/>
        </w:rPr>
        <mc:AlternateContent>
          <mc:Choice Requires="wps">
            <w:drawing>
              <wp:anchor distT="0" distB="0" distL="114300" distR="114300" simplePos="0" relativeHeight="251670528" behindDoc="0" locked="1" layoutInCell="1" allowOverlap="1">
                <wp:simplePos x="0" y="0"/>
                <wp:positionH relativeFrom="margin">
                  <wp:posOffset>-15240</wp:posOffset>
                </wp:positionH>
                <wp:positionV relativeFrom="margin">
                  <wp:posOffset>8959850</wp:posOffset>
                </wp:positionV>
                <wp:extent cx="6120130" cy="347345"/>
                <wp:effectExtent l="0" t="0" r="13970" b="1460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47345"/>
                        </a:xfrm>
                        <a:prstGeom prst="rect">
                          <a:avLst/>
                        </a:prstGeom>
                        <a:solidFill>
                          <a:srgbClr val="FFFFFF"/>
                        </a:solidFill>
                        <a:ln>
                          <a:noFill/>
                        </a:ln>
                        <a:effectLst/>
                      </wps:spPr>
                      <wps:txbx>
                        <w:txbxContent>
                          <w:p w:rsidR="00C15A2F" w:rsidRDefault="00F420E5">
                            <w:pPr>
                              <w:pStyle w:val="ab"/>
                              <w:rPr>
                                <w:rFonts w:ascii="黑体" w:eastAsia="黑体" w:hAnsi="黑体"/>
                                <w:b w:val="0"/>
                                <w:bCs/>
                              </w:rPr>
                            </w:pPr>
                            <w:r>
                              <w:rPr>
                                <w:rFonts w:ascii="黑体" w:eastAsia="黑体" w:hAnsi="黑体" w:hint="eastAsia"/>
                                <w:b w:val="0"/>
                                <w:bCs/>
                                <w:szCs w:val="36"/>
                              </w:rPr>
                              <w:t>江苏省市场监督管理</w:t>
                            </w:r>
                            <w:r>
                              <w:rPr>
                                <w:rFonts w:ascii="黑体" w:eastAsia="黑体" w:hAnsi="黑体" w:hint="eastAsia"/>
                                <w:b w:val="0"/>
                                <w:bCs/>
                                <w:spacing w:val="100"/>
                                <w:szCs w:val="36"/>
                              </w:rPr>
                              <w:t>局</w:t>
                            </w:r>
                            <w:r>
                              <w:rPr>
                                <w:rStyle w:val="ac"/>
                                <w:rFonts w:hAnsi="黑体"/>
                                <w:b w:val="0"/>
                                <w:bCs/>
                                <w:spacing w:val="100"/>
                              </w:rPr>
                              <w:t xml:space="preserve"> </w:t>
                            </w:r>
                            <w:r>
                              <w:rPr>
                                <w:rStyle w:val="ac"/>
                                <w:rFonts w:hAnsi="黑体" w:hint="eastAsia"/>
                                <w:b w:val="0"/>
                                <w:bCs/>
                                <w:spacing w:val="100"/>
                                <w:szCs w:val="28"/>
                              </w:rPr>
                              <w:t>发</w:t>
                            </w:r>
                            <w:r>
                              <w:rPr>
                                <w:rStyle w:val="ac"/>
                                <w:rFonts w:hAnsi="黑体" w:hint="eastAsia"/>
                                <w:b w:val="0"/>
                                <w:bCs/>
                                <w:spacing w:val="50"/>
                                <w:szCs w:val="28"/>
                              </w:rPr>
                              <w:t>布</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1.2pt;margin-top:705.5pt;width:481.9pt;height:27.35pt;z-index:2516705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" stroked="f">
                <v:textbox inset="0,0,0,0">
                  <w:txbxContent>
                    <w:p w:rsidR="00C15A2F" w:rsidRDefault="00F420E5">
                      <w:pPr>
                        <w:pStyle w:val="ab"/>
                        <w:rPr>
                          <w:rFonts w:ascii="黑体" w:eastAsia="黑体" w:hAnsi="黑体"/>
                          <w:b w:val="0"/>
                          <w:bCs/>
                        </w:rPr>
                      </w:pPr>
                      <w:r>
                        <w:rPr>
                          <w:rFonts w:ascii="黑体" w:eastAsia="黑体" w:hAnsi="黑体" w:hint="eastAsia"/>
                          <w:b w:val="0"/>
                          <w:bCs/>
                          <w:szCs w:val="36"/>
                        </w:rPr>
                        <w:t>江苏省市场监督管理</w:t>
                      </w:r>
                      <w:r>
                        <w:rPr>
                          <w:rFonts w:ascii="黑体" w:eastAsia="黑体" w:hAnsi="黑体" w:hint="eastAsia"/>
                          <w:b w:val="0"/>
                          <w:bCs/>
                          <w:spacing w:val="100"/>
                          <w:szCs w:val="36"/>
                        </w:rPr>
                        <w:t>局</w:t>
                      </w:r>
                      <w:r>
                        <w:rPr>
                          <w:rStyle w:val="ac"/>
                          <w:rFonts w:hAnsi="黑体"/>
                          <w:b w:val="0"/>
                          <w:bCs/>
                          <w:spacing w:val="100"/>
                        </w:rPr>
                        <w:t xml:space="preserve"> </w:t>
                      </w:r>
                      <w:r>
                        <w:rPr>
                          <w:rStyle w:val="ac"/>
                          <w:rFonts w:hAnsi="黑体" w:hint="eastAsia"/>
                          <w:b w:val="0"/>
                          <w:bCs/>
                          <w:spacing w:val="100"/>
                          <w:szCs w:val="28"/>
                        </w:rPr>
                        <w:t>发</w:t>
                      </w:r>
                      <w:r>
                        <w:rPr>
                          <w:rStyle w:val="ac"/>
                          <w:rFonts w:hAnsi="黑体" w:hint="eastAsia"/>
                          <w:b w:val="0"/>
                          <w:bCs/>
                          <w:spacing w:val="50"/>
                          <w:szCs w:val="28"/>
                        </w:rPr>
                        <w:t>布</w:t>
                      </w:r>
                    </w:p>
                  </w:txbxContent>
                </v:textbox>
                <w10:wrap anchorx="margin" anchory="margin"/>
                <w10:anchorlock/>
              </v:shape>
            </w:pict>
          </mc:Fallback>
        </mc:AlternateContent>
      </w:r>
      <w:r>
        <w:rPr>
          <w:noProof/>
        </w:rPr>
        <mc:AlternateContent>
          <mc:Choice Requires="wps">
            <w:drawing>
              <wp:anchor distT="0" distB="0" distL="114300" distR="114300" simplePos="0" relativeHeight="251669504" behindDoc="0" locked="1" layoutInCell="1" allowOverlap="1">
                <wp:simplePos x="0" y="0"/>
                <wp:positionH relativeFrom="margin">
                  <wp:posOffset>3021965</wp:posOffset>
                </wp:positionH>
                <wp:positionV relativeFrom="margin">
                  <wp:posOffset>116840</wp:posOffset>
                </wp:positionV>
                <wp:extent cx="3175000" cy="720090"/>
                <wp:effectExtent l="0" t="0" r="6350" b="38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rsidR="00C15A2F" w:rsidRDefault="00F420E5">
                            <w:pPr>
                              <w:pStyle w:val="ad"/>
                              <w:wordWrap w:val="0"/>
                            </w:pPr>
                            <w:r>
                              <w:rPr>
                                <w:rFonts w:hint="eastAsia"/>
                              </w:rPr>
                              <w:t xml:space="preserve">   </w:t>
                            </w:r>
                            <w:r>
                              <w:t>DB</w:t>
                            </w:r>
                            <w:r>
                              <w:rPr>
                                <w:rFonts w:hint="eastAsia"/>
                              </w:rPr>
                              <w:t>32</w:t>
                            </w:r>
                            <w:r>
                              <w:t xml:space="preserve">   </w:t>
                            </w:r>
                          </w:p>
                        </w:txbxContent>
                      </wps:txbx>
                      <wps:bodyPr rot="0" vert="horz" wrap="square" lIns="0" tIns="0" rIns="0" bIns="0" anchor="t" anchorCtr="0" upright="1">
                        <a:noAutofit/>
                      </wps:bodyPr>
                    </wps:wsp>
                  </a:graphicData>
                </a:graphic>
              </wp:anchor>
            </w:drawing>
          </mc:Choice>
          <mc:Fallback>
            <w:pict>
              <v:shape id="文本框 3" o:spid="_x0000_s1027" type="#_x0000_t202" style="position:absolute;left:0;text-align:left;margin-left:237.95pt;margin-top:9.2pt;width:250pt;height:56.7pt;z-index:2516695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" stroked="f">
                <v:textbox inset="0,0,0,0">
                  <w:txbxContent>
                    <w:p w:rsidR="00C15A2F" w:rsidRDefault="00F420E5">
                      <w:pPr>
                        <w:pStyle w:val="ad"/>
                        <w:wordWrap w:val="0"/>
                      </w:pPr>
                      <w:r>
                        <w:rPr>
                          <w:rFonts w:hint="eastAsia"/>
                        </w:rPr>
                        <w:t xml:space="preserve">   </w:t>
                      </w:r>
                      <w:r>
                        <w:t>DB</w:t>
                      </w:r>
                      <w:r>
                        <w:rPr>
                          <w:rFonts w:hint="eastAsia"/>
                        </w:rPr>
                        <w:t>32</w:t>
                      </w:r>
                      <w:r>
                        <w:t xml:space="preserve">   </w:t>
                      </w:r>
                    </w:p>
                  </w:txbxContent>
                </v:textbox>
                <w10:wrap anchorx="margin" anchory="margin"/>
                <w10:anchorlock/>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2249170</wp:posOffset>
                </wp:positionV>
                <wp:extent cx="612140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a:effectLst/>
                      </wps:spPr>
                      <wps:bodyPr/>
                    </wps:wsp>
                  </a:graphicData>
                </a:graphic>
              </wp:anchor>
            </w:drawing>
          </mc:Choice>
          <mc:Fallback>
            <w:pict>
              <v:line w14:anchorId="6E9507D6" id="直接连接符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77.1pt" to="482pt,1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" strokecolor="#800008" strokeweight="1p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8684895</wp:posOffset>
                </wp:positionV>
                <wp:extent cx="6121400" cy="0"/>
                <wp:effectExtent l="0" t="0" r="0" b="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a:effectLst/>
                      </wps:spPr>
                      <wps:bodyPr/>
                    </wps:wsp>
                  </a:graphicData>
                </a:graphic>
              </wp:anchor>
            </w:drawing>
          </mc:Choice>
          <mc:Fallback>
            <w:pict>
              <v:line w14:anchorId="7F211674" id="直接连接符 12"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683.85pt" to="482pt,6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" strokecolor="#800008" strokeweight="1pt"/>
            </w:pict>
          </mc:Fallback>
        </mc:AlternateContent>
      </w:r>
      <w:r>
        <w:rPr>
          <w:noProof/>
        </w:rPr>
        <mc:AlternateContent>
          <mc:Choice Requires="wps">
            <w:drawing>
              <wp:anchor distT="0" distB="0" distL="114300" distR="114300" simplePos="0" relativeHeight="251666432" behindDoc="0" locked="1" layoutInCell="1" allowOverlap="1">
                <wp:simplePos x="0" y="0"/>
                <wp:positionH relativeFrom="margin">
                  <wp:posOffset>4079240</wp:posOffset>
                </wp:positionH>
                <wp:positionV relativeFrom="margin">
                  <wp:posOffset>8358505</wp:posOffset>
                </wp:positionV>
                <wp:extent cx="2019300" cy="312420"/>
                <wp:effectExtent l="0" t="0" r="0" b="1143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C15A2F" w:rsidRDefault="00F420E5">
                            <w:pPr>
                              <w:pStyle w:val="ae"/>
                              <w:rPr>
                                <w:rFonts w:ascii="黑体"/>
                              </w:rPr>
                            </w:pPr>
                            <w:r>
                              <w:rPr>
                                <w:rFonts w:ascii="黑体" w:hAnsi="黑体"/>
                              </w:rPr>
                              <w:t>202</w:t>
                            </w:r>
                            <w:r>
                              <w:rPr>
                                <w:rFonts w:ascii="黑体" w:hAnsi="黑体" w:hint="eastAsia"/>
                              </w:rPr>
                              <w:t>4</w:t>
                            </w:r>
                            <w:r>
                              <w:rPr>
                                <w:rFonts w:ascii="黑体"/>
                              </w:rPr>
                              <w:t>-</w:t>
                            </w:r>
                            <w:r>
                              <w:rPr>
                                <w:rFonts w:ascii="黑体" w:hAnsi="黑体" w:hint="eastAsia"/>
                              </w:rPr>
                              <w:t>××</w:t>
                            </w:r>
                            <w:r>
                              <w:rPr>
                                <w:rFonts w:ascii="黑体"/>
                              </w:rPr>
                              <w:t>-</w:t>
                            </w:r>
                            <w:r>
                              <w:rPr>
                                <w:rFonts w:ascii="黑体" w:hAnsi="黑体" w:hint="eastAsia"/>
                              </w:rPr>
                              <w:t>××实施</w:t>
                            </w:r>
                          </w:p>
                        </w:txbxContent>
                      </wps:txbx>
                      <wps:bodyPr rot="0" vert="horz" wrap="square" lIns="0" tIns="0" rIns="0" bIns="0" anchor="t" anchorCtr="0" upright="1">
                        <a:noAutofit/>
                      </wps:bodyPr>
                    </wps:wsp>
                  </a:graphicData>
                </a:graphic>
              </wp:anchor>
            </w:drawing>
          </mc:Choice>
          <mc:Fallback>
            <w:pict>
              <v:shape id="文本框 1" o:spid="_x0000_s1028" type="#_x0000_t202" style="position:absolute;left:0;text-align:left;margin-left:321.2pt;margin-top:658.15pt;width:159pt;height:24.6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" stroked="f">
                <v:textbox inset="0,0,0,0">
                  <w:txbxContent>
                    <w:p w:rsidR="00C15A2F" w:rsidRDefault="00F420E5">
                      <w:pPr>
                        <w:pStyle w:val="ae"/>
                        <w:rPr>
                          <w:rFonts w:ascii="黑体"/>
                        </w:rPr>
                      </w:pPr>
                      <w:r>
                        <w:rPr>
                          <w:rFonts w:ascii="黑体" w:hAnsi="黑体"/>
                        </w:rPr>
                        <w:t>202</w:t>
                      </w:r>
                      <w:r>
                        <w:rPr>
                          <w:rFonts w:ascii="黑体" w:hAnsi="黑体" w:hint="eastAsia"/>
                        </w:rPr>
                        <w:t>4</w:t>
                      </w:r>
                      <w:r>
                        <w:rPr>
                          <w:rFonts w:ascii="黑体"/>
                        </w:rPr>
                        <w:t>-</w:t>
                      </w:r>
                      <w:r>
                        <w:rPr>
                          <w:rFonts w:ascii="黑体" w:hAnsi="黑体" w:hint="eastAsia"/>
                        </w:rPr>
                        <w:t>××</w:t>
                      </w:r>
                      <w:r>
                        <w:rPr>
                          <w:rFonts w:ascii="黑体"/>
                        </w:rPr>
                        <w:t>-</w:t>
                      </w:r>
                      <w:r>
                        <w:rPr>
                          <w:rFonts w:ascii="黑体" w:hAnsi="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21590</wp:posOffset>
                </wp:positionH>
                <wp:positionV relativeFrom="margin">
                  <wp:posOffset>8358505</wp:posOffset>
                </wp:positionV>
                <wp:extent cx="2019300" cy="312420"/>
                <wp:effectExtent l="0" t="0" r="0" b="1143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C15A2F" w:rsidRDefault="00F420E5">
                            <w:pPr>
                              <w:pStyle w:val="af"/>
                              <w:rPr>
                                <w:rFonts w:ascii="黑体"/>
                              </w:rPr>
                            </w:pPr>
                            <w:r>
                              <w:rPr>
                                <w:rFonts w:ascii="黑体" w:hAnsi="黑体"/>
                              </w:rPr>
                              <w:t>202</w:t>
                            </w:r>
                            <w:r>
                              <w:rPr>
                                <w:rFonts w:ascii="黑体" w:hAnsi="黑体" w:hint="eastAsia"/>
                              </w:rPr>
                              <w:t>4</w:t>
                            </w:r>
                            <w:r>
                              <w:rPr>
                                <w:rFonts w:ascii="黑体"/>
                              </w:rPr>
                              <w:t>-</w:t>
                            </w:r>
                            <w:r>
                              <w:rPr>
                                <w:rFonts w:ascii="黑体" w:hAnsi="黑体" w:hint="eastAsia"/>
                              </w:rPr>
                              <w:t>××</w:t>
                            </w:r>
                            <w:r>
                              <w:rPr>
                                <w:rFonts w:ascii="黑体"/>
                              </w:rPr>
                              <w:t>-</w:t>
                            </w:r>
                            <w:r>
                              <w:rPr>
                                <w:rFonts w:ascii="黑体" w:hAnsi="黑体" w:hint="eastAsia"/>
                              </w:rPr>
                              <w:t>××发布</w:t>
                            </w:r>
                          </w:p>
                        </w:txbxContent>
                      </wps:txbx>
                      <wps:bodyPr rot="0" vert="horz" wrap="square" lIns="0" tIns="0" rIns="0" bIns="0" anchor="t" anchorCtr="0" upright="1">
                        <a:noAutofit/>
                      </wps:bodyPr>
                    </wps:wsp>
                  </a:graphicData>
                </a:graphic>
              </wp:anchor>
            </w:drawing>
          </mc:Choice>
          <mc:Fallback>
            <w:pict>
              <v:shape id="文本框 7" o:spid="_x0000_s1029" type="#_x0000_t202" style="position:absolute;left:0;text-align:left;margin-left:1.7pt;margin-top:658.15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" stroked="f">
                <v:textbox inset="0,0,0,0">
                  <w:txbxContent>
                    <w:p w:rsidR="00C15A2F" w:rsidRDefault="00F420E5">
                      <w:pPr>
                        <w:pStyle w:val="af"/>
                        <w:rPr>
                          <w:rFonts w:ascii="黑体"/>
                        </w:rPr>
                      </w:pPr>
                      <w:r>
                        <w:rPr>
                          <w:rFonts w:ascii="黑体" w:hAnsi="黑体"/>
                        </w:rPr>
                        <w:t>202</w:t>
                      </w:r>
                      <w:r>
                        <w:rPr>
                          <w:rFonts w:ascii="黑体" w:hAnsi="黑体" w:hint="eastAsia"/>
                        </w:rPr>
                        <w:t>4</w:t>
                      </w:r>
                      <w:r>
                        <w:rPr>
                          <w:rFonts w:ascii="黑体"/>
                        </w:rPr>
                        <w:t>-</w:t>
                      </w:r>
                      <w:r>
                        <w:rPr>
                          <w:rFonts w:ascii="黑体" w:hAnsi="黑体" w:hint="eastAsia"/>
                        </w:rPr>
                        <w:t>××</w:t>
                      </w:r>
                      <w:r>
                        <w:rPr>
                          <w:rFonts w:ascii="黑体"/>
                        </w:rPr>
                        <w:t>-</w:t>
                      </w:r>
                      <w:r>
                        <w:rPr>
                          <w:rFonts w:ascii="黑体" w:hAnsi="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-90170</wp:posOffset>
                </wp:positionH>
                <wp:positionV relativeFrom="margin">
                  <wp:posOffset>3635375</wp:posOffset>
                </wp:positionV>
                <wp:extent cx="6140450" cy="4681220"/>
                <wp:effectExtent l="0" t="0" r="12700" b="508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4681220"/>
                        </a:xfrm>
                        <a:prstGeom prst="rect">
                          <a:avLst/>
                        </a:prstGeom>
                        <a:solidFill>
                          <a:srgbClr val="FFFFFF"/>
                        </a:solidFill>
                        <a:ln>
                          <a:noFill/>
                        </a:ln>
                        <a:effectLst/>
                      </wps:spPr>
                      <wps:txbx>
                        <w:txbxContent>
                          <w:p w:rsidR="00C15A2F" w:rsidRDefault="00F420E5">
                            <w:pPr>
                              <w:pStyle w:val="af0"/>
                              <w:rPr>
                                <w:rFonts w:ascii="宋体" w:eastAsia="黑体" w:cs="宋体"/>
                                <w:sz w:val="52"/>
                                <w:szCs w:val="52"/>
                                <w:lang w:val="zh-CN"/>
                              </w:rPr>
                            </w:pPr>
                            <w:r>
                              <w:rPr>
                                <w:rFonts w:ascii="宋体" w:eastAsia="黑体" w:cs="宋体"/>
                                <w:sz w:val="52"/>
                                <w:szCs w:val="52"/>
                              </w:rPr>
                              <w:t xml:space="preserve"> </w:t>
                            </w:r>
                            <w:r>
                              <w:rPr>
                                <w:rFonts w:ascii="宋体" w:eastAsia="黑体" w:cs="宋体" w:hint="eastAsia"/>
                                <w:sz w:val="52"/>
                                <w:szCs w:val="52"/>
                                <w:lang w:val="zh-CN"/>
                              </w:rPr>
                              <w:t>水产种质资源保护区建设与管理</w:t>
                            </w:r>
                            <w:r>
                              <w:rPr>
                                <w:rFonts w:ascii="宋体" w:eastAsia="黑体" w:cs="宋体" w:hint="eastAsia"/>
                                <w:sz w:val="52"/>
                                <w:szCs w:val="52"/>
                              </w:rPr>
                              <w:t>规范</w:t>
                            </w:r>
                          </w:p>
                          <w:p w:rsidR="00C15A2F" w:rsidRDefault="00F420E5">
                            <w:pPr>
                              <w:widowControl w:val="0"/>
                              <w:adjustRightInd/>
                              <w:snapToGrid/>
                              <w:spacing w:after="0"/>
                              <w:jc w:val="center"/>
                              <w:rPr>
                                <w:rFonts w:ascii="Times New Roman" w:eastAsia="宋体" w:hAnsi="Times New Roman"/>
                                <w:kern w:val="2"/>
                                <w:sz w:val="28"/>
                                <w:szCs w:val="24"/>
                              </w:rPr>
                            </w:pPr>
                            <w:r>
                              <w:rPr>
                                <w:rFonts w:ascii="Times New Roman" w:eastAsia="宋体" w:hAnsi="Times New Roman" w:hint="eastAsia"/>
                                <w:kern w:val="2"/>
                                <w:sz w:val="28"/>
                                <w:szCs w:val="24"/>
                              </w:rPr>
                              <w:t xml:space="preserve">Specification for </w:t>
                            </w:r>
                            <w:r>
                              <w:rPr>
                                <w:rFonts w:ascii="Times New Roman" w:eastAsia="宋体" w:hAnsi="Times New Roman" w:hint="eastAsia"/>
                                <w:kern w:val="2"/>
                                <w:sz w:val="28"/>
                                <w:szCs w:val="24"/>
                              </w:rPr>
                              <w:t>construction and management of Aquatic Germplasm Resources Conservation Reserve</w:t>
                            </w:r>
                          </w:p>
                          <w:p w:rsidR="00C15A2F" w:rsidRDefault="00C15A2F">
                            <w:pPr>
                              <w:pStyle w:val="af0"/>
                              <w:rPr>
                                <w:highlight w:val="green"/>
                              </w:rPr>
                            </w:pPr>
                          </w:p>
                          <w:p w:rsidR="00C15A2F" w:rsidRDefault="00F420E5">
                            <w:pPr>
                              <w:pStyle w:val="af0"/>
                            </w:pPr>
                            <w:r>
                              <w:rPr>
                                <w:rFonts w:hint="eastAsia"/>
                              </w:rPr>
                              <w:t>（报批稿）</w:t>
                            </w:r>
                            <w:r>
                              <w:t xml:space="preserve"> </w:t>
                            </w:r>
                          </w:p>
                          <w:p w:rsidR="00C15A2F" w:rsidRDefault="00C15A2F">
                            <w:pPr>
                              <w:pStyle w:val="af1"/>
                            </w:pPr>
                          </w:p>
                        </w:txbxContent>
                      </wps:txbx>
                      <wps:bodyPr rot="0" vert="horz" wrap="square" lIns="0" tIns="0" rIns="0" bIns="0" anchor="t" anchorCtr="0" upright="1">
                        <a:noAutofit/>
                      </wps:bodyPr>
                    </wps:wsp>
                  </a:graphicData>
                </a:graphic>
              </wp:anchor>
            </w:drawing>
          </mc:Choice>
          <mc:Fallback>
            <w:pict>
              <v:shape id="文本框 8" o:spid="_x0000_s1030" type="#_x0000_t202" style="position:absolute;left:0;text-align:left;margin-left:-7.1pt;margin-top:286.25pt;width:483.5pt;height:368.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" stroked="f">
                <v:textbox inset="0,0,0,0">
                  <w:txbxContent>
                    <w:p w:rsidR="00C15A2F" w:rsidRDefault="00F420E5">
                      <w:pPr>
                        <w:pStyle w:val="af0"/>
                        <w:rPr>
                          <w:rFonts w:ascii="宋体" w:eastAsia="黑体" w:cs="宋体"/>
                          <w:sz w:val="52"/>
                          <w:szCs w:val="52"/>
                          <w:lang w:val="zh-CN"/>
                        </w:rPr>
                      </w:pPr>
                      <w:r>
                        <w:rPr>
                          <w:rFonts w:ascii="宋体" w:eastAsia="黑体" w:cs="宋体"/>
                          <w:sz w:val="52"/>
                          <w:szCs w:val="52"/>
                        </w:rPr>
                        <w:t xml:space="preserve"> </w:t>
                      </w:r>
                      <w:r>
                        <w:rPr>
                          <w:rFonts w:ascii="宋体" w:eastAsia="黑体" w:cs="宋体" w:hint="eastAsia"/>
                          <w:sz w:val="52"/>
                          <w:szCs w:val="52"/>
                          <w:lang w:val="zh-CN"/>
                        </w:rPr>
                        <w:t>水产种质资源保护区建设与管理</w:t>
                      </w:r>
                      <w:r>
                        <w:rPr>
                          <w:rFonts w:ascii="宋体" w:eastAsia="黑体" w:cs="宋体" w:hint="eastAsia"/>
                          <w:sz w:val="52"/>
                          <w:szCs w:val="52"/>
                        </w:rPr>
                        <w:t>规范</w:t>
                      </w:r>
                    </w:p>
                    <w:p w:rsidR="00C15A2F" w:rsidRDefault="00F420E5">
                      <w:pPr>
                        <w:widowControl w:val="0"/>
                        <w:adjustRightInd/>
                        <w:snapToGrid/>
                        <w:spacing w:after="0"/>
                        <w:jc w:val="center"/>
                        <w:rPr>
                          <w:rFonts w:ascii="Times New Roman" w:eastAsia="宋体" w:hAnsi="Times New Roman"/>
                          <w:kern w:val="2"/>
                          <w:sz w:val="28"/>
                          <w:szCs w:val="24"/>
                        </w:rPr>
                      </w:pPr>
                      <w:r>
                        <w:rPr>
                          <w:rFonts w:ascii="Times New Roman" w:eastAsia="宋体" w:hAnsi="Times New Roman" w:hint="eastAsia"/>
                          <w:kern w:val="2"/>
                          <w:sz w:val="28"/>
                          <w:szCs w:val="24"/>
                        </w:rPr>
                        <w:t xml:space="preserve">Specification for </w:t>
                      </w:r>
                      <w:r>
                        <w:rPr>
                          <w:rFonts w:ascii="Times New Roman" w:eastAsia="宋体" w:hAnsi="Times New Roman" w:hint="eastAsia"/>
                          <w:kern w:val="2"/>
                          <w:sz w:val="28"/>
                          <w:szCs w:val="24"/>
                        </w:rPr>
                        <w:t>construction and management of Aquatic Germplasm Resources Conservation Reserve</w:t>
                      </w:r>
                    </w:p>
                    <w:p w:rsidR="00C15A2F" w:rsidRDefault="00C15A2F">
                      <w:pPr>
                        <w:pStyle w:val="af0"/>
                        <w:rPr>
                          <w:highlight w:val="green"/>
                        </w:rPr>
                      </w:pPr>
                    </w:p>
                    <w:p w:rsidR="00C15A2F" w:rsidRDefault="00F420E5">
                      <w:pPr>
                        <w:pStyle w:val="af0"/>
                      </w:pPr>
                      <w:r>
                        <w:rPr>
                          <w:rFonts w:hint="eastAsia"/>
                        </w:rPr>
                        <w:t>（报批稿）</w:t>
                      </w:r>
                      <w:r>
                        <w:t xml:space="preserve"> </w:t>
                      </w:r>
                    </w:p>
                    <w:p w:rsidR="00C15A2F" w:rsidRDefault="00C15A2F">
                      <w:pPr>
                        <w:pStyle w:val="af1"/>
                      </w:pP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17145</wp:posOffset>
                </wp:positionH>
                <wp:positionV relativeFrom="margin">
                  <wp:posOffset>1568450</wp:posOffset>
                </wp:positionV>
                <wp:extent cx="5802630" cy="540385"/>
                <wp:effectExtent l="0" t="0" r="7620" b="1206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540385"/>
                        </a:xfrm>
                        <a:prstGeom prst="rect">
                          <a:avLst/>
                        </a:prstGeom>
                        <a:solidFill>
                          <a:srgbClr val="FFFFFF"/>
                        </a:solidFill>
                        <a:ln>
                          <a:noFill/>
                        </a:ln>
                        <a:effectLst/>
                      </wps:spPr>
                      <wps:txbx>
                        <w:txbxContent>
                          <w:p w:rsidR="00C15A2F" w:rsidRDefault="00F420E5">
                            <w:pPr>
                              <w:pStyle w:val="10"/>
                              <w:wordWrap w:val="0"/>
                              <w:ind w:right="140"/>
                              <w:rPr>
                                <w:rFonts w:ascii="黑体"/>
                              </w:rPr>
                            </w:pPr>
                            <w:r>
                              <w:rPr>
                                <w:rFonts w:ascii="黑体"/>
                              </w:rPr>
                              <w:t>DB32/T</w:t>
                            </w:r>
                            <w:r>
                              <w:rPr>
                                <w:rFonts w:ascii="黑体" w:hint="eastAsia"/>
                              </w:rPr>
                              <w:t xml:space="preserve">     </w:t>
                            </w:r>
                            <w:r>
                              <w:rPr>
                                <w:rFonts w:ascii="黑体"/>
                              </w:rPr>
                              <w:t>—</w:t>
                            </w:r>
                            <w:r>
                              <w:rPr>
                                <w:rFonts w:ascii="黑体" w:hint="eastAsia"/>
                              </w:rPr>
                              <w:t>20</w:t>
                            </w:r>
                            <w:r>
                              <w:rPr>
                                <w:rFonts w:ascii="黑体"/>
                              </w:rPr>
                              <w:t>2</w:t>
                            </w:r>
                            <w:r>
                              <w:rPr>
                                <w:rFonts w:ascii="黑体" w:hint="eastAsia"/>
                              </w:rPr>
                              <w:t>4</w:t>
                            </w:r>
                          </w:p>
                          <w:p w:rsidR="00C15A2F" w:rsidRDefault="00F420E5">
                            <w:pPr>
                              <w:pStyle w:val="10"/>
                              <w:wordWrap w:val="0"/>
                              <w:rPr>
                                <w:rFonts w:ascii="黑体" w:eastAsia="黑体"/>
                              </w:rPr>
                            </w:pPr>
                            <w:r>
                              <w:rPr>
                                <w:rFonts w:ascii="黑体" w:eastAsia="黑体"/>
                              </w:rPr>
                              <w:t xml:space="preserve">      </w:t>
                            </w:r>
                          </w:p>
                        </w:txbxContent>
                      </wps:txbx>
                      <wps:bodyPr rot="0" vert="horz" wrap="square" lIns="0" tIns="0" rIns="0" bIns="0" anchor="t" anchorCtr="0" upright="1">
                        <a:noAutofit/>
                      </wps:bodyPr>
                    </wps:wsp>
                  </a:graphicData>
                </a:graphic>
              </wp:anchor>
            </w:drawing>
          </mc:Choice>
          <mc:Fallback>
            <w:pict>
              <v:shape id="文本框 9" o:spid="_x0000_s1031" type="#_x0000_t202" style="position:absolute;left:0;text-align:left;margin-left:1.35pt;margin-top:123.5pt;width:456.9pt;height:42.55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" stroked="f">
                <v:textbox inset="0,0,0,0">
                  <w:txbxContent>
                    <w:p w:rsidR="00C15A2F" w:rsidRDefault="00F420E5">
                      <w:pPr>
                        <w:pStyle w:val="10"/>
                        <w:wordWrap w:val="0"/>
                        <w:ind w:right="140"/>
                        <w:rPr>
                          <w:rFonts w:ascii="黑体"/>
                        </w:rPr>
                      </w:pPr>
                      <w:r>
                        <w:rPr>
                          <w:rFonts w:ascii="黑体"/>
                        </w:rPr>
                        <w:t>DB32/T</w:t>
                      </w:r>
                      <w:r>
                        <w:rPr>
                          <w:rFonts w:ascii="黑体" w:hint="eastAsia"/>
                        </w:rPr>
                        <w:t xml:space="preserve">     </w:t>
                      </w:r>
                      <w:r>
                        <w:rPr>
                          <w:rFonts w:ascii="黑体"/>
                        </w:rPr>
                        <w:t>—</w:t>
                      </w:r>
                      <w:r>
                        <w:rPr>
                          <w:rFonts w:ascii="黑体" w:hint="eastAsia"/>
                        </w:rPr>
                        <w:t>20</w:t>
                      </w:r>
                      <w:r>
                        <w:rPr>
                          <w:rFonts w:ascii="黑体"/>
                        </w:rPr>
                        <w:t>2</w:t>
                      </w:r>
                      <w:r>
                        <w:rPr>
                          <w:rFonts w:ascii="黑体" w:hint="eastAsia"/>
                        </w:rPr>
                        <w:t>4</w:t>
                      </w:r>
                    </w:p>
                    <w:p w:rsidR="00C15A2F" w:rsidRDefault="00F420E5">
                      <w:pPr>
                        <w:pStyle w:val="10"/>
                        <w:wordWrap w:val="0"/>
                        <w:rPr>
                          <w:rFonts w:ascii="黑体" w:eastAsia="黑体"/>
                        </w:rPr>
                      </w:pPr>
                      <w:r>
                        <w:rPr>
                          <w:rFonts w:ascii="黑体" w:eastAsia="黑体"/>
                        </w:rPr>
                        <w:t xml:space="preserve">      </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990600</wp:posOffset>
                </wp:positionV>
                <wp:extent cx="6120130" cy="805815"/>
                <wp:effectExtent l="0" t="0" r="13970" b="1333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05815"/>
                        </a:xfrm>
                        <a:prstGeom prst="rect">
                          <a:avLst/>
                        </a:prstGeom>
                        <a:solidFill>
                          <a:srgbClr val="FFFFFF"/>
                        </a:solidFill>
                        <a:ln>
                          <a:noFill/>
                        </a:ln>
                        <a:effectLst/>
                      </wps:spPr>
                      <wps:txbx>
                        <w:txbxContent>
                          <w:p w:rsidR="00C15A2F" w:rsidRDefault="00F420E5">
                            <w:pPr>
                              <w:pStyle w:val="af2"/>
                              <w:rPr>
                                <w:rFonts w:ascii="黑体" w:eastAsia="黑体" w:hAnsi="黑体"/>
                                <w:b w:val="0"/>
                                <w:bCs w:val="0"/>
                                <w:spacing w:val="0"/>
                                <w:w w:val="100"/>
                                <w:szCs w:val="52"/>
                              </w:rPr>
                            </w:pPr>
                            <w:r>
                              <w:rPr>
                                <w:rFonts w:ascii="黑体" w:eastAsia="黑体" w:hAnsi="黑体" w:hint="eastAsia"/>
                                <w:b w:val="0"/>
                                <w:bCs w:val="0"/>
                                <w:spacing w:val="0"/>
                                <w:w w:val="100"/>
                                <w:szCs w:val="52"/>
                              </w:rPr>
                              <w:t>江苏省地方标准</w:t>
                            </w:r>
                          </w:p>
                        </w:txbxContent>
                      </wps:txbx>
                      <wps:bodyPr rot="0" vert="horz" wrap="square" lIns="0" tIns="0" rIns="0" bIns="0" anchor="t" anchorCtr="0" upright="1">
                        <a:noAutofit/>
                      </wps:bodyPr>
                    </wps:wsp>
                  </a:graphicData>
                </a:graphic>
              </wp:anchor>
            </w:drawing>
          </mc:Choice>
          <mc:Fallback>
            <w:pict>
              <v:shape id="文本框 2" o:spid="_x0000_s1032" type="#_x0000_t202" style="position:absolute;left:0;text-align:left;margin-left:0;margin-top:78pt;width:481.9pt;height:63.4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" stroked="f">
                <v:textbox inset="0,0,0,0">
                  <w:txbxContent>
                    <w:p w:rsidR="00C15A2F" w:rsidRDefault="00F420E5">
                      <w:pPr>
                        <w:pStyle w:val="af2"/>
                        <w:rPr>
                          <w:rFonts w:ascii="黑体" w:eastAsia="黑体" w:hAnsi="黑体"/>
                          <w:b w:val="0"/>
                          <w:bCs w:val="0"/>
                          <w:spacing w:val="0"/>
                          <w:w w:val="100"/>
                          <w:szCs w:val="52"/>
                        </w:rPr>
                      </w:pPr>
                      <w:r>
                        <w:rPr>
                          <w:rFonts w:ascii="黑体" w:eastAsia="黑体" w:hAnsi="黑体" w:hint="eastAsia"/>
                          <w:b w:val="0"/>
                          <w:bCs w:val="0"/>
                          <w:spacing w:val="0"/>
                          <w:w w:val="100"/>
                          <w:szCs w:val="52"/>
                        </w:rPr>
                        <w:t>江苏省地方标准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-15875</wp:posOffset>
                </wp:positionH>
                <wp:positionV relativeFrom="margin">
                  <wp:posOffset>438785</wp:posOffset>
                </wp:positionV>
                <wp:extent cx="2540000" cy="558800"/>
                <wp:effectExtent l="0" t="0" r="12700" b="1270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558800"/>
                        </a:xfrm>
                        <a:prstGeom prst="rect">
                          <a:avLst/>
                        </a:prstGeom>
                        <a:solidFill>
                          <a:srgbClr val="FFFFFF"/>
                        </a:solidFill>
                        <a:ln>
                          <a:noFill/>
                        </a:ln>
                        <a:effectLst/>
                      </wps:spPr>
                      <wps:txbx>
                        <w:txbxContent>
                          <w:p w:rsidR="00C15A2F" w:rsidRDefault="00F420E5">
                            <w:pPr>
                              <w:pStyle w:val="af3"/>
                              <w:rPr>
                                <w:rFonts w:ascii="黑体"/>
                              </w:rPr>
                            </w:pPr>
                            <w:r>
                              <w:rPr>
                                <w:rFonts w:ascii="黑体" w:hint="eastAsia"/>
                              </w:rPr>
                              <w:t>ICS</w:t>
                            </w:r>
                            <w:r>
                              <w:rPr>
                                <w:rFonts w:ascii="黑体"/>
                              </w:rPr>
                              <w:t>r</w:t>
                            </w:r>
                            <w:r>
                              <w:rPr>
                                <w:rFonts w:ascii="黑体" w:hint="eastAsia"/>
                              </w:rPr>
                              <w:t>B</w:t>
                            </w:r>
                            <w:r>
                              <w:rPr>
                                <w:rFonts w:ascii="黑体"/>
                              </w:rPr>
                              <w:t xml:space="preserve"> 52</w:t>
                            </w:r>
                          </w:p>
                          <w:p w:rsidR="00C15A2F" w:rsidRDefault="00F420E5">
                            <w:pPr>
                              <w:pStyle w:val="af3"/>
                              <w:rPr>
                                <w:rFonts w:ascii="黑体"/>
                              </w:rPr>
                            </w:pPr>
                            <w:r>
                              <w:rPr>
                                <w:rFonts w:ascii="黑体" w:hint="eastAsia"/>
                              </w:rPr>
                              <w:t>ICS</w:t>
                            </w:r>
                            <w:r>
                              <w:rPr>
                                <w:rFonts w:ascii="黑体"/>
                              </w:rPr>
                              <w:t xml:space="preserve"> 65.150</w:t>
                            </w:r>
                          </w:p>
                          <w:p w:rsidR="00C15A2F" w:rsidRDefault="00C15A2F"/>
                        </w:txbxContent>
                      </wps:txbx>
                      <wps:bodyPr rot="0" vert="horz" wrap="square" lIns="0" tIns="0" rIns="0" bIns="0" anchor="t" anchorCtr="0" upright="1">
                        <a:noAutofit/>
                      </wps:bodyPr>
                    </wps:wsp>
                  </a:graphicData>
                </a:graphic>
              </wp:anchor>
            </w:drawing>
          </mc:Choice>
          <mc:Fallback>
            <w:pict>
              <v:shape id="文本框 11" o:spid="_x0000_s1033" type="#_x0000_t202" style="position:absolute;left:0;text-align:left;margin-left:-1.25pt;margin-top:34.55pt;width:200pt;height:44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" stroked="f">
                <v:textbox inset="0,0,0,0">
                  <w:txbxContent>
                    <w:p w:rsidR="00C15A2F" w:rsidRDefault="00F420E5">
                      <w:pPr>
                        <w:pStyle w:val="af3"/>
                        <w:rPr>
                          <w:rFonts w:ascii="黑体"/>
                        </w:rPr>
                      </w:pPr>
                      <w:r>
                        <w:rPr>
                          <w:rFonts w:ascii="黑体" w:hint="eastAsia"/>
                        </w:rPr>
                        <w:t>ICS</w:t>
                      </w:r>
                      <w:r>
                        <w:rPr>
                          <w:rFonts w:ascii="黑体"/>
                        </w:rPr>
                        <w:t>r</w:t>
                      </w:r>
                      <w:r>
                        <w:rPr>
                          <w:rFonts w:ascii="黑体" w:hint="eastAsia"/>
                        </w:rPr>
                        <w:t>B</w:t>
                      </w:r>
                      <w:r>
                        <w:rPr>
                          <w:rFonts w:ascii="黑体"/>
                        </w:rPr>
                        <w:t xml:space="preserve"> 52</w:t>
                      </w:r>
                    </w:p>
                    <w:p w:rsidR="00C15A2F" w:rsidRDefault="00F420E5">
                      <w:pPr>
                        <w:pStyle w:val="af3"/>
                        <w:rPr>
                          <w:rFonts w:ascii="黑体"/>
                        </w:rPr>
                      </w:pPr>
                      <w:r>
                        <w:rPr>
                          <w:rFonts w:ascii="黑体" w:hint="eastAsia"/>
                        </w:rPr>
                        <w:t>ICS</w:t>
                      </w:r>
                      <w:r>
                        <w:rPr>
                          <w:rFonts w:ascii="黑体"/>
                        </w:rPr>
                        <w:t xml:space="preserve"> 65.150</w:t>
                      </w:r>
                    </w:p>
                    <w:p w:rsidR="00C15A2F" w:rsidRDefault="00C15A2F"/>
                  </w:txbxContent>
                </v:textbox>
                <w10:wrap anchorx="margin" anchory="margin"/>
                <w10:anchorlock/>
              </v:shape>
            </w:pict>
          </mc:Fallback>
        </mc:AlternateContent>
      </w:r>
    </w:p>
    <w:p w:rsidR="00C15A2F" w:rsidRDefault="00F420E5">
      <w:pPr>
        <w:pStyle w:val="a"/>
        <w:numPr>
          <w:ilvl w:val="0"/>
          <w:numId w:val="2"/>
        </w:numPr>
        <w:tabs>
          <w:tab w:val="center" w:pos="4680"/>
          <w:tab w:val="left" w:pos="7250"/>
        </w:tabs>
        <w:ind w:left="0" w:firstLine="0"/>
        <w:jc w:val="left"/>
        <w:rPr>
          <w:rFonts w:ascii="Times New Roman" w:eastAsia="等线 Light"/>
          <w:color w:val="000000"/>
          <w:szCs w:val="32"/>
        </w:rPr>
      </w:pPr>
      <w:bookmarkStart w:id="1" w:name="SectionMark4"/>
      <w:bookmarkEnd w:id="0"/>
      <w:r>
        <w:rPr>
          <w:rFonts w:ascii="Times New Roman" w:eastAsia="等线 Light" w:hint="eastAsia"/>
          <w:color w:val="000000"/>
          <w:szCs w:val="32"/>
        </w:rPr>
        <w:lastRenderedPageBreak/>
        <w:tab/>
      </w:r>
      <w:r>
        <w:rPr>
          <w:rFonts w:ascii="Times New Roman" w:eastAsia="等线 Light"/>
          <w:color w:val="000000"/>
          <w:szCs w:val="32"/>
        </w:rPr>
        <w:t>前</w:t>
      </w:r>
      <w:r>
        <w:rPr>
          <w:rFonts w:ascii="Times New Roman" w:eastAsia="等线 Light"/>
          <w:color w:val="000000"/>
          <w:szCs w:val="32"/>
        </w:rPr>
        <w:t xml:space="preserve">    </w:t>
      </w:r>
      <w:r>
        <w:rPr>
          <w:rFonts w:ascii="Times New Roman" w:eastAsia="等线 Light"/>
          <w:color w:val="000000"/>
          <w:szCs w:val="32"/>
        </w:rPr>
        <w:t>言</w:t>
      </w:r>
      <w:r>
        <w:rPr>
          <w:rFonts w:ascii="Times New Roman" w:eastAsia="等线 Light" w:hint="eastAsia"/>
          <w:color w:val="000000"/>
          <w:szCs w:val="32"/>
        </w:rPr>
        <w:tab/>
      </w:r>
    </w:p>
    <w:p w:rsidR="00C15A2F" w:rsidRDefault="00C15A2F">
      <w:pPr>
        <w:pStyle w:val="aa"/>
      </w:pPr>
    </w:p>
    <w:p w:rsidR="00C15A2F" w:rsidRDefault="00F420E5">
      <w:pPr>
        <w:pStyle w:val="af7"/>
        <w:ind w:firstLine="420"/>
        <w:rPr>
          <w:rFonts w:eastAsia="宋体" w:hAnsi="宋体" w:cs="宋体"/>
          <w:kern w:val="2"/>
          <w:szCs w:val="21"/>
        </w:rPr>
      </w:pPr>
      <w:r>
        <w:rPr>
          <w:rFonts w:eastAsia="宋体" w:hAnsi="宋体" w:cs="宋体" w:hint="eastAsia"/>
          <w:kern w:val="2"/>
          <w:szCs w:val="21"/>
        </w:rPr>
        <w:t>本文件按照</w:t>
      </w:r>
      <w:r>
        <w:rPr>
          <w:rFonts w:ascii="Times New Roman" w:eastAsia="宋体" w:hAnsi="Times New Roman" w:hint="eastAsia"/>
          <w:szCs w:val="21"/>
        </w:rPr>
        <w:t>GB/T 1.1-2020</w:t>
      </w:r>
      <w:r>
        <w:rPr>
          <w:rFonts w:eastAsia="宋体" w:hAnsi="宋体" w:cs="宋体" w:hint="eastAsia"/>
          <w:kern w:val="2"/>
          <w:szCs w:val="21"/>
        </w:rPr>
        <w:t>《标准化工作导则</w:t>
      </w:r>
      <w:r>
        <w:rPr>
          <w:rFonts w:eastAsia="宋体" w:hAnsi="宋体" w:cs="宋体" w:hint="eastAsia"/>
          <w:kern w:val="2"/>
          <w:szCs w:val="21"/>
        </w:rPr>
        <w:t xml:space="preserve"> </w:t>
      </w:r>
      <w:r>
        <w:rPr>
          <w:rFonts w:eastAsia="宋体" w:hAnsi="宋体" w:cs="宋体" w:hint="eastAsia"/>
          <w:kern w:val="2"/>
          <w:szCs w:val="21"/>
        </w:rPr>
        <w:t>第</w:t>
      </w:r>
      <w:r>
        <w:rPr>
          <w:rFonts w:eastAsia="宋体" w:hAnsi="宋体" w:cs="宋体" w:hint="eastAsia"/>
          <w:kern w:val="2"/>
          <w:szCs w:val="21"/>
        </w:rPr>
        <w:t>1</w:t>
      </w:r>
      <w:r>
        <w:rPr>
          <w:rFonts w:eastAsia="宋体" w:hAnsi="宋体" w:cs="宋体" w:hint="eastAsia"/>
          <w:kern w:val="2"/>
          <w:szCs w:val="21"/>
        </w:rPr>
        <w:t>部分：标准化文件的结构和起草规则》的规定进行编制。</w:t>
      </w:r>
    </w:p>
    <w:p w:rsidR="00C15A2F" w:rsidRDefault="00F420E5">
      <w:pPr>
        <w:pStyle w:val="af7"/>
        <w:ind w:firstLine="420"/>
        <w:rPr>
          <w:rFonts w:eastAsia="宋体" w:hAnsi="宋体" w:cs="宋体"/>
          <w:kern w:val="2"/>
          <w:szCs w:val="21"/>
        </w:rPr>
      </w:pPr>
      <w:r>
        <w:rPr>
          <w:rFonts w:eastAsia="宋体" w:hAnsi="宋体" w:cs="宋体" w:hint="eastAsia"/>
          <w:kern w:val="2"/>
          <w:szCs w:val="21"/>
        </w:rPr>
        <w:t>本文件提出单位：江苏省农业农村厅。</w:t>
      </w:r>
    </w:p>
    <w:p w:rsidR="00C15A2F" w:rsidRDefault="00F420E5">
      <w:pPr>
        <w:pStyle w:val="af7"/>
        <w:ind w:firstLine="420"/>
        <w:rPr>
          <w:rFonts w:eastAsia="宋体" w:hAnsi="宋体" w:cs="宋体"/>
          <w:kern w:val="2"/>
          <w:szCs w:val="21"/>
        </w:rPr>
      </w:pPr>
      <w:r>
        <w:rPr>
          <w:rFonts w:eastAsia="宋体" w:hAnsi="宋体" w:cs="宋体" w:hint="eastAsia"/>
          <w:kern w:val="2"/>
          <w:szCs w:val="21"/>
        </w:rPr>
        <w:t>本文件由江苏省渔业标准化技术委员会归口。</w:t>
      </w:r>
    </w:p>
    <w:p w:rsidR="00C15A2F" w:rsidRDefault="00F420E5">
      <w:pPr>
        <w:pStyle w:val="af7"/>
        <w:ind w:firstLine="420"/>
        <w:rPr>
          <w:rFonts w:eastAsia="宋体" w:hAnsi="宋体" w:cs="宋体"/>
          <w:kern w:val="2"/>
          <w:szCs w:val="21"/>
        </w:rPr>
      </w:pPr>
      <w:r>
        <w:rPr>
          <w:rFonts w:eastAsia="宋体" w:hAnsi="宋体" w:cs="宋体" w:hint="eastAsia"/>
          <w:kern w:val="2"/>
          <w:szCs w:val="21"/>
        </w:rPr>
        <w:t>本文件起草单位：江苏省洪泽湖渔业管理委员会办公室。</w:t>
      </w:r>
    </w:p>
    <w:p w:rsidR="00C15A2F" w:rsidRDefault="00F420E5">
      <w:pPr>
        <w:pStyle w:val="af7"/>
        <w:ind w:firstLine="420"/>
        <w:rPr>
          <w:rFonts w:eastAsia="宋体" w:hAnsi="宋体" w:cs="宋体"/>
          <w:kern w:val="2"/>
          <w:szCs w:val="21"/>
        </w:rPr>
      </w:pPr>
      <w:r>
        <w:rPr>
          <w:rFonts w:eastAsia="宋体" w:hAnsi="宋体" w:cs="宋体" w:hint="eastAsia"/>
          <w:kern w:val="2"/>
          <w:szCs w:val="21"/>
        </w:rPr>
        <w:t>本文件主要起草人：张胜宇、李亚成、黄越峰、穆欢、常国亮、张磊。</w:t>
      </w:r>
    </w:p>
    <w:p w:rsidR="00C15A2F" w:rsidRDefault="00C15A2F">
      <w:pPr>
        <w:pStyle w:val="af7"/>
        <w:ind w:firstLine="420"/>
        <w:rPr>
          <w:rFonts w:cs="宋体"/>
          <w:szCs w:val="32"/>
        </w:rPr>
        <w:sectPr w:rsidR="00C15A2F">
          <w:headerReference w:type="even" r:id="rId12"/>
          <w:headerReference w:type="default" r:id="rId13"/>
          <w:footerReference w:type="even" r:id="rId14"/>
          <w:footerReference w:type="default" r:id="rId15"/>
          <w:pgSz w:w="11907" w:h="16839"/>
          <w:pgMar w:top="1417" w:right="1134" w:bottom="1134" w:left="1417" w:header="1701" w:footer="1021" w:gutter="0"/>
          <w:pgNumType w:fmt="upperRoman" w:start="1"/>
          <w:cols w:space="720"/>
          <w:docGrid w:type="linesAndChars" w:linePitch="312"/>
        </w:sectPr>
      </w:pPr>
    </w:p>
    <w:p w:rsidR="00C15A2F" w:rsidRDefault="00F420E5">
      <w:pPr>
        <w:jc w:val="center"/>
        <w:rPr>
          <w:rFonts w:ascii="黑体" w:eastAsia="黑体" w:hAnsi="黑体"/>
          <w:sz w:val="32"/>
          <w:szCs w:val="32"/>
        </w:rPr>
      </w:pPr>
      <w:bookmarkStart w:id="2" w:name="_Hlk73374364"/>
      <w:bookmarkEnd w:id="1"/>
      <w:r>
        <w:rPr>
          <w:rFonts w:ascii="黑体" w:eastAsia="黑体" w:hAnsi="黑体"/>
          <w:sz w:val="32"/>
          <w:szCs w:val="32"/>
        </w:rPr>
        <w:lastRenderedPageBreak/>
        <w:t xml:space="preserve"> </w:t>
      </w:r>
      <w:r>
        <w:rPr>
          <w:rFonts w:ascii="黑体" w:eastAsia="黑体" w:hAnsi="黑体" w:hint="eastAsia"/>
          <w:sz w:val="32"/>
          <w:szCs w:val="32"/>
        </w:rPr>
        <w:t>水产种质资源保护区建设与管理规范</w:t>
      </w:r>
    </w:p>
    <w:p w:rsidR="00C15A2F" w:rsidRDefault="00F420E5">
      <w:pPr>
        <w:spacing w:beforeLines="100" w:before="240" w:afterLines="100" w:after="240"/>
        <w:rPr>
          <w:rFonts w:ascii="黑体" w:eastAsia="黑体" w:hAnsi="黑体"/>
          <w:sz w:val="21"/>
          <w:szCs w:val="21"/>
        </w:rPr>
      </w:pPr>
      <w:r>
        <w:rPr>
          <w:rFonts w:ascii="黑体" w:eastAsia="黑体" w:hAnsi="黑体"/>
          <w:sz w:val="21"/>
          <w:szCs w:val="21"/>
        </w:rPr>
        <w:t xml:space="preserve">1 </w:t>
      </w:r>
      <w:r>
        <w:rPr>
          <w:rFonts w:ascii="Times New Roman" w:eastAsia="黑体" w:hAnsi="Times New Roman"/>
          <w:sz w:val="21"/>
          <w:szCs w:val="21"/>
        </w:rPr>
        <w:t xml:space="preserve"> </w:t>
      </w:r>
      <w:r>
        <w:rPr>
          <w:rFonts w:ascii="Times New Roman" w:eastAsia="黑体" w:hAnsi="Times New Roman"/>
          <w:sz w:val="21"/>
          <w:szCs w:val="21"/>
        </w:rPr>
        <w:t>范围</w:t>
      </w:r>
    </w:p>
    <w:p w:rsidR="00C15A2F" w:rsidRDefault="00F420E5">
      <w:pPr>
        <w:spacing w:after="0"/>
        <w:ind w:firstLineChars="200" w:firstLine="420"/>
        <w:rPr>
          <w:rFonts w:ascii="宋体" w:eastAsia="宋体" w:hAnsi="宋体" w:cs="宋体"/>
          <w:sz w:val="21"/>
          <w:szCs w:val="21"/>
        </w:rPr>
      </w:pPr>
      <w:r>
        <w:rPr>
          <w:rFonts w:ascii="宋体" w:eastAsia="宋体" w:hAnsi="宋体" w:cs="宋体" w:hint="eastAsia"/>
          <w:sz w:val="21"/>
          <w:szCs w:val="21"/>
        </w:rPr>
        <w:t>本文件规定了水产种质资源保护区建设与管理的要求。</w:t>
      </w:r>
    </w:p>
    <w:p w:rsidR="00C15A2F" w:rsidRDefault="00F420E5">
      <w:pPr>
        <w:spacing w:after="0"/>
        <w:ind w:firstLineChars="200" w:firstLine="420"/>
        <w:rPr>
          <w:rFonts w:ascii="宋体" w:eastAsia="宋体" w:hAnsi="宋体" w:cs="宋体"/>
          <w:sz w:val="21"/>
          <w:szCs w:val="21"/>
        </w:rPr>
      </w:pPr>
      <w:r>
        <w:rPr>
          <w:rFonts w:ascii="宋体" w:eastAsia="宋体" w:hAnsi="宋体" w:cs="宋体" w:hint="eastAsia"/>
          <w:sz w:val="21"/>
          <w:szCs w:val="21"/>
        </w:rPr>
        <w:t>本文件适用于水产种质资源保护区的建设与管理。</w:t>
      </w:r>
    </w:p>
    <w:p w:rsidR="00C15A2F" w:rsidRDefault="00F420E5">
      <w:pPr>
        <w:spacing w:beforeLines="100" w:before="240" w:afterLines="100" w:after="240"/>
        <w:rPr>
          <w:rFonts w:ascii="黑体" w:eastAsia="黑体" w:hAnsi="黑体"/>
        </w:rPr>
      </w:pPr>
      <w:r>
        <w:rPr>
          <w:rFonts w:ascii="黑体" w:eastAsia="黑体" w:hAnsi="黑体"/>
          <w:sz w:val="21"/>
          <w:szCs w:val="21"/>
        </w:rPr>
        <w:t xml:space="preserve">2  </w:t>
      </w:r>
      <w:r>
        <w:rPr>
          <w:rFonts w:ascii="Times New Roman" w:eastAsia="黑体" w:hAnsi="Times New Roman"/>
          <w:sz w:val="21"/>
          <w:szCs w:val="21"/>
        </w:rPr>
        <w:t>规范性引用文件</w:t>
      </w:r>
    </w:p>
    <w:p w:rsidR="00C15A2F" w:rsidRDefault="00F420E5">
      <w:pPr>
        <w:spacing w:after="0"/>
        <w:ind w:firstLineChars="200" w:firstLine="420"/>
        <w:rPr>
          <w:rFonts w:ascii="宋体" w:eastAsia="宋体" w:hAnsi="宋体" w:cs="宋体"/>
          <w:sz w:val="21"/>
          <w:szCs w:val="21"/>
        </w:rPr>
      </w:pPr>
      <w:r>
        <w:rPr>
          <w:rFonts w:ascii="宋体" w:eastAsia="宋体" w:hAnsi="宋体" w:cs="宋体"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15A2F" w:rsidRDefault="00F420E5">
      <w:pPr>
        <w:spacing w:after="0"/>
        <w:ind w:firstLineChars="200" w:firstLine="420"/>
        <w:rPr>
          <w:rFonts w:ascii="宋体" w:hAnsi="宋体"/>
        </w:rPr>
      </w:pPr>
      <w:r>
        <w:rPr>
          <w:rFonts w:ascii="Times New Roman" w:eastAsia="宋体" w:hAnsi="Times New Roman"/>
          <w:sz w:val="21"/>
          <w:szCs w:val="21"/>
        </w:rPr>
        <w:t>GB 5749</w:t>
      </w:r>
      <w:r>
        <w:rPr>
          <w:rFonts w:ascii="黑体" w:eastAsia="黑体" w:hAnsi="黑体" w:hint="eastAsia"/>
          <w:sz w:val="21"/>
          <w:szCs w:val="21"/>
        </w:rPr>
        <w:t xml:space="preserve"> </w:t>
      </w:r>
      <w:r>
        <w:rPr>
          <w:rFonts w:ascii="宋体" w:eastAsia="宋体" w:hAnsi="宋体" w:cs="宋体" w:hint="eastAsia"/>
          <w:sz w:val="21"/>
          <w:szCs w:val="21"/>
        </w:rPr>
        <w:t>生活饮用水卫生标准</w:t>
      </w:r>
    </w:p>
    <w:p w:rsidR="00C15A2F" w:rsidRDefault="00F420E5">
      <w:pPr>
        <w:spacing w:after="0"/>
        <w:ind w:firstLineChars="200" w:firstLine="420"/>
        <w:rPr>
          <w:rFonts w:ascii="宋体" w:hAnsi="宋体"/>
        </w:rPr>
      </w:pPr>
      <w:r>
        <w:rPr>
          <w:rFonts w:ascii="Times New Roman" w:eastAsia="宋体" w:hAnsi="Times New Roman" w:hint="eastAsia"/>
          <w:sz w:val="21"/>
          <w:szCs w:val="21"/>
        </w:rPr>
        <w:t>LY/T 1953-2011</w:t>
      </w:r>
      <w:r>
        <w:rPr>
          <w:rFonts w:ascii="Times New Roman" w:eastAsia="宋体" w:hAnsi="Times New Roman"/>
          <w:sz w:val="21"/>
          <w:szCs w:val="21"/>
        </w:rPr>
        <w:t xml:space="preserve"> </w:t>
      </w:r>
      <w:r>
        <w:rPr>
          <w:rFonts w:ascii="宋体" w:eastAsia="宋体" w:hAnsi="宋体" w:cs="宋体" w:hint="eastAsia"/>
          <w:sz w:val="21"/>
          <w:szCs w:val="21"/>
        </w:rPr>
        <w:t>自然保护区设施标识规范</w:t>
      </w:r>
    </w:p>
    <w:p w:rsidR="00C15A2F" w:rsidRDefault="00F420E5">
      <w:pPr>
        <w:spacing w:after="0"/>
        <w:ind w:firstLineChars="200" w:firstLine="420"/>
        <w:rPr>
          <w:rFonts w:ascii="宋体" w:eastAsia="宋体" w:hAnsi="宋体" w:cs="宋体"/>
          <w:sz w:val="21"/>
          <w:szCs w:val="21"/>
        </w:rPr>
      </w:pPr>
      <w:r>
        <w:rPr>
          <w:rFonts w:ascii="Times New Roman" w:eastAsia="宋体" w:hAnsi="Times New Roman" w:hint="eastAsia"/>
          <w:sz w:val="21"/>
          <w:szCs w:val="21"/>
        </w:rPr>
        <w:t xml:space="preserve">LY/T 5126 </w:t>
      </w:r>
      <w:r>
        <w:rPr>
          <w:rFonts w:ascii="宋体" w:eastAsia="宋体" w:hAnsi="宋体" w:cs="宋体" w:hint="eastAsia"/>
          <w:sz w:val="21"/>
          <w:szCs w:val="21"/>
        </w:rPr>
        <w:t>自然保护区工程设计技术规范</w:t>
      </w:r>
    </w:p>
    <w:p w:rsidR="00C15A2F" w:rsidRDefault="00F420E5">
      <w:pPr>
        <w:spacing w:after="0"/>
        <w:ind w:firstLineChars="200" w:firstLine="420"/>
        <w:rPr>
          <w:rFonts w:ascii="宋体" w:eastAsia="宋体" w:hAnsi="宋体" w:cs="宋体"/>
          <w:sz w:val="21"/>
          <w:szCs w:val="21"/>
        </w:rPr>
      </w:pPr>
      <w:r>
        <w:rPr>
          <w:rFonts w:ascii="Times New Roman" w:eastAsia="宋体" w:hAnsi="Times New Roman" w:hint="eastAsia"/>
          <w:sz w:val="21"/>
          <w:szCs w:val="21"/>
        </w:rPr>
        <w:t xml:space="preserve">SC/T 9428-2016 </w:t>
      </w:r>
      <w:r>
        <w:rPr>
          <w:rFonts w:ascii="宋体" w:eastAsia="宋体" w:hAnsi="宋体" w:cs="宋体" w:hint="eastAsia"/>
          <w:sz w:val="21"/>
          <w:szCs w:val="21"/>
        </w:rPr>
        <w:t>水产种质资源保护区划定与评审规范</w:t>
      </w:r>
    </w:p>
    <w:p w:rsidR="00C15A2F" w:rsidRDefault="00F420E5">
      <w:pPr>
        <w:spacing w:beforeLines="100" w:before="240" w:afterLines="100" w:after="240"/>
        <w:rPr>
          <w:rFonts w:ascii="黑体" w:eastAsia="黑体" w:hAnsi="黑体"/>
          <w:sz w:val="21"/>
          <w:szCs w:val="21"/>
        </w:rPr>
      </w:pPr>
      <w:r>
        <w:rPr>
          <w:rFonts w:ascii="黑体" w:eastAsia="黑体" w:hAnsi="黑体"/>
          <w:sz w:val="21"/>
          <w:szCs w:val="21"/>
        </w:rPr>
        <w:t xml:space="preserve">3  </w:t>
      </w:r>
      <w:r>
        <w:rPr>
          <w:rFonts w:ascii="黑体" w:eastAsia="黑体" w:hAnsi="黑体"/>
          <w:sz w:val="21"/>
          <w:szCs w:val="21"/>
        </w:rPr>
        <w:t>术语和定义</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下列术语和定义适用于本文件。</w:t>
      </w:r>
    </w:p>
    <w:p w:rsidR="00C15A2F" w:rsidRDefault="00F420E5">
      <w:pPr>
        <w:spacing w:beforeLines="100" w:before="240" w:afterLines="100" w:after="240"/>
        <w:rPr>
          <w:rFonts w:ascii="黑体" w:eastAsia="黑体" w:hAnsi="黑体"/>
          <w:sz w:val="21"/>
          <w:szCs w:val="21"/>
        </w:rPr>
      </w:pPr>
      <w:r>
        <w:rPr>
          <w:rFonts w:ascii="黑体" w:eastAsia="黑体" w:hAnsi="黑体"/>
          <w:sz w:val="21"/>
          <w:szCs w:val="21"/>
        </w:rPr>
        <w:t xml:space="preserve">3.1  </w:t>
      </w:r>
    </w:p>
    <w:p w:rsidR="00C15A2F" w:rsidRDefault="00F420E5">
      <w:pPr>
        <w:spacing w:beforeLines="100" w:before="240" w:afterLines="100" w:after="240"/>
        <w:ind w:firstLineChars="200" w:firstLine="420"/>
        <w:rPr>
          <w:rFonts w:ascii="黑体" w:eastAsia="黑体" w:hAnsi="黑体"/>
        </w:rPr>
      </w:pPr>
      <w:r>
        <w:rPr>
          <w:rFonts w:ascii="黑体" w:eastAsia="黑体" w:hAnsi="黑体" w:hint="eastAsia"/>
          <w:sz w:val="21"/>
          <w:szCs w:val="21"/>
        </w:rPr>
        <w:t>水产种质资源</w:t>
      </w:r>
      <w:r>
        <w:rPr>
          <w:rFonts w:ascii="Times New Roman" w:eastAsia="宋体" w:hAnsi="Times New Roman"/>
          <w:sz w:val="21"/>
          <w:szCs w:val="21"/>
        </w:rPr>
        <w:t xml:space="preserve">aquatic germplasm resources  </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具有较高经济价值、遗传育种价值，可为捕捞、养殖等渔业生产以及其他人类活动所开发利用和科学研究的水生生物资源。</w:t>
      </w:r>
    </w:p>
    <w:p w:rsidR="00C15A2F" w:rsidRDefault="00F420E5">
      <w:pPr>
        <w:rPr>
          <w:rFonts w:ascii="黑体" w:eastAsia="黑体" w:hAnsi="黑体"/>
          <w:sz w:val="21"/>
          <w:szCs w:val="21"/>
        </w:rPr>
      </w:pPr>
      <w:r>
        <w:rPr>
          <w:rFonts w:ascii="黑体" w:eastAsia="黑体" w:hAnsi="黑体"/>
          <w:sz w:val="21"/>
          <w:szCs w:val="21"/>
        </w:rPr>
        <w:t xml:space="preserve">3.2  </w:t>
      </w:r>
    </w:p>
    <w:p w:rsidR="00C15A2F" w:rsidRDefault="00F420E5">
      <w:pPr>
        <w:ind w:firstLineChars="200" w:firstLine="420"/>
        <w:rPr>
          <w:rFonts w:ascii="宋体" w:eastAsia="宋体" w:hAnsi="宋体" w:cs="宋体"/>
          <w:sz w:val="21"/>
          <w:szCs w:val="21"/>
        </w:rPr>
      </w:pPr>
      <w:r>
        <w:rPr>
          <w:rFonts w:ascii="黑体" w:eastAsia="黑体" w:hAnsi="黑体" w:hint="eastAsia"/>
          <w:sz w:val="21"/>
          <w:szCs w:val="21"/>
        </w:rPr>
        <w:t>水产种质资源保护区</w:t>
      </w:r>
      <w:r>
        <w:rPr>
          <w:rFonts w:ascii="黑体" w:eastAsia="黑体" w:hAnsi="黑体" w:hint="eastAsia"/>
          <w:sz w:val="21"/>
          <w:szCs w:val="21"/>
        </w:rPr>
        <w:t xml:space="preserve"> </w:t>
      </w:r>
      <w:r>
        <w:rPr>
          <w:rFonts w:ascii="Times New Roman" w:eastAsia="宋体" w:hAnsi="Times New Roman" w:hint="eastAsia"/>
          <w:sz w:val="21"/>
          <w:szCs w:val="21"/>
        </w:rPr>
        <w:t xml:space="preserve"> </w:t>
      </w:r>
      <w:r>
        <w:rPr>
          <w:rFonts w:ascii="Times New Roman" w:eastAsia="宋体" w:hAnsi="Times New Roman"/>
          <w:sz w:val="21"/>
          <w:szCs w:val="21"/>
        </w:rPr>
        <w:t xml:space="preserve">Aquatic Germplasm Resources Conservation Reserve </w:t>
      </w:r>
      <w:r>
        <w:rPr>
          <w:rFonts w:ascii="宋体" w:eastAsia="宋体" w:hAnsi="宋体" w:cs="宋体" w:hint="eastAsia"/>
          <w:sz w:val="21"/>
          <w:szCs w:val="21"/>
        </w:rPr>
        <w:t>（以下简称“保护区”）</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为保护水产种质资源及其生存环境，依法划定并予以特殊保护和管理的水域、滩涂及其毗邻的岛礁、陆域。</w:t>
      </w:r>
    </w:p>
    <w:p w:rsidR="00C15A2F" w:rsidRDefault="00F420E5">
      <w:pPr>
        <w:spacing w:beforeLines="100" w:before="240" w:afterLines="100" w:after="240"/>
        <w:rPr>
          <w:rFonts w:ascii="黑体" w:eastAsia="黑体" w:hAnsi="黑体"/>
          <w:sz w:val="21"/>
          <w:szCs w:val="21"/>
        </w:rPr>
      </w:pPr>
      <w:r>
        <w:rPr>
          <w:rFonts w:ascii="黑体" w:eastAsia="黑体" w:hAnsi="黑体"/>
          <w:sz w:val="21"/>
          <w:szCs w:val="21"/>
        </w:rPr>
        <w:t xml:space="preserve">4   </w:t>
      </w:r>
      <w:r>
        <w:rPr>
          <w:rFonts w:ascii="黑体" w:eastAsia="黑体" w:hAnsi="黑体" w:hint="eastAsia"/>
          <w:sz w:val="21"/>
          <w:szCs w:val="21"/>
        </w:rPr>
        <w:t>保护区建设</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4.1  </w:t>
      </w:r>
      <w:r>
        <w:rPr>
          <w:rFonts w:ascii="黑体" w:eastAsia="黑体" w:hAnsi="黑体" w:hint="eastAsia"/>
          <w:sz w:val="21"/>
          <w:szCs w:val="21"/>
        </w:rPr>
        <w:t>机构设置</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保护区应设置专门的管理机构，并根据水域管理范围或行</w:t>
      </w:r>
      <w:r>
        <w:rPr>
          <w:rFonts w:ascii="宋体" w:eastAsia="宋体" w:hAnsi="宋体" w:cs="宋体" w:hint="eastAsia"/>
          <w:sz w:val="21"/>
          <w:szCs w:val="21"/>
        </w:rPr>
        <w:t>政区划范围设</w:t>
      </w:r>
      <w:r>
        <w:rPr>
          <w:rFonts w:ascii="宋体" w:eastAsia="宋体" w:hAnsi="宋体" w:cs="宋体" w:hint="eastAsia"/>
          <w:sz w:val="21"/>
          <w:szCs w:val="21"/>
        </w:rPr>
        <w:t>1</w:t>
      </w:r>
      <w:r>
        <w:rPr>
          <w:rFonts w:ascii="宋体" w:eastAsia="宋体" w:hAnsi="宋体" w:cs="宋体" w:hint="eastAsia"/>
          <w:sz w:val="21"/>
          <w:szCs w:val="21"/>
        </w:rPr>
        <w:t>个或多个保护区管理站（以下简称“管理站”）。</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4.2  </w:t>
      </w:r>
      <w:r>
        <w:rPr>
          <w:rFonts w:ascii="黑体" w:eastAsia="黑体" w:hAnsi="黑体" w:hint="eastAsia"/>
          <w:sz w:val="21"/>
          <w:szCs w:val="21"/>
        </w:rPr>
        <w:t>站点设置</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4.2.1  </w:t>
      </w:r>
      <w:r>
        <w:rPr>
          <w:rFonts w:ascii="黑体" w:eastAsia="黑体" w:hAnsi="黑体" w:hint="eastAsia"/>
          <w:sz w:val="21"/>
          <w:szCs w:val="21"/>
        </w:rPr>
        <w:t>保护区管理站</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管理站的设置根据保护区管理任务、自然地理条件和人为活动状况确定。管理站的保护管理范围可以涵盖</w:t>
      </w:r>
      <w:r>
        <w:rPr>
          <w:rFonts w:ascii="宋体" w:eastAsia="宋体" w:hAnsi="宋体" w:cs="宋体" w:hint="eastAsia"/>
          <w:sz w:val="21"/>
          <w:szCs w:val="21"/>
        </w:rPr>
        <w:t>1</w:t>
      </w:r>
      <w:r>
        <w:rPr>
          <w:rFonts w:ascii="宋体" w:eastAsia="宋体" w:hAnsi="宋体" w:cs="宋体" w:hint="eastAsia"/>
          <w:sz w:val="21"/>
          <w:szCs w:val="21"/>
        </w:rPr>
        <w:t>个或多个保护区，管理范围原则上应与保护区所属的水域范围或行政区划范围保持一致。</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4.2.2  </w:t>
      </w:r>
      <w:r>
        <w:rPr>
          <w:rFonts w:ascii="黑体" w:eastAsia="黑体" w:hAnsi="黑体" w:hint="eastAsia"/>
          <w:sz w:val="21"/>
          <w:szCs w:val="21"/>
        </w:rPr>
        <w:t>保护管理点</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管理站范围涵盖多个保护区，则可以在每个保护区设置</w:t>
      </w:r>
      <w:r>
        <w:rPr>
          <w:rFonts w:ascii="宋体" w:eastAsia="宋体" w:hAnsi="宋体" w:cs="宋体" w:hint="eastAsia"/>
          <w:sz w:val="21"/>
          <w:szCs w:val="21"/>
        </w:rPr>
        <w:t>1</w:t>
      </w:r>
      <w:r>
        <w:rPr>
          <w:rFonts w:ascii="宋体" w:eastAsia="宋体" w:hAnsi="宋体" w:cs="宋体" w:hint="eastAsia"/>
          <w:sz w:val="21"/>
          <w:szCs w:val="21"/>
        </w:rPr>
        <w:t>个管理点，如果单个保护区范围较广，管理半径较大，也可以设置多个管理点。</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4.3  </w:t>
      </w:r>
      <w:r>
        <w:rPr>
          <w:rFonts w:ascii="黑体" w:eastAsia="黑体" w:hAnsi="黑体" w:hint="eastAsia"/>
          <w:sz w:val="21"/>
          <w:szCs w:val="21"/>
        </w:rPr>
        <w:t>办公用房</w:t>
      </w:r>
      <w:r>
        <w:rPr>
          <w:rFonts w:ascii="黑体" w:eastAsia="黑体" w:hAnsi="黑体"/>
          <w:sz w:val="21"/>
          <w:szCs w:val="21"/>
        </w:rPr>
        <w:t xml:space="preserve"> </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lastRenderedPageBreak/>
        <w:t xml:space="preserve">4.3.1  </w:t>
      </w:r>
      <w:r>
        <w:rPr>
          <w:rFonts w:ascii="黑体" w:eastAsia="黑体" w:hAnsi="黑体" w:hint="eastAsia"/>
          <w:sz w:val="21"/>
          <w:szCs w:val="21"/>
        </w:rPr>
        <w:t>管理机构用房</w:t>
      </w:r>
    </w:p>
    <w:p w:rsidR="00C15A2F" w:rsidRDefault="00F420E5">
      <w:pPr>
        <w:ind w:firstLineChars="200" w:firstLine="420"/>
        <w:rPr>
          <w:rFonts w:ascii="宋体" w:eastAsia="宋体"/>
        </w:rPr>
      </w:pPr>
      <w:r>
        <w:rPr>
          <w:rFonts w:ascii="宋体" w:eastAsia="宋体" w:hAnsi="宋体" w:cs="宋体" w:hint="eastAsia"/>
          <w:sz w:val="21"/>
          <w:szCs w:val="21"/>
        </w:rPr>
        <w:t xml:space="preserve"> </w:t>
      </w:r>
      <w:r>
        <w:rPr>
          <w:rFonts w:ascii="宋体" w:eastAsia="宋体" w:hAnsi="宋体" w:cs="宋体" w:hint="eastAsia"/>
          <w:sz w:val="21"/>
          <w:szCs w:val="21"/>
        </w:rPr>
        <w:t>保护区管理机构办公用房宜设在临近保护区的中心城镇或水、电、路、网条件具备的区域，应同步建设科研及宣教设施，建筑规模参照</w:t>
      </w:r>
      <w:r>
        <w:rPr>
          <w:rFonts w:ascii="Times New Roman" w:eastAsia="宋体" w:hAnsi="Times New Roman" w:hint="eastAsia"/>
          <w:sz w:val="21"/>
          <w:szCs w:val="21"/>
        </w:rPr>
        <w:t>LY/T 5126</w:t>
      </w:r>
      <w:r>
        <w:rPr>
          <w:rFonts w:ascii="宋体" w:eastAsia="宋体" w:hAnsi="宋体" w:cs="宋体" w:hint="eastAsia"/>
          <w:sz w:val="21"/>
          <w:szCs w:val="21"/>
        </w:rPr>
        <w:t>执行。</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4.3.2  </w:t>
      </w:r>
      <w:r>
        <w:rPr>
          <w:rFonts w:ascii="黑体" w:eastAsia="黑体" w:hAnsi="黑体" w:hint="eastAsia"/>
          <w:sz w:val="21"/>
          <w:szCs w:val="21"/>
        </w:rPr>
        <w:t>管理站（点）用房</w:t>
      </w:r>
    </w:p>
    <w:p w:rsidR="00C15A2F" w:rsidRDefault="00F420E5">
      <w:pPr>
        <w:spacing w:after="0"/>
        <w:ind w:firstLineChars="200" w:firstLine="420"/>
        <w:rPr>
          <w:rFonts w:ascii="宋体" w:eastAsia="宋体" w:hAnsi="宋体" w:cs="宋体"/>
          <w:sz w:val="21"/>
          <w:szCs w:val="21"/>
        </w:rPr>
      </w:pPr>
      <w:r>
        <w:rPr>
          <w:rFonts w:ascii="宋体" w:eastAsia="宋体" w:hAnsi="宋体" w:cs="宋体" w:hint="eastAsia"/>
          <w:sz w:val="21"/>
          <w:szCs w:val="21"/>
        </w:rPr>
        <w:t>管理站（点）用房应符合下列要求。</w:t>
      </w:r>
    </w:p>
    <w:p w:rsidR="00C15A2F" w:rsidRDefault="00F420E5">
      <w:pPr>
        <w:spacing w:after="0"/>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）管理站（点）宜设在临近保护区且水、电、路、网完备的区域</w:t>
      </w:r>
      <w:r w:rsidR="0040526E">
        <w:rPr>
          <w:rFonts w:ascii="宋体" w:eastAsia="宋体" w:hAnsi="宋体" w:cs="宋体" w:hint="eastAsia"/>
          <w:sz w:val="21"/>
          <w:szCs w:val="21"/>
        </w:rPr>
        <w:t>。</w:t>
      </w:r>
    </w:p>
    <w:p w:rsidR="00C15A2F" w:rsidRDefault="00F420E5">
      <w:pPr>
        <w:spacing w:after="0"/>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sz w:val="21"/>
          <w:szCs w:val="21"/>
        </w:rPr>
        <w:t>）</w:t>
      </w:r>
      <w:r>
        <w:rPr>
          <w:rFonts w:ascii="宋体" w:eastAsia="宋体" w:hAnsi="宋体" w:cs="宋体" w:hint="eastAsia"/>
          <w:sz w:val="21"/>
          <w:szCs w:val="21"/>
        </w:rPr>
        <w:t>管理站（点）建设应具备日常办公用房（或办公生活趸船）和必要的生活需求。管理站（点）的辅助建筑包括食堂、车库、仓库、油库和执法船艇码头等。</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  </w:t>
      </w:r>
      <w:r>
        <w:rPr>
          <w:rFonts w:ascii="黑体" w:eastAsia="黑体" w:hAnsi="黑体" w:hint="eastAsia"/>
          <w:sz w:val="21"/>
          <w:szCs w:val="21"/>
        </w:rPr>
        <w:t>基础建设</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4.4.1  </w:t>
      </w:r>
      <w:r>
        <w:rPr>
          <w:rFonts w:ascii="黑体" w:eastAsia="黑体" w:hAnsi="黑体" w:hint="eastAsia"/>
          <w:sz w:val="21"/>
          <w:szCs w:val="21"/>
        </w:rPr>
        <w:t>道路</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包括干道、便道和巡护步道，应满足以下要求。</w:t>
      </w:r>
    </w:p>
    <w:p w:rsidR="00C15A2F" w:rsidRDefault="00F420E5">
      <w:pPr>
        <w:ind w:firstLineChars="200" w:firstLine="420"/>
        <w:rPr>
          <w:rFonts w:ascii="宋体" w:eastAsia="宋体" w:hAnsi="宋体" w:cs="宋体"/>
          <w:sz w:val="21"/>
          <w:szCs w:val="21"/>
        </w:rPr>
      </w:pPr>
      <w:r>
        <w:rPr>
          <w:rFonts w:ascii="宋体" w:eastAsia="宋体" w:hAnsi="宋体" w:cs="宋体"/>
          <w:sz w:val="21"/>
          <w:szCs w:val="21"/>
        </w:rPr>
        <w:t>a</w:t>
      </w:r>
      <w:r>
        <w:rPr>
          <w:rFonts w:ascii="宋体" w:eastAsia="宋体" w:hAnsi="宋体" w:cs="宋体"/>
          <w:sz w:val="21"/>
          <w:szCs w:val="21"/>
        </w:rPr>
        <w:t>）干道用于连结保护区和国家或地方交通干线，路面等级应满足晴雨通车要求。</w:t>
      </w:r>
    </w:p>
    <w:p w:rsidR="00C15A2F" w:rsidRDefault="00F420E5">
      <w:pPr>
        <w:ind w:firstLineChars="200" w:firstLine="420"/>
        <w:rPr>
          <w:rFonts w:ascii="宋体" w:eastAsia="宋体" w:hAnsi="宋体" w:cs="宋体"/>
          <w:sz w:val="21"/>
          <w:szCs w:val="21"/>
        </w:rPr>
      </w:pPr>
      <w:r>
        <w:rPr>
          <w:rFonts w:ascii="宋体" w:eastAsia="宋体" w:hAnsi="宋体" w:cs="宋体"/>
          <w:sz w:val="21"/>
          <w:szCs w:val="21"/>
        </w:rPr>
        <w:t>b</w:t>
      </w:r>
      <w:r>
        <w:rPr>
          <w:rFonts w:ascii="宋体" w:eastAsia="宋体" w:hAnsi="宋体" w:cs="宋体"/>
          <w:sz w:val="21"/>
          <w:szCs w:val="21"/>
        </w:rPr>
        <w:t>）便道用于连接保护区管</w:t>
      </w:r>
      <w:r>
        <w:rPr>
          <w:rFonts w:ascii="宋体" w:eastAsia="宋体" w:hAnsi="宋体" w:cs="宋体" w:hint="eastAsia"/>
          <w:sz w:val="21"/>
          <w:szCs w:val="21"/>
        </w:rPr>
        <w:t>理</w:t>
      </w:r>
      <w:r>
        <w:rPr>
          <w:rFonts w:ascii="宋体" w:eastAsia="宋体" w:hAnsi="宋体" w:cs="宋体"/>
          <w:sz w:val="21"/>
          <w:szCs w:val="21"/>
        </w:rPr>
        <w:t>站（点）、科研中心和居民点等，标准应达到通车或人员便利通行要求。</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sz w:val="21"/>
          <w:szCs w:val="21"/>
        </w:rPr>
        <w:t>）巡护步道依自然地势设置自然道路或人工修筑阶梯式道路。</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4.4.2  </w:t>
      </w:r>
      <w:r>
        <w:rPr>
          <w:rFonts w:ascii="黑体" w:eastAsia="黑体" w:hAnsi="黑体" w:hint="eastAsia"/>
          <w:sz w:val="21"/>
          <w:szCs w:val="21"/>
        </w:rPr>
        <w:t>码头</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保护区应设立船艇停泊码头，满足巡护、执法、科研监测和日常管理等需要。</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4.4.3  </w:t>
      </w:r>
      <w:r>
        <w:rPr>
          <w:rFonts w:ascii="黑体" w:eastAsia="黑体" w:hAnsi="黑体" w:hint="eastAsia"/>
          <w:sz w:val="21"/>
          <w:szCs w:val="21"/>
        </w:rPr>
        <w:t>给排水</w:t>
      </w:r>
      <w:r>
        <w:rPr>
          <w:rFonts w:ascii="黑体" w:eastAsia="黑体" w:hAnsi="黑体"/>
          <w:sz w:val="21"/>
          <w:szCs w:val="21"/>
        </w:rPr>
        <w:t>及垃圾处理</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4.4.3.1  </w:t>
      </w:r>
      <w:r>
        <w:rPr>
          <w:rFonts w:ascii="黑体" w:eastAsia="黑体" w:hAnsi="黑体" w:hint="eastAsia"/>
          <w:sz w:val="21"/>
          <w:szCs w:val="21"/>
        </w:rPr>
        <w:t>给</w:t>
      </w:r>
      <w:r>
        <w:rPr>
          <w:rFonts w:ascii="黑体" w:eastAsia="黑体" w:hAnsi="黑体"/>
          <w:sz w:val="21"/>
          <w:szCs w:val="21"/>
        </w:rPr>
        <w:t>排</w:t>
      </w:r>
      <w:r>
        <w:rPr>
          <w:rFonts w:ascii="黑体" w:eastAsia="黑体" w:hAnsi="黑体" w:hint="eastAsia"/>
          <w:sz w:val="21"/>
          <w:szCs w:val="21"/>
        </w:rPr>
        <w:t>水</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sz w:val="21"/>
          <w:szCs w:val="21"/>
        </w:rPr>
        <w:t>）管理站（点）的生活区域</w:t>
      </w:r>
      <w:r>
        <w:rPr>
          <w:rFonts w:ascii="宋体" w:eastAsia="宋体" w:hAnsi="宋体" w:cs="宋体" w:hint="eastAsia"/>
          <w:sz w:val="21"/>
          <w:szCs w:val="21"/>
        </w:rPr>
        <w:t>可</w:t>
      </w:r>
      <w:r>
        <w:rPr>
          <w:rFonts w:ascii="宋体" w:eastAsia="宋体" w:hAnsi="宋体" w:cs="宋体"/>
          <w:sz w:val="21"/>
          <w:szCs w:val="21"/>
        </w:rPr>
        <w:t>采用打井、铺设自来水管道等方式</w:t>
      </w:r>
      <w:r>
        <w:rPr>
          <w:rFonts w:ascii="宋体" w:eastAsia="宋体" w:hAnsi="宋体" w:cs="宋体" w:hint="eastAsia"/>
          <w:sz w:val="21"/>
          <w:szCs w:val="21"/>
        </w:rPr>
        <w:t>提</w:t>
      </w:r>
      <w:r>
        <w:rPr>
          <w:rFonts w:ascii="宋体" w:eastAsia="宋体" w:hAnsi="宋体" w:cs="宋体"/>
          <w:sz w:val="21"/>
          <w:szCs w:val="21"/>
        </w:rPr>
        <w:t>供</w:t>
      </w:r>
      <w:r>
        <w:rPr>
          <w:rFonts w:ascii="宋体" w:eastAsia="宋体" w:hAnsi="宋体" w:cs="宋体" w:hint="eastAsia"/>
          <w:sz w:val="21"/>
          <w:szCs w:val="21"/>
        </w:rPr>
        <w:t>饮用</w:t>
      </w:r>
      <w:r>
        <w:rPr>
          <w:rFonts w:ascii="宋体" w:eastAsia="宋体" w:hAnsi="宋体" w:cs="宋体"/>
          <w:sz w:val="21"/>
          <w:szCs w:val="21"/>
        </w:rPr>
        <w:t>水，卫生标准</w:t>
      </w:r>
      <w:r>
        <w:rPr>
          <w:rFonts w:ascii="宋体" w:eastAsia="宋体" w:hAnsi="宋体" w:cs="宋体" w:hint="eastAsia"/>
          <w:sz w:val="21"/>
          <w:szCs w:val="21"/>
        </w:rPr>
        <w:t>应</w:t>
      </w:r>
      <w:r>
        <w:rPr>
          <w:rFonts w:ascii="宋体" w:eastAsia="宋体" w:hAnsi="宋体" w:cs="宋体"/>
          <w:sz w:val="21"/>
          <w:szCs w:val="21"/>
        </w:rPr>
        <w:t>符合</w:t>
      </w:r>
      <w:r>
        <w:rPr>
          <w:rFonts w:ascii="宋体" w:eastAsia="宋体" w:hAnsi="宋体" w:cs="宋体"/>
          <w:sz w:val="21"/>
          <w:szCs w:val="21"/>
        </w:rPr>
        <w:t>GB 5749</w:t>
      </w:r>
      <w:r>
        <w:rPr>
          <w:rFonts w:ascii="宋体" w:eastAsia="宋体" w:hAnsi="宋体" w:cs="宋体"/>
          <w:sz w:val="21"/>
          <w:szCs w:val="21"/>
        </w:rPr>
        <w:t>的要求。</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sz w:val="21"/>
          <w:szCs w:val="21"/>
        </w:rPr>
        <w:t>）管理站（点）应建设生活污水处理系统，条件具备应接入市政管网，建筑规模参照</w:t>
      </w:r>
      <w:r>
        <w:rPr>
          <w:rFonts w:ascii="宋体" w:eastAsia="宋体" w:hAnsi="宋体" w:cs="宋体"/>
          <w:sz w:val="21"/>
          <w:szCs w:val="21"/>
        </w:rPr>
        <w:t>LY/T 5126</w:t>
      </w:r>
      <w:r>
        <w:rPr>
          <w:rFonts w:ascii="宋体" w:eastAsia="宋体" w:hAnsi="宋体" w:cs="宋体"/>
          <w:sz w:val="21"/>
          <w:szCs w:val="21"/>
        </w:rPr>
        <w:t>执行。</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4.4.3.2  </w:t>
      </w:r>
      <w:r>
        <w:rPr>
          <w:rFonts w:ascii="黑体" w:eastAsia="黑体" w:hAnsi="黑体"/>
          <w:sz w:val="21"/>
          <w:szCs w:val="21"/>
        </w:rPr>
        <w:t>垃圾处理</w:t>
      </w:r>
    </w:p>
    <w:p w:rsidR="00C15A2F" w:rsidRDefault="00F420E5">
      <w:pPr>
        <w:ind w:firstLineChars="100" w:firstLine="210"/>
        <w:rPr>
          <w:rFonts w:ascii="黑体" w:eastAsia="黑体" w:hAnsi="黑体"/>
        </w:rPr>
      </w:pPr>
      <w:r>
        <w:rPr>
          <w:rFonts w:ascii="宋体" w:eastAsia="宋体" w:hAnsi="宋体" w:cs="宋体" w:hint="eastAsia"/>
          <w:sz w:val="21"/>
          <w:szCs w:val="21"/>
        </w:rPr>
        <w:t>管理站（点）应建设垃圾无害化处理系统，建筑规模参照</w:t>
      </w:r>
      <w:r>
        <w:rPr>
          <w:rFonts w:ascii="Times New Roman" w:eastAsia="宋体" w:hAnsi="Times New Roman" w:hint="eastAsia"/>
          <w:sz w:val="21"/>
          <w:szCs w:val="21"/>
        </w:rPr>
        <w:t>LY/T 5126</w:t>
      </w:r>
      <w:r>
        <w:rPr>
          <w:rFonts w:ascii="宋体" w:eastAsia="宋体" w:hAnsi="宋体" w:cs="宋体" w:hint="eastAsia"/>
          <w:sz w:val="21"/>
          <w:szCs w:val="21"/>
        </w:rPr>
        <w:t>执行。</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4.4.4 </w:t>
      </w:r>
      <w:r>
        <w:rPr>
          <w:rFonts w:ascii="黑体" w:eastAsia="黑体" w:hAnsi="黑体"/>
          <w:sz w:val="21"/>
          <w:szCs w:val="21"/>
        </w:rPr>
        <w:t>电力和网络</w:t>
      </w:r>
    </w:p>
    <w:p w:rsidR="00C15A2F" w:rsidRDefault="00F420E5">
      <w:pPr>
        <w:ind w:firstLineChars="200" w:firstLine="440"/>
        <w:rPr>
          <w:rFonts w:ascii="宋体" w:eastAsia="宋体" w:hAnsi="宋体" w:cs="宋体"/>
          <w:sz w:val="21"/>
          <w:szCs w:val="21"/>
        </w:rPr>
      </w:pPr>
      <w:r>
        <w:rPr>
          <w:rFonts w:ascii="宋体" w:hAnsi="宋体"/>
        </w:rPr>
        <w:t xml:space="preserve"> </w:t>
      </w:r>
      <w:r>
        <w:rPr>
          <w:rFonts w:ascii="宋体" w:eastAsia="宋体" w:hAnsi="宋体" w:cs="宋体" w:hint="eastAsia"/>
          <w:sz w:val="21"/>
          <w:szCs w:val="21"/>
        </w:rPr>
        <w:t>管理站（点）的电力线路和网络应满足工作和生活需要。</w:t>
      </w:r>
    </w:p>
    <w:p w:rsidR="00C15A2F" w:rsidRDefault="00F420E5">
      <w:pPr>
        <w:spacing w:beforeLines="100" w:before="240" w:afterLines="100" w:after="240"/>
        <w:rPr>
          <w:rFonts w:ascii="黑体" w:eastAsia="黑体" w:hAnsi="黑体"/>
          <w:sz w:val="21"/>
          <w:szCs w:val="21"/>
        </w:rPr>
      </w:pPr>
      <w:r>
        <w:rPr>
          <w:rFonts w:ascii="黑体" w:eastAsia="黑体" w:hAnsi="黑体"/>
          <w:sz w:val="21"/>
          <w:szCs w:val="21"/>
        </w:rPr>
        <w:t xml:space="preserve">5  </w:t>
      </w:r>
      <w:r>
        <w:rPr>
          <w:rFonts w:ascii="黑体" w:eastAsia="黑体" w:hAnsi="黑体"/>
          <w:sz w:val="21"/>
          <w:szCs w:val="21"/>
        </w:rPr>
        <w:t>保护区管理</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5.1  </w:t>
      </w:r>
      <w:r>
        <w:rPr>
          <w:rFonts w:ascii="黑体" w:eastAsia="黑体" w:hAnsi="黑体"/>
          <w:sz w:val="21"/>
          <w:szCs w:val="21"/>
        </w:rPr>
        <w:t>人员配备</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sz w:val="21"/>
          <w:szCs w:val="21"/>
        </w:rPr>
        <w:t>）保护区管理人员配备应满足保护和管理需要，可以聘用辅助人员协助开展管护工作。</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sz w:val="21"/>
          <w:szCs w:val="21"/>
        </w:rPr>
        <w:t>）保护区管理人员分为行政管理人员和后勤保障人员。行政管理人员中应包括水</w:t>
      </w:r>
      <w:r>
        <w:rPr>
          <w:rFonts w:ascii="宋体" w:eastAsia="宋体" w:hAnsi="宋体" w:cs="宋体" w:hint="eastAsia"/>
          <w:sz w:val="21"/>
          <w:szCs w:val="21"/>
        </w:rPr>
        <w:t>生</w:t>
      </w:r>
      <w:r>
        <w:rPr>
          <w:rFonts w:ascii="宋体" w:eastAsia="宋体" w:hAnsi="宋体" w:cs="宋体"/>
          <w:sz w:val="21"/>
          <w:szCs w:val="21"/>
        </w:rPr>
        <w:t>生物</w:t>
      </w:r>
      <w:r>
        <w:rPr>
          <w:rFonts w:ascii="宋体" w:eastAsia="宋体" w:hAnsi="宋体" w:cs="宋体" w:hint="eastAsia"/>
          <w:sz w:val="21"/>
          <w:szCs w:val="21"/>
        </w:rPr>
        <w:t>学</w:t>
      </w:r>
      <w:r>
        <w:rPr>
          <w:rFonts w:ascii="宋体" w:eastAsia="宋体" w:hAnsi="宋体" w:cs="宋体"/>
          <w:sz w:val="21"/>
          <w:szCs w:val="21"/>
        </w:rPr>
        <w:t>、生态</w:t>
      </w:r>
      <w:r>
        <w:rPr>
          <w:rFonts w:ascii="宋体" w:eastAsia="宋体" w:hAnsi="宋体" w:cs="宋体" w:hint="eastAsia"/>
          <w:sz w:val="21"/>
          <w:szCs w:val="21"/>
        </w:rPr>
        <w:t>学</w:t>
      </w:r>
      <w:r>
        <w:rPr>
          <w:rFonts w:ascii="宋体" w:eastAsia="宋体" w:hAnsi="宋体" w:cs="宋体"/>
          <w:sz w:val="21"/>
          <w:szCs w:val="21"/>
        </w:rPr>
        <w:t>等相关专业技术人员。</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5</w:t>
      </w:r>
      <w:r>
        <w:rPr>
          <w:rFonts w:ascii="黑体" w:eastAsia="黑体" w:hAnsi="黑体"/>
          <w:sz w:val="21"/>
          <w:szCs w:val="21"/>
        </w:rPr>
        <w:t xml:space="preserve">.2  </w:t>
      </w:r>
      <w:r>
        <w:rPr>
          <w:rFonts w:ascii="黑体" w:eastAsia="黑体" w:hAnsi="黑体"/>
          <w:sz w:val="21"/>
          <w:szCs w:val="21"/>
        </w:rPr>
        <w:t>制度建设</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sz w:val="21"/>
          <w:szCs w:val="21"/>
        </w:rPr>
        <w:t>）保护区应建立资源管护、渔政执法、安全管理、科研监测、暂养救护、宣传教育、共建共管、项目建设、培训学习、资源开发管理等工作制度和岗位责任、人事聘用、财务管理</w:t>
      </w:r>
      <w:r>
        <w:rPr>
          <w:rFonts w:ascii="宋体" w:eastAsia="宋体" w:hAnsi="宋体" w:cs="宋体"/>
          <w:sz w:val="21"/>
          <w:szCs w:val="21"/>
        </w:rPr>
        <w:t xml:space="preserve"> </w:t>
      </w:r>
      <w:r>
        <w:rPr>
          <w:rFonts w:ascii="宋体" w:eastAsia="宋体" w:hAnsi="宋体" w:cs="宋体"/>
          <w:sz w:val="21"/>
          <w:szCs w:val="21"/>
        </w:rPr>
        <w:t>、信息交流等内部规章制度。</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lastRenderedPageBreak/>
        <w:t>b</w:t>
      </w:r>
      <w:r>
        <w:rPr>
          <w:rFonts w:ascii="宋体" w:eastAsia="宋体" w:hAnsi="宋体" w:cs="宋体"/>
          <w:sz w:val="21"/>
          <w:szCs w:val="21"/>
        </w:rPr>
        <w:t>）保护区</w:t>
      </w:r>
      <w:r>
        <w:rPr>
          <w:rFonts w:ascii="宋体" w:eastAsia="宋体" w:hAnsi="宋体" w:cs="宋体" w:hint="eastAsia"/>
          <w:sz w:val="21"/>
          <w:szCs w:val="21"/>
        </w:rPr>
        <w:t>应建立</w:t>
      </w:r>
      <w:r>
        <w:rPr>
          <w:rFonts w:ascii="宋体" w:eastAsia="宋体" w:hAnsi="宋体" w:cs="宋体"/>
          <w:sz w:val="21"/>
          <w:szCs w:val="21"/>
        </w:rPr>
        <w:t>人事、科研、宣教、培训、资源管护、监察执法、资源开发和建设项目等系列档案，档案管理应符合有关要求</w:t>
      </w:r>
      <w:r>
        <w:rPr>
          <w:rFonts w:ascii="宋体" w:eastAsia="宋体" w:hAnsi="宋体" w:cs="宋体" w:hint="eastAsia"/>
          <w:sz w:val="21"/>
          <w:szCs w:val="21"/>
        </w:rPr>
        <w:t>。</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5.3  </w:t>
      </w:r>
      <w:r>
        <w:rPr>
          <w:rFonts w:ascii="黑体" w:eastAsia="黑体" w:hAnsi="黑体"/>
          <w:sz w:val="21"/>
          <w:szCs w:val="21"/>
        </w:rPr>
        <w:t>规划计划</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5.3.1  </w:t>
      </w:r>
      <w:r>
        <w:rPr>
          <w:rFonts w:ascii="黑体" w:eastAsia="黑体" w:hAnsi="黑体"/>
          <w:sz w:val="21"/>
          <w:szCs w:val="21"/>
        </w:rPr>
        <w:t>中长期规划</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保护区管理机构应编制保护区中长期规划，分析保护区存在的主要问题，提出阶段性规划目标和任务。规划经上级主管部门批准后实施。保护区的各项基础设施建设应符合规划要求。</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5.3.2  </w:t>
      </w:r>
      <w:r>
        <w:rPr>
          <w:rFonts w:ascii="黑体" w:eastAsia="黑体" w:hAnsi="黑体"/>
          <w:sz w:val="21"/>
          <w:szCs w:val="21"/>
        </w:rPr>
        <w:t>年度计划</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sz w:val="21"/>
          <w:szCs w:val="21"/>
        </w:rPr>
        <w:t>）保护区管理机构应根据保护区</w:t>
      </w:r>
      <w:r>
        <w:rPr>
          <w:rFonts w:ascii="宋体" w:eastAsia="宋体" w:hAnsi="宋体" w:cs="宋体" w:hint="eastAsia"/>
          <w:sz w:val="21"/>
          <w:szCs w:val="21"/>
        </w:rPr>
        <w:t>中长期</w:t>
      </w:r>
      <w:r>
        <w:rPr>
          <w:rFonts w:ascii="宋体" w:eastAsia="宋体" w:hAnsi="宋体" w:cs="宋体"/>
          <w:sz w:val="21"/>
          <w:szCs w:val="21"/>
        </w:rPr>
        <w:t>规划及目前保护区面临的紧迫问题，制订年度工作计划。</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sz w:val="21"/>
          <w:szCs w:val="21"/>
        </w:rPr>
        <w:t>）保护区管理机构应根据当年度工作计划完成工作总结，评估年度工作计划完成情况，分析存在问题和经验，报告上级主管部门保护区管理机构。</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sz w:val="21"/>
          <w:szCs w:val="21"/>
        </w:rPr>
        <w:t>）保护区管理站（点）应根据保护区管理机构的年度计划安排落实开展工作，接受保护区管理机构的检查、指导与考核，及时向保护区管理机构报告工作情况。</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  </w:t>
      </w:r>
      <w:r>
        <w:rPr>
          <w:rFonts w:ascii="黑体" w:eastAsia="黑体" w:hAnsi="黑体"/>
          <w:sz w:val="21"/>
          <w:szCs w:val="21"/>
        </w:rPr>
        <w:t>管护设施</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5.4.1  </w:t>
      </w:r>
      <w:r>
        <w:rPr>
          <w:rFonts w:ascii="黑体" w:eastAsia="黑体" w:hAnsi="黑体"/>
          <w:sz w:val="21"/>
          <w:szCs w:val="21"/>
        </w:rPr>
        <w:t>界标、界桩</w:t>
      </w:r>
    </w:p>
    <w:p w:rsidR="00C15A2F" w:rsidRDefault="00F420E5">
      <w:pPr>
        <w:ind w:firstLineChars="200" w:firstLine="420"/>
        <w:rPr>
          <w:rFonts w:ascii="宋体" w:eastAsia="宋体"/>
        </w:rPr>
      </w:pPr>
      <w:r>
        <w:rPr>
          <w:rFonts w:ascii="宋体" w:eastAsia="宋体" w:hAnsi="宋体" w:cs="宋体" w:hint="eastAsia"/>
          <w:sz w:val="21"/>
          <w:szCs w:val="21"/>
        </w:rPr>
        <w:t>具备条件的保护区应设置完善的边界范围及核心区、实验区范围的界标、界桩；一般要求在保护区四至转向点和边线间隔设置界标、界桩，界标、界桩应具备防偷盗、抗风浪、防碰撞、防破坏等功能，应具有指示、警告、宣传作用；界标、界桩若损坏应及时修复。界标、界桩设置标识按照</w:t>
      </w:r>
      <w:r>
        <w:rPr>
          <w:rFonts w:ascii="Times New Roman" w:eastAsia="宋体" w:hAnsi="Times New Roman" w:hint="eastAsia"/>
          <w:sz w:val="21"/>
          <w:szCs w:val="21"/>
        </w:rPr>
        <w:t>LY/T 1953</w:t>
      </w:r>
      <w:r>
        <w:rPr>
          <w:rFonts w:ascii="宋体" w:eastAsia="宋体" w:hAnsi="宋体" w:cs="宋体" w:hint="eastAsia"/>
          <w:sz w:val="21"/>
          <w:szCs w:val="21"/>
        </w:rPr>
        <w:t>执行。</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5.4.2  </w:t>
      </w:r>
      <w:r>
        <w:rPr>
          <w:rFonts w:ascii="黑体" w:eastAsia="黑体" w:hAnsi="黑体"/>
          <w:sz w:val="21"/>
          <w:szCs w:val="21"/>
        </w:rPr>
        <w:t>巡护执法设施设备</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5.4.2.</w:t>
      </w:r>
      <w:r>
        <w:rPr>
          <w:rFonts w:ascii="黑体" w:eastAsia="黑体" w:hAnsi="黑体"/>
          <w:sz w:val="21"/>
          <w:szCs w:val="21"/>
        </w:rPr>
        <w:t xml:space="preserve">1  </w:t>
      </w:r>
      <w:r>
        <w:rPr>
          <w:rFonts w:ascii="黑体" w:eastAsia="黑体" w:hAnsi="黑体"/>
          <w:sz w:val="21"/>
          <w:szCs w:val="21"/>
        </w:rPr>
        <w:t>巡护信息监控系统</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t>保护区应建立巡护信息监控系统，实现巡护信息的及时传输和远程管理。</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5.4.2.2  </w:t>
      </w:r>
      <w:r>
        <w:rPr>
          <w:rFonts w:ascii="黑体" w:eastAsia="黑体" w:hAnsi="黑体"/>
          <w:sz w:val="21"/>
          <w:szCs w:val="21"/>
        </w:rPr>
        <w:t>巡护执法设备</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巡护执法应配备必要的交通、通讯、执法取证设备，详见表</w:t>
      </w:r>
      <w:r>
        <w:rPr>
          <w:rFonts w:ascii="宋体" w:eastAsia="宋体" w:hAnsi="宋体" w:cs="宋体" w:hint="eastAsia"/>
          <w:sz w:val="21"/>
          <w:szCs w:val="21"/>
        </w:rPr>
        <w:t>1</w:t>
      </w:r>
      <w:r>
        <w:rPr>
          <w:rFonts w:ascii="宋体" w:eastAsia="宋体" w:hAnsi="宋体" w:cs="宋体" w:hint="eastAsia"/>
          <w:sz w:val="21"/>
          <w:szCs w:val="21"/>
        </w:rPr>
        <w:t>。</w:t>
      </w:r>
    </w:p>
    <w:p w:rsidR="00C15A2F" w:rsidRDefault="00F420E5">
      <w:pPr>
        <w:autoSpaceDE w:val="0"/>
        <w:autoSpaceDN w:val="0"/>
        <w:jc w:val="center"/>
        <w:rPr>
          <w:rFonts w:ascii="黑体" w:eastAsia="黑体" w:hAnsi="黑体" w:cs="黑体"/>
          <w:sz w:val="21"/>
          <w:szCs w:val="21"/>
        </w:rPr>
      </w:pPr>
      <w:r>
        <w:rPr>
          <w:rFonts w:ascii="黑体" w:eastAsia="黑体" w:hAnsi="黑体" w:cs="黑体" w:hint="eastAsia"/>
          <w:sz w:val="21"/>
          <w:szCs w:val="21"/>
        </w:rPr>
        <w:t>表</w:t>
      </w:r>
      <w:r>
        <w:rPr>
          <w:rFonts w:ascii="黑体" w:eastAsia="黑体" w:hAnsi="黑体" w:cs="黑体" w:hint="eastAsia"/>
          <w:sz w:val="21"/>
          <w:szCs w:val="21"/>
        </w:rPr>
        <w:t xml:space="preserve">1 </w:t>
      </w:r>
      <w:r>
        <w:rPr>
          <w:rFonts w:ascii="黑体" w:eastAsia="黑体" w:hAnsi="黑体" w:cs="黑体" w:hint="eastAsia"/>
          <w:sz w:val="21"/>
          <w:szCs w:val="21"/>
        </w:rPr>
        <w:t>巡护执法设备</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6685"/>
      </w:tblGrid>
      <w:tr w:rsidR="00C15A2F">
        <w:trPr>
          <w:trHeight w:val="369"/>
          <w:jc w:val="center"/>
        </w:trPr>
        <w:tc>
          <w:tcPr>
            <w:tcW w:w="2375" w:type="dxa"/>
            <w:vAlign w:val="center"/>
          </w:tcPr>
          <w:p w:rsidR="00C15A2F" w:rsidRDefault="00F420E5">
            <w:pPr>
              <w:autoSpaceDE w:val="0"/>
              <w:autoSpaceDN w:val="0"/>
              <w:spacing w:after="0"/>
              <w:jc w:val="center"/>
              <w:rPr>
                <w:rFonts w:ascii="宋体" w:eastAsia="宋体" w:hAnsi="宋体" w:cs="宋体"/>
                <w:sz w:val="21"/>
                <w:szCs w:val="21"/>
              </w:rPr>
            </w:pPr>
            <w:r>
              <w:rPr>
                <w:rFonts w:ascii="宋体" w:eastAsia="宋体" w:hAnsi="宋体" w:cs="宋体" w:hint="eastAsia"/>
                <w:sz w:val="21"/>
                <w:szCs w:val="21"/>
              </w:rPr>
              <w:t>类型</w:t>
            </w:r>
          </w:p>
        </w:tc>
        <w:tc>
          <w:tcPr>
            <w:tcW w:w="6685" w:type="dxa"/>
            <w:vAlign w:val="center"/>
          </w:tcPr>
          <w:p w:rsidR="00C15A2F" w:rsidRDefault="00F420E5">
            <w:pPr>
              <w:autoSpaceDE w:val="0"/>
              <w:autoSpaceDN w:val="0"/>
              <w:spacing w:after="0"/>
              <w:jc w:val="center"/>
              <w:rPr>
                <w:rFonts w:ascii="宋体" w:eastAsia="宋体" w:hAnsi="宋体" w:cs="宋体"/>
                <w:sz w:val="21"/>
                <w:szCs w:val="21"/>
              </w:rPr>
            </w:pPr>
            <w:r>
              <w:rPr>
                <w:rFonts w:ascii="宋体" w:eastAsia="宋体" w:hAnsi="宋体" w:cs="宋体" w:hint="eastAsia"/>
                <w:sz w:val="21"/>
                <w:szCs w:val="21"/>
              </w:rPr>
              <w:t>设备名称</w:t>
            </w:r>
          </w:p>
        </w:tc>
      </w:tr>
      <w:tr w:rsidR="00C15A2F">
        <w:trPr>
          <w:trHeight w:val="369"/>
          <w:jc w:val="center"/>
        </w:trPr>
        <w:tc>
          <w:tcPr>
            <w:tcW w:w="237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交通工具</w:t>
            </w:r>
          </w:p>
        </w:tc>
        <w:tc>
          <w:tcPr>
            <w:tcW w:w="668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执法船艇、巡逻车辆</w:t>
            </w:r>
          </w:p>
        </w:tc>
      </w:tr>
      <w:tr w:rsidR="00C15A2F">
        <w:trPr>
          <w:trHeight w:val="369"/>
          <w:jc w:val="center"/>
        </w:trPr>
        <w:tc>
          <w:tcPr>
            <w:tcW w:w="237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通讯设备</w:t>
            </w:r>
          </w:p>
        </w:tc>
        <w:tc>
          <w:tcPr>
            <w:tcW w:w="668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对讲机</w:t>
            </w:r>
          </w:p>
        </w:tc>
      </w:tr>
      <w:tr w:rsidR="00C15A2F">
        <w:trPr>
          <w:trHeight w:val="383"/>
          <w:jc w:val="center"/>
        </w:trPr>
        <w:tc>
          <w:tcPr>
            <w:tcW w:w="237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执法取证设备</w:t>
            </w:r>
          </w:p>
        </w:tc>
        <w:tc>
          <w:tcPr>
            <w:tcW w:w="6685" w:type="dxa"/>
            <w:vAlign w:val="center"/>
          </w:tcPr>
          <w:p w:rsidR="00C15A2F" w:rsidRDefault="00F420E5">
            <w:pPr>
              <w:autoSpaceDE w:val="0"/>
              <w:autoSpaceDN w:val="0"/>
              <w:spacing w:after="0"/>
              <w:jc w:val="both"/>
              <w:rPr>
                <w:rFonts w:ascii="宋体" w:eastAsia="宋体" w:hAnsi="宋体" w:cs="宋体"/>
                <w:sz w:val="21"/>
                <w:szCs w:val="21"/>
              </w:rPr>
            </w:pPr>
            <w:r>
              <w:rPr>
                <w:rFonts w:ascii="宋体" w:eastAsia="宋体" w:hAnsi="宋体" w:cs="宋体" w:hint="eastAsia"/>
                <w:sz w:val="21"/>
                <w:szCs w:val="21"/>
              </w:rPr>
              <w:t>执法仪、摄照相机、录音笔、</w:t>
            </w:r>
            <w:r>
              <w:rPr>
                <w:rFonts w:ascii="宋体" w:eastAsia="宋体" w:hAnsi="宋体" w:cs="宋体" w:hint="eastAsia"/>
                <w:sz w:val="21"/>
                <w:szCs w:val="21"/>
              </w:rPr>
              <w:t>GPS</w:t>
            </w:r>
            <w:r>
              <w:rPr>
                <w:rFonts w:ascii="宋体" w:eastAsia="宋体" w:hAnsi="宋体" w:cs="宋体" w:hint="eastAsia"/>
                <w:sz w:val="21"/>
                <w:szCs w:val="21"/>
              </w:rPr>
              <w:t>、望远镜</w:t>
            </w:r>
          </w:p>
        </w:tc>
      </w:tr>
    </w:tbl>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5.4.3  </w:t>
      </w:r>
      <w:r>
        <w:rPr>
          <w:rFonts w:ascii="黑体" w:eastAsia="黑体" w:hAnsi="黑体"/>
          <w:sz w:val="21"/>
          <w:szCs w:val="21"/>
        </w:rPr>
        <w:t>科研中心</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国家级水产种质资源保护区应建立科研中心，建筑规模参照</w:t>
      </w:r>
      <w:r>
        <w:rPr>
          <w:rFonts w:ascii="Times New Roman" w:eastAsia="宋体" w:hAnsi="Times New Roman" w:hint="eastAsia"/>
          <w:sz w:val="21"/>
          <w:szCs w:val="21"/>
        </w:rPr>
        <w:t>LY/T 5126</w:t>
      </w:r>
      <w:r>
        <w:rPr>
          <w:rFonts w:ascii="宋体" w:eastAsia="宋体" w:hAnsi="宋体" w:cs="宋体" w:hint="eastAsia"/>
          <w:sz w:val="21"/>
          <w:szCs w:val="21"/>
        </w:rPr>
        <w:t>执行。地方级水产种质资源保护区可根据需要建立科研中心。</w:t>
      </w:r>
      <w:r>
        <w:rPr>
          <w:rFonts w:ascii="宋体" w:eastAsia="宋体" w:hAnsi="宋体" w:cs="宋体" w:hint="eastAsia"/>
          <w:sz w:val="21"/>
          <w:szCs w:val="21"/>
        </w:rPr>
        <w:t xml:space="preserve"> </w:t>
      </w:r>
      <w:r>
        <w:rPr>
          <w:rFonts w:ascii="宋体" w:eastAsia="宋体" w:hAnsi="宋体" w:cs="宋体" w:hint="eastAsia"/>
          <w:sz w:val="21"/>
          <w:szCs w:val="21"/>
        </w:rPr>
        <w:t>科研中心应配备生态环境监测、渔业资源养护、水生野生动物暂养救护等基本的实验设施、设备。</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5.4.4 </w:t>
      </w:r>
      <w:r>
        <w:rPr>
          <w:rFonts w:ascii="黑体" w:eastAsia="黑体" w:hAnsi="黑体"/>
          <w:sz w:val="21"/>
          <w:szCs w:val="21"/>
        </w:rPr>
        <w:t>宣传教育设施</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5.4.4.1  </w:t>
      </w:r>
      <w:r>
        <w:rPr>
          <w:rFonts w:ascii="黑体" w:eastAsia="黑体" w:hAnsi="黑体"/>
          <w:sz w:val="21"/>
          <w:szCs w:val="21"/>
        </w:rPr>
        <w:t>宣教场馆</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保护区可根据参观人数、宣教需要建立宣教场馆，满足资源养护、生态保护等科普教育要求。</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）年参观人次在</w:t>
      </w:r>
      <w:r>
        <w:rPr>
          <w:rFonts w:ascii="宋体" w:eastAsia="宋体" w:hAnsi="宋体" w:cs="宋体" w:hint="eastAsia"/>
          <w:sz w:val="21"/>
          <w:szCs w:val="21"/>
        </w:rPr>
        <w:t>5</w:t>
      </w:r>
      <w:r>
        <w:rPr>
          <w:rFonts w:ascii="宋体" w:eastAsia="宋体" w:hAnsi="宋体" w:cs="宋体" w:hint="eastAsia"/>
          <w:sz w:val="21"/>
          <w:szCs w:val="21"/>
        </w:rPr>
        <w:t>万以上的保护区，可设置宣教中心，建筑面积以</w:t>
      </w:r>
      <w:r>
        <w:rPr>
          <w:rFonts w:ascii="宋体" w:eastAsia="宋体" w:hAnsi="宋体" w:cs="宋体" w:hint="eastAsia"/>
          <w:sz w:val="21"/>
          <w:szCs w:val="21"/>
        </w:rPr>
        <w:t>500 m</w:t>
      </w:r>
      <w:r>
        <w:rPr>
          <w:rFonts w:ascii="宋体" w:eastAsia="宋体" w:hAnsi="宋体" w:cs="宋体" w:hint="eastAsia"/>
          <w:sz w:val="21"/>
          <w:szCs w:val="21"/>
          <w:vertAlign w:val="superscript"/>
        </w:rPr>
        <w:t>2</w:t>
      </w:r>
      <w:r>
        <w:rPr>
          <w:rFonts w:ascii="Times New Roman"/>
          <w:szCs w:val="21"/>
        </w:rPr>
        <w:t>～</w:t>
      </w:r>
      <w:r>
        <w:rPr>
          <w:rFonts w:ascii="宋体" w:eastAsia="宋体" w:hAnsi="宋体" w:cs="宋体" w:hint="eastAsia"/>
          <w:sz w:val="21"/>
          <w:szCs w:val="21"/>
        </w:rPr>
        <w:t>2000 m</w:t>
      </w:r>
      <w:r>
        <w:rPr>
          <w:rFonts w:ascii="宋体" w:eastAsia="宋体" w:hAnsi="宋体" w:cs="宋体" w:hint="eastAsia"/>
          <w:sz w:val="21"/>
          <w:szCs w:val="21"/>
          <w:vertAlign w:val="superscript"/>
        </w:rPr>
        <w:t>2</w:t>
      </w:r>
      <w:r>
        <w:rPr>
          <w:rFonts w:ascii="宋体" w:eastAsia="宋体" w:hAnsi="宋体" w:cs="宋体" w:hint="eastAsia"/>
          <w:sz w:val="21"/>
          <w:szCs w:val="21"/>
        </w:rPr>
        <w:t>为宜。</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lastRenderedPageBreak/>
        <w:t>b</w:t>
      </w:r>
      <w:r>
        <w:rPr>
          <w:rFonts w:ascii="Times New Roman" w:eastAsia="宋体" w:hAnsi="Times New Roman"/>
          <w:sz w:val="21"/>
          <w:szCs w:val="21"/>
        </w:rPr>
        <w:t>）</w:t>
      </w:r>
      <w:r>
        <w:rPr>
          <w:rFonts w:ascii="宋体" w:eastAsia="宋体" w:hAnsi="宋体" w:cs="宋体" w:hint="eastAsia"/>
          <w:sz w:val="21"/>
          <w:szCs w:val="21"/>
        </w:rPr>
        <w:t>年参观人次在</w:t>
      </w:r>
      <w:r>
        <w:rPr>
          <w:rFonts w:ascii="宋体" w:eastAsia="宋体" w:hAnsi="宋体" w:cs="宋体" w:hint="eastAsia"/>
          <w:sz w:val="21"/>
          <w:szCs w:val="21"/>
        </w:rPr>
        <w:t>1</w:t>
      </w:r>
      <w:r>
        <w:rPr>
          <w:rFonts w:ascii="宋体" w:eastAsia="宋体" w:hAnsi="宋体" w:cs="宋体" w:hint="eastAsia"/>
          <w:sz w:val="21"/>
          <w:szCs w:val="21"/>
        </w:rPr>
        <w:t>万以上的保护区可设置宣教馆，建筑面积不大于</w:t>
      </w:r>
      <w:r>
        <w:rPr>
          <w:rFonts w:ascii="宋体" w:eastAsia="宋体" w:hAnsi="宋体" w:cs="宋体" w:hint="eastAsia"/>
          <w:sz w:val="21"/>
          <w:szCs w:val="21"/>
        </w:rPr>
        <w:t>500 m</w:t>
      </w:r>
      <w:r>
        <w:rPr>
          <w:rFonts w:ascii="宋体" w:eastAsia="宋体" w:hAnsi="宋体" w:cs="宋体" w:hint="eastAsia"/>
          <w:sz w:val="21"/>
          <w:szCs w:val="21"/>
          <w:vertAlign w:val="superscript"/>
        </w:rPr>
        <w:t>2</w:t>
      </w:r>
      <w:r>
        <w:rPr>
          <w:rFonts w:ascii="宋体" w:eastAsia="宋体" w:hAnsi="宋体" w:cs="宋体" w:hint="eastAsia"/>
          <w:sz w:val="21"/>
          <w:szCs w:val="21"/>
        </w:rPr>
        <w:t>。</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hint="eastAsia"/>
          <w:sz w:val="21"/>
          <w:szCs w:val="21"/>
        </w:rPr>
        <w:t>）年参观人次在</w:t>
      </w:r>
      <w:r>
        <w:rPr>
          <w:rFonts w:ascii="宋体" w:eastAsia="宋体" w:hAnsi="宋体" w:cs="宋体" w:hint="eastAsia"/>
          <w:sz w:val="21"/>
          <w:szCs w:val="21"/>
        </w:rPr>
        <w:t>1</w:t>
      </w:r>
      <w:r>
        <w:rPr>
          <w:rFonts w:ascii="宋体" w:eastAsia="宋体" w:hAnsi="宋体" w:cs="宋体" w:hint="eastAsia"/>
          <w:sz w:val="21"/>
          <w:szCs w:val="21"/>
        </w:rPr>
        <w:t>万以下的保护区可设置宣教室，建筑面积不大于</w:t>
      </w:r>
      <w:r>
        <w:rPr>
          <w:rFonts w:ascii="宋体" w:eastAsia="宋体" w:hAnsi="宋体" w:cs="宋体" w:hint="eastAsia"/>
          <w:sz w:val="21"/>
          <w:szCs w:val="21"/>
        </w:rPr>
        <w:t>100 m</w:t>
      </w:r>
      <w:r>
        <w:rPr>
          <w:rFonts w:ascii="宋体" w:eastAsia="宋体" w:hAnsi="宋体" w:cs="宋体" w:hint="eastAsia"/>
          <w:sz w:val="21"/>
          <w:szCs w:val="21"/>
          <w:vertAlign w:val="superscript"/>
        </w:rPr>
        <w:t>2</w:t>
      </w:r>
      <w:r>
        <w:rPr>
          <w:rFonts w:ascii="宋体" w:eastAsia="宋体" w:hAnsi="宋体" w:cs="宋体" w:hint="eastAsia"/>
          <w:sz w:val="21"/>
          <w:szCs w:val="21"/>
        </w:rPr>
        <w:t>。</w:t>
      </w:r>
    </w:p>
    <w:p w:rsidR="00C15A2F" w:rsidRDefault="00F420E5">
      <w:pPr>
        <w:ind w:firstLineChars="200" w:firstLine="420"/>
        <w:rPr>
          <w:rFonts w:ascii="宋体" w:eastAsia="宋体" w:hAnsi="宋体" w:cs="宋体"/>
          <w:sz w:val="21"/>
          <w:szCs w:val="21"/>
        </w:rPr>
      </w:pPr>
      <w:r>
        <w:rPr>
          <w:rFonts w:ascii="Times New Roman" w:eastAsia="宋体" w:hAnsi="Times New Roman" w:hint="eastAsia"/>
          <w:sz w:val="21"/>
          <w:szCs w:val="21"/>
        </w:rPr>
        <w:t>d</w:t>
      </w:r>
      <w:r>
        <w:rPr>
          <w:rFonts w:ascii="宋体" w:eastAsia="宋体" w:hAnsi="宋体" w:cs="宋体" w:hint="eastAsia"/>
          <w:sz w:val="21"/>
          <w:szCs w:val="21"/>
        </w:rPr>
        <w:t>）宣教场馆宜设置陈列展览室、多媒体放</w:t>
      </w:r>
      <w:r>
        <w:rPr>
          <w:rFonts w:ascii="宋体" w:eastAsia="宋体" w:hAnsi="宋体" w:cs="宋体" w:hint="eastAsia"/>
          <w:sz w:val="21"/>
          <w:szCs w:val="21"/>
        </w:rPr>
        <w:t>映室、图书资料室等，并配备宣教、通风、除湿、防火</w:t>
      </w:r>
      <w:r w:rsidR="00BF4727">
        <w:rPr>
          <w:rFonts w:ascii="宋体" w:eastAsia="宋体" w:hAnsi="宋体" w:cs="宋体" w:hint="eastAsia"/>
          <w:sz w:val="21"/>
          <w:szCs w:val="21"/>
        </w:rPr>
        <w:t>、</w:t>
      </w:r>
      <w:r>
        <w:rPr>
          <w:rFonts w:ascii="宋体" w:eastAsia="宋体" w:hAnsi="宋体" w:cs="宋体" w:hint="eastAsia"/>
          <w:sz w:val="21"/>
          <w:szCs w:val="21"/>
        </w:rPr>
        <w:t>防盗等设施设备。</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5.4.4.2  </w:t>
      </w:r>
      <w:r>
        <w:rPr>
          <w:rFonts w:ascii="黑体" w:eastAsia="黑体" w:hAnsi="黑体"/>
          <w:sz w:val="21"/>
          <w:szCs w:val="21"/>
        </w:rPr>
        <w:t>宣传牌（栏）</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应在水产种质资源保护区道路出入口、居民点等人为活动频繁处，</w:t>
      </w:r>
      <w:r>
        <w:rPr>
          <w:rFonts w:ascii="宋体" w:eastAsia="宋体" w:hAnsi="宋体" w:cs="宋体" w:hint="eastAsia"/>
          <w:sz w:val="21"/>
          <w:szCs w:val="21"/>
        </w:rPr>
        <w:t xml:space="preserve"> </w:t>
      </w:r>
      <w:r>
        <w:rPr>
          <w:rFonts w:ascii="宋体" w:eastAsia="宋体" w:hAnsi="宋体" w:cs="宋体" w:hint="eastAsia"/>
          <w:sz w:val="21"/>
          <w:szCs w:val="21"/>
        </w:rPr>
        <w:t>设立宣传牌，宣传内容包括相关法律、法规、政策及保护区的名称、范围、保护对象、保护意义、保护要求等。</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  </w:t>
      </w:r>
      <w:r>
        <w:rPr>
          <w:rFonts w:ascii="黑体" w:eastAsia="黑体" w:hAnsi="黑体"/>
          <w:sz w:val="21"/>
          <w:szCs w:val="21"/>
        </w:rPr>
        <w:t>管理措施</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5.5.1  </w:t>
      </w:r>
      <w:r>
        <w:rPr>
          <w:rFonts w:ascii="黑体" w:eastAsia="黑体" w:hAnsi="黑体"/>
          <w:sz w:val="21"/>
          <w:szCs w:val="21"/>
        </w:rPr>
        <w:t>日常巡护</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保护区应结合渔政管理、设施维护、科研监测、资源调查等开展日常巡护工作，要求如下：</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）日常巡护范围应该覆盖保护区核心区、实验区以及保护区周边人为活动频繁区域。</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）日常巡护以定期巡护为主，可根据管理要求、交通条</w:t>
      </w:r>
      <w:r>
        <w:rPr>
          <w:rFonts w:ascii="宋体" w:eastAsia="宋体" w:hAnsi="宋体" w:cs="宋体" w:hint="eastAsia"/>
          <w:sz w:val="21"/>
          <w:szCs w:val="21"/>
        </w:rPr>
        <w:t>件、地形特点等因素合理确定巡护周期。</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hint="eastAsia"/>
          <w:sz w:val="21"/>
          <w:szCs w:val="21"/>
        </w:rPr>
        <w:t>）日常巡护工作应建立巡护责任制和巡护报告制度，巡护人员每次巡护结束应填写巡护情况特别是渔业案件查处记录或日志，应填写巡护月报、年报，将巡护报告及监测结果上报保护区管理机构。</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5.5.2  </w:t>
      </w:r>
      <w:r>
        <w:rPr>
          <w:rFonts w:ascii="黑体" w:eastAsia="黑体" w:hAnsi="黑体"/>
          <w:sz w:val="21"/>
          <w:szCs w:val="21"/>
        </w:rPr>
        <w:t>执法检查</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保护区管理机构按照有关法律法规的规定，对保护区内的捕捞、养殖及垂钓等渔事活动进行执法检查，并与公安、市场监管等执法机构建立联合执法机制，及时处理涉保护区违法案件。</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5.5.3  </w:t>
      </w:r>
      <w:r>
        <w:rPr>
          <w:rFonts w:ascii="黑体" w:eastAsia="黑体" w:hAnsi="黑体"/>
          <w:sz w:val="21"/>
          <w:szCs w:val="21"/>
        </w:rPr>
        <w:t>外来物种控制</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 xml:space="preserve"> </w:t>
      </w:r>
      <w:r>
        <w:rPr>
          <w:rFonts w:ascii="宋体" w:eastAsia="宋体" w:hAnsi="宋体" w:cs="宋体" w:hint="eastAsia"/>
          <w:sz w:val="21"/>
          <w:szCs w:val="21"/>
        </w:rPr>
        <w:t>保护区应评估外来物种对生态系统的影响，采取以下措施预防和控制：</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）开展外来物种调查和防范的宣传教育。</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）制定并实施外来物种防治方案及监控方案。</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hint="eastAsia"/>
          <w:sz w:val="21"/>
          <w:szCs w:val="21"/>
        </w:rPr>
        <w:t>）引导和监管社会放生行为。</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5.5.4 </w:t>
      </w:r>
      <w:r>
        <w:rPr>
          <w:rFonts w:ascii="黑体" w:eastAsia="黑体" w:hAnsi="黑体"/>
          <w:sz w:val="21"/>
          <w:szCs w:val="21"/>
        </w:rPr>
        <w:t>增殖放流</w:t>
      </w:r>
    </w:p>
    <w:p w:rsidR="00C15A2F" w:rsidRDefault="00F420E5">
      <w:pPr>
        <w:ind w:firstLineChars="200" w:firstLine="420"/>
        <w:rPr>
          <w:rFonts w:ascii="宋体" w:hAnsi="宋体"/>
          <w:sz w:val="21"/>
          <w:szCs w:val="21"/>
        </w:rPr>
      </w:pPr>
      <w:r>
        <w:rPr>
          <w:rFonts w:ascii="宋体" w:eastAsia="宋体" w:hAnsi="宋体" w:cs="宋体" w:hint="eastAsia"/>
          <w:sz w:val="21"/>
          <w:szCs w:val="21"/>
        </w:rPr>
        <w:t>根据保护区资源养护需要，开展保护物种的增殖放流。</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5.5.5 </w:t>
      </w:r>
      <w:r>
        <w:rPr>
          <w:rFonts w:ascii="黑体" w:eastAsia="黑体" w:hAnsi="黑体"/>
          <w:sz w:val="21"/>
          <w:szCs w:val="21"/>
        </w:rPr>
        <w:t>暂养救护</w:t>
      </w:r>
    </w:p>
    <w:p w:rsidR="00C15A2F" w:rsidRDefault="00F420E5">
      <w:pPr>
        <w:rPr>
          <w:rFonts w:ascii="宋体" w:eastAsia="宋体" w:hAnsi="宋体" w:cs="宋体"/>
          <w:sz w:val="21"/>
          <w:szCs w:val="21"/>
        </w:rPr>
      </w:pPr>
      <w:r>
        <w:rPr>
          <w:rFonts w:ascii="宋体" w:hAnsi="宋体"/>
        </w:rPr>
        <w:t xml:space="preserve">   </w:t>
      </w:r>
      <w:r>
        <w:rPr>
          <w:rFonts w:ascii="宋体" w:eastAsia="宋体" w:hAnsi="宋体" w:cs="宋体" w:hint="eastAsia"/>
          <w:sz w:val="21"/>
          <w:szCs w:val="21"/>
        </w:rPr>
        <w:t xml:space="preserve"> </w:t>
      </w:r>
      <w:r>
        <w:rPr>
          <w:rFonts w:ascii="宋体" w:eastAsia="宋体" w:hAnsi="宋体" w:cs="宋体" w:hint="eastAsia"/>
          <w:sz w:val="21"/>
          <w:szCs w:val="21"/>
        </w:rPr>
        <w:t>对在日常巡查、执法监管中缴获，渔民误捕和社会公众移交具有保护价值的水生动物，不适宜当场放生的应就近送具</w:t>
      </w:r>
      <w:r>
        <w:rPr>
          <w:rFonts w:ascii="宋体" w:eastAsia="宋体" w:hAnsi="宋体" w:cs="宋体" w:hint="eastAsia"/>
          <w:sz w:val="21"/>
          <w:szCs w:val="21"/>
        </w:rPr>
        <w:t>有暂养</w:t>
      </w:r>
      <w:r>
        <w:rPr>
          <w:rFonts w:ascii="宋体" w:eastAsia="宋体" w:hAnsi="宋体" w:cs="宋体" w:hint="eastAsia"/>
          <w:sz w:val="21"/>
          <w:szCs w:val="21"/>
        </w:rPr>
        <w:t>条件的暂养场所进行救护。</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5.6  </w:t>
      </w:r>
      <w:r>
        <w:rPr>
          <w:rFonts w:ascii="黑体" w:eastAsia="黑体" w:hAnsi="黑体"/>
          <w:sz w:val="21"/>
          <w:szCs w:val="21"/>
        </w:rPr>
        <w:t>环境保护</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）应对出入保护区的人员及其携带的动植物资源（包括动植物材料、标本、活体、制品等）实施检查，防止保护区内自然资源和生态环境遭受非法破坏以及外来物种的引入。</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）对于允许开展生态体验活动的保护区，体验活动不得涉及核心区范围，不得对保护区内生态环境和保护对象构成威胁。</w:t>
      </w:r>
      <w:r>
        <w:rPr>
          <w:rFonts w:ascii="宋体" w:eastAsia="宋体" w:hAnsi="宋体" w:cs="宋体" w:hint="eastAsia"/>
          <w:sz w:val="21"/>
          <w:szCs w:val="21"/>
        </w:rPr>
        <w:t xml:space="preserve"> </w:t>
      </w:r>
      <w:r>
        <w:rPr>
          <w:rFonts w:ascii="宋体" w:eastAsia="宋体" w:hAnsi="宋体" w:cs="宋体" w:hint="eastAsia"/>
          <w:sz w:val="21"/>
          <w:szCs w:val="21"/>
        </w:rPr>
        <w:t>体验区域应设置垃圾收集等环保设施。体验人数不得超过规划的最大容量。</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c</w:t>
      </w:r>
      <w:r>
        <w:rPr>
          <w:rFonts w:ascii="宋体" w:eastAsia="宋体" w:hAnsi="宋体" w:cs="宋体" w:hint="eastAsia"/>
          <w:sz w:val="21"/>
          <w:szCs w:val="21"/>
        </w:rPr>
        <w:t>）不得在保护区内违规建设任何交通和生活等设施。不得建设污染自然环境、破坏自然资源或自然景观的人工景点和设施。</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5.7  </w:t>
      </w:r>
      <w:r>
        <w:rPr>
          <w:rFonts w:ascii="黑体" w:eastAsia="黑体" w:hAnsi="黑体"/>
          <w:sz w:val="21"/>
          <w:szCs w:val="21"/>
        </w:rPr>
        <w:t>科研监测</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lastRenderedPageBreak/>
        <w:t xml:space="preserve">5.7.1 </w:t>
      </w:r>
      <w:r>
        <w:rPr>
          <w:rFonts w:ascii="黑体" w:eastAsia="黑体" w:hAnsi="黑体"/>
          <w:sz w:val="21"/>
          <w:szCs w:val="21"/>
        </w:rPr>
        <w:t>定期监测</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应根据主要保护对象特点，定</w:t>
      </w:r>
      <w:r>
        <w:rPr>
          <w:rFonts w:ascii="宋体" w:eastAsia="宋体" w:hAnsi="宋体" w:cs="宋体" w:hint="eastAsia"/>
          <w:sz w:val="21"/>
          <w:szCs w:val="21"/>
        </w:rPr>
        <w:t>期开展生态、资源、环境等各项监测活动。监测结果应进行详细记录和分析。</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5.7.2  </w:t>
      </w:r>
      <w:r>
        <w:rPr>
          <w:rFonts w:ascii="黑体" w:eastAsia="黑体" w:hAnsi="黑体"/>
          <w:sz w:val="21"/>
          <w:szCs w:val="21"/>
        </w:rPr>
        <w:t>资源调查</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）每年至少开展</w:t>
      </w:r>
      <w:r>
        <w:rPr>
          <w:rFonts w:ascii="宋体" w:eastAsia="宋体" w:hAnsi="宋体" w:cs="宋体" w:hint="eastAsia"/>
          <w:sz w:val="21"/>
          <w:szCs w:val="21"/>
        </w:rPr>
        <w:t>1</w:t>
      </w:r>
      <w:r>
        <w:rPr>
          <w:rFonts w:ascii="宋体" w:eastAsia="宋体" w:hAnsi="宋体" w:cs="宋体" w:hint="eastAsia"/>
          <w:sz w:val="21"/>
          <w:szCs w:val="21"/>
        </w:rPr>
        <w:t>次保护区水生生物资源调查，形成保护区水生生物资源与环境调查报告。</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）每</w:t>
      </w:r>
      <w:r>
        <w:rPr>
          <w:rFonts w:ascii="宋体" w:eastAsia="宋体" w:hAnsi="宋体" w:cs="宋体" w:hint="eastAsia"/>
          <w:sz w:val="21"/>
          <w:szCs w:val="21"/>
        </w:rPr>
        <w:t>10</w:t>
      </w:r>
      <w:r>
        <w:rPr>
          <w:rFonts w:ascii="宋体" w:eastAsia="宋体" w:hAnsi="宋体" w:cs="宋体" w:hint="eastAsia"/>
          <w:sz w:val="21"/>
          <w:szCs w:val="21"/>
        </w:rPr>
        <w:t>年至少开展</w:t>
      </w:r>
      <w:r>
        <w:rPr>
          <w:rFonts w:ascii="宋体" w:eastAsia="宋体" w:hAnsi="宋体" w:cs="宋体" w:hint="eastAsia"/>
          <w:sz w:val="21"/>
          <w:szCs w:val="21"/>
        </w:rPr>
        <w:t>1</w:t>
      </w:r>
      <w:r>
        <w:rPr>
          <w:rFonts w:ascii="宋体" w:eastAsia="宋体" w:hAnsi="宋体" w:cs="宋体" w:hint="eastAsia"/>
          <w:sz w:val="21"/>
          <w:szCs w:val="21"/>
        </w:rPr>
        <w:t>次综合科学考察，编制科考报告。</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5.7.3  </w:t>
      </w:r>
      <w:r>
        <w:rPr>
          <w:rFonts w:ascii="黑体" w:eastAsia="黑体" w:hAnsi="黑体"/>
          <w:sz w:val="21"/>
          <w:szCs w:val="21"/>
        </w:rPr>
        <w:t>科研管理</w:t>
      </w:r>
    </w:p>
    <w:p w:rsidR="00C15A2F" w:rsidRDefault="00D81219">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w:t>
      </w:r>
      <w:r w:rsidR="00F420E5">
        <w:rPr>
          <w:rFonts w:ascii="宋体" w:eastAsia="宋体" w:hAnsi="宋体" w:cs="宋体" w:hint="eastAsia"/>
          <w:sz w:val="21"/>
          <w:szCs w:val="21"/>
        </w:rPr>
        <w:t>保护区应推进数字化建设，逐步实现保护区科研信息共享。</w:t>
      </w:r>
    </w:p>
    <w:p w:rsidR="00C15A2F" w:rsidRDefault="00D81219">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w:t>
      </w:r>
      <w:r w:rsidR="00F420E5">
        <w:rPr>
          <w:rFonts w:ascii="宋体" w:eastAsia="宋体" w:hAnsi="宋体" w:cs="宋体" w:hint="eastAsia"/>
          <w:sz w:val="21"/>
          <w:szCs w:val="21"/>
        </w:rPr>
        <w:t>保护区应加强与相关高校或科研机构合作，鼓励保护区工作人员参加科学研究，共建共享保护区科学研究与教学实习基地。</w:t>
      </w:r>
      <w:bookmarkStart w:id="3" w:name="_GoBack"/>
      <w:bookmarkEnd w:id="3"/>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5.8  </w:t>
      </w:r>
      <w:r>
        <w:rPr>
          <w:rFonts w:ascii="黑体" w:eastAsia="黑体" w:hAnsi="黑体"/>
          <w:sz w:val="21"/>
          <w:szCs w:val="21"/>
        </w:rPr>
        <w:t>宣传教育</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5.8.1  </w:t>
      </w:r>
      <w:r>
        <w:rPr>
          <w:rFonts w:ascii="黑体" w:eastAsia="黑体" w:hAnsi="黑体"/>
          <w:sz w:val="21"/>
          <w:szCs w:val="21"/>
        </w:rPr>
        <w:t>宣传资料</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保护区应根据水生生物资源养护和生态环境宣传与管理</w:t>
      </w:r>
      <w:r>
        <w:rPr>
          <w:rFonts w:ascii="宋体" w:eastAsia="宋体" w:hAnsi="宋体" w:cs="宋体" w:hint="eastAsia"/>
          <w:sz w:val="21"/>
          <w:szCs w:val="21"/>
        </w:rPr>
        <w:t>需要，编制科普宣传资料，分发给社会公众。</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5.8.2  </w:t>
      </w:r>
      <w:r>
        <w:rPr>
          <w:rFonts w:ascii="黑体" w:eastAsia="黑体" w:hAnsi="黑体"/>
          <w:sz w:val="21"/>
          <w:szCs w:val="21"/>
        </w:rPr>
        <w:t>宣教活动</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保护区管理机构应利用各类媒体定期对社会公众开展水生生物资源养护和生态环境保护宣传教育。</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5.8.3  </w:t>
      </w:r>
      <w:r>
        <w:rPr>
          <w:rFonts w:ascii="黑体" w:eastAsia="黑体" w:hAnsi="黑体"/>
          <w:sz w:val="21"/>
          <w:szCs w:val="21"/>
        </w:rPr>
        <w:t>交流合作</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保护区管理机构应参加区域各类培训、研讨会等，加强国内外交流与合作。</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5.9  </w:t>
      </w:r>
      <w:r>
        <w:rPr>
          <w:rFonts w:ascii="黑体" w:eastAsia="黑体" w:hAnsi="黑体"/>
          <w:sz w:val="21"/>
          <w:szCs w:val="21"/>
        </w:rPr>
        <w:t>资源利用</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保护区资源利用应按照生态优先、科学保护、合理利用、适度可控的原则进行。</w:t>
      </w:r>
    </w:p>
    <w:p w:rsidR="00C15A2F" w:rsidRDefault="00F420E5">
      <w:pPr>
        <w:spacing w:beforeLines="50" w:before="120" w:afterLines="50" w:after="120"/>
        <w:rPr>
          <w:rFonts w:ascii="黑体" w:eastAsia="黑体" w:hAnsi="黑体"/>
          <w:sz w:val="21"/>
          <w:szCs w:val="21"/>
        </w:rPr>
      </w:pPr>
      <w:r>
        <w:rPr>
          <w:rFonts w:ascii="黑体" w:eastAsia="黑体" w:hAnsi="黑体"/>
          <w:sz w:val="21"/>
          <w:szCs w:val="21"/>
        </w:rPr>
        <w:t xml:space="preserve">5.9.1  </w:t>
      </w:r>
      <w:r>
        <w:rPr>
          <w:rFonts w:ascii="黑体" w:eastAsia="黑体" w:hAnsi="黑体"/>
          <w:sz w:val="21"/>
          <w:szCs w:val="21"/>
        </w:rPr>
        <w:t>利用方式</w:t>
      </w:r>
    </w:p>
    <w:p w:rsidR="00C15A2F" w:rsidRDefault="00F420E5">
      <w:pPr>
        <w:spacing w:beforeLines="50" w:before="120" w:afterLines="50" w:after="120"/>
        <w:rPr>
          <w:rFonts w:ascii="黑体" w:eastAsia="黑体" w:hAnsi="黑体"/>
          <w:sz w:val="21"/>
          <w:szCs w:val="21"/>
        </w:rPr>
      </w:pPr>
      <w:r>
        <w:rPr>
          <w:rFonts w:ascii="黑体" w:eastAsia="黑体" w:hAnsi="黑体" w:hint="eastAsia"/>
          <w:sz w:val="21"/>
          <w:szCs w:val="21"/>
        </w:rPr>
        <w:t>5</w:t>
      </w:r>
      <w:r>
        <w:rPr>
          <w:rFonts w:ascii="黑体" w:eastAsia="黑体" w:hAnsi="黑体"/>
          <w:sz w:val="21"/>
          <w:szCs w:val="21"/>
        </w:rPr>
        <w:t>.9.1.1</w:t>
      </w:r>
      <w:r>
        <w:rPr>
          <w:rFonts w:ascii="黑体" w:eastAsia="黑体" w:hAnsi="黑体"/>
          <w:sz w:val="21"/>
          <w:szCs w:val="21"/>
        </w:rPr>
        <w:t>良种选育</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有条件的保护区可以根据主要保护物种的种群数量，在科学评估的基础上，提出利用计划，经主管部门批准后，可以作为水产养殖原良种选育基地。</w:t>
      </w:r>
    </w:p>
    <w:p w:rsidR="00C15A2F" w:rsidRDefault="00F420E5">
      <w:pPr>
        <w:spacing w:beforeLines="50" w:before="120" w:afterLines="50" w:after="120"/>
        <w:rPr>
          <w:rFonts w:ascii="黑体" w:eastAsia="黑体" w:hAnsi="黑体" w:cs="黑体"/>
          <w:sz w:val="21"/>
          <w:szCs w:val="21"/>
        </w:rPr>
      </w:pPr>
      <w:r>
        <w:rPr>
          <w:rFonts w:ascii="黑体" w:eastAsia="黑体" w:hAnsi="黑体" w:cs="黑体" w:hint="eastAsia"/>
          <w:sz w:val="21"/>
          <w:szCs w:val="21"/>
        </w:rPr>
        <w:t>5.9.1.2</w:t>
      </w:r>
      <w:r>
        <w:rPr>
          <w:rFonts w:ascii="黑体" w:eastAsia="黑体" w:hAnsi="黑体" w:cs="黑体" w:hint="eastAsia"/>
          <w:sz w:val="21"/>
          <w:szCs w:val="21"/>
        </w:rPr>
        <w:t>生态体验</w:t>
      </w:r>
    </w:p>
    <w:p w:rsidR="00C15A2F" w:rsidRDefault="00F420E5">
      <w:pPr>
        <w:ind w:firstLineChars="200" w:firstLine="420"/>
        <w:rPr>
          <w:rFonts w:ascii="宋体" w:eastAsia="宋体" w:hAnsi="宋体" w:cs="宋体"/>
          <w:sz w:val="21"/>
          <w:szCs w:val="21"/>
        </w:rPr>
      </w:pPr>
      <w:r>
        <w:rPr>
          <w:rFonts w:ascii="宋体" w:eastAsia="宋体" w:hAnsi="宋体" w:cs="宋体" w:hint="eastAsia"/>
          <w:sz w:val="21"/>
          <w:szCs w:val="21"/>
        </w:rPr>
        <w:t>适度开展生态体验活动，应让体验者感受到水生生物和生态环境的独特魅力、欣赏自然景观、了解水生生物等科普知识。所有体验项目都必须在保护区管理机构的统一监督下开展。</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a</w:t>
      </w:r>
      <w:r>
        <w:rPr>
          <w:rFonts w:ascii="宋体" w:eastAsia="宋体" w:hAnsi="宋体" w:cs="宋体" w:hint="eastAsia"/>
          <w:sz w:val="21"/>
          <w:szCs w:val="21"/>
        </w:rPr>
        <w:t>）保护区生态体验区域的范围界限应严格限制在实验区范围内，并根据保护对象特点，采取有效保护措施。</w:t>
      </w:r>
    </w:p>
    <w:p w:rsidR="00C15A2F" w:rsidRDefault="00F420E5">
      <w:pPr>
        <w:ind w:firstLineChars="200" w:firstLine="420"/>
        <w:rPr>
          <w:rFonts w:ascii="宋体" w:eastAsia="宋体" w:hAnsi="宋体" w:cs="宋体"/>
          <w:sz w:val="21"/>
          <w:szCs w:val="21"/>
        </w:rPr>
      </w:pPr>
      <w:r>
        <w:rPr>
          <w:rFonts w:ascii="Times New Roman" w:eastAsia="宋体" w:hAnsi="Times New Roman"/>
          <w:sz w:val="21"/>
          <w:szCs w:val="21"/>
        </w:rPr>
        <w:t>b</w:t>
      </w:r>
      <w:r>
        <w:rPr>
          <w:rFonts w:ascii="宋体" w:eastAsia="宋体" w:hAnsi="宋体" w:cs="宋体" w:hint="eastAsia"/>
          <w:sz w:val="21"/>
          <w:szCs w:val="21"/>
        </w:rPr>
        <w:t>）开展体验活动的保护区，必须科学地进行环境容量测算，编制保护区生态体验专项规划并通过环境影响评估，经批准后实施。</w:t>
      </w:r>
    </w:p>
    <w:p w:rsidR="00C15A2F" w:rsidRDefault="00F420E5">
      <w:pPr>
        <w:pStyle w:val="20"/>
        <w:spacing w:line="360" w:lineRule="exact"/>
        <w:rPr>
          <w:rFonts w:eastAsia="宋体" w:cs="宋体"/>
          <w:sz w:val="21"/>
          <w:szCs w:val="21"/>
        </w:rPr>
      </w:pPr>
      <w:r>
        <w:rPr>
          <w:rFonts w:ascii="Times New Roman" w:eastAsia="宋体" w:hAnsi="Times New Roman"/>
          <w:sz w:val="21"/>
          <w:szCs w:val="21"/>
        </w:rPr>
        <w:t>c</w:t>
      </w:r>
      <w:r>
        <w:rPr>
          <w:rFonts w:eastAsia="宋体" w:cs="宋体" w:hint="eastAsia"/>
          <w:sz w:val="21"/>
          <w:szCs w:val="21"/>
        </w:rPr>
        <w:t>）保护区开展生态体验活动应吸引当地居民参与，实现保护区与当地居民惠益共享。</w:t>
      </w:r>
    </w:p>
    <w:p w:rsidR="00C15A2F" w:rsidRDefault="00C15A2F">
      <w:pPr>
        <w:pStyle w:val="20"/>
        <w:spacing w:line="360" w:lineRule="exact"/>
        <w:ind w:firstLine="440"/>
        <w:rPr>
          <w:rFonts w:ascii="Times New Roman" w:hAnsi="Times New Roman"/>
          <w:szCs w:val="21"/>
          <w:shd w:val="clear" w:color="FFFFFF" w:fill="D9D9D9"/>
        </w:rPr>
      </w:pPr>
    </w:p>
    <w:p w:rsidR="00C15A2F" w:rsidRDefault="00F420E5">
      <w:pPr>
        <w:ind w:firstLineChars="1300" w:firstLine="3120"/>
      </w:pPr>
      <w:r>
        <w:rPr>
          <w:sz w:val="24"/>
          <w:u w:val="single"/>
        </w:rPr>
        <w:t xml:space="preserve">                   </w:t>
      </w:r>
      <w:bookmarkEnd w:id="2"/>
    </w:p>
    <w:sectPr w:rsidR="00C15A2F">
      <w:pgSz w:w="11906" w:h="16838"/>
      <w:pgMar w:top="1417"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0E5" w:rsidRDefault="00F420E5">
      <w:pPr>
        <w:spacing w:after="0"/>
      </w:pPr>
      <w:r>
        <w:separator/>
      </w:r>
    </w:p>
  </w:endnote>
  <w:endnote w:type="continuationSeparator" w:id="0">
    <w:p w:rsidR="00F420E5" w:rsidRDefault="00F420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2</w:t>
    </w:r>
    <w:r>
      <w:rPr>
        <w:rStyle w:val="a8"/>
      </w:rPr>
      <w:fldChar w:fldCharType="end"/>
    </w:r>
  </w:p>
  <w:p w:rsidR="00C15A2F" w:rsidRDefault="00C15A2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f5"/>
      <w:rPr>
        <w:rStyle w:val="a8"/>
      </w:rPr>
    </w:pPr>
    <w:r>
      <w:rPr>
        <w:rStyle w:val="a8"/>
      </w:rPr>
      <w:fldChar w:fldCharType="begin"/>
    </w:r>
    <w:r>
      <w:rPr>
        <w:rStyle w:val="a8"/>
      </w:rPr>
      <w:instrText xml:space="preserve">PAGE  </w:instrText>
    </w:r>
    <w:r>
      <w:rPr>
        <w:rStyle w:val="a8"/>
      </w:rPr>
      <w:fldChar w:fldCharType="separate"/>
    </w:r>
    <w:r>
      <w:rPr>
        <w:rStyle w:val="a8"/>
      </w:rPr>
      <w:t>10</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5"/>
      <w:jc w:val="both"/>
    </w:pPr>
    <w:r>
      <w:rPr>
        <w:rStyle w:val="a8"/>
      </w:rPr>
      <w:fldChar w:fldCharType="begin"/>
    </w:r>
    <w:r>
      <w:rPr>
        <w:rStyle w:val="a8"/>
      </w:rPr>
      <w:instrText xml:space="preserve"> PAGE </w:instrText>
    </w:r>
    <w:r>
      <w:rPr>
        <w:rStyle w:val="a8"/>
      </w:rPr>
      <w:fldChar w:fldCharType="separate"/>
    </w:r>
    <w:r>
      <w:rPr>
        <w:rStyle w:val="a8"/>
      </w:rPr>
      <w:t>4</w:t>
    </w:r>
    <w:r>
      <w:rPr>
        <w:rStyle w:val="a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f5"/>
      <w:rPr>
        <w:rStyle w:val="a8"/>
      </w:rPr>
    </w:pPr>
    <w:r>
      <w:rPr>
        <w:rStyle w:val="a8"/>
      </w:rPr>
      <w:fldChar w:fldCharType="begin"/>
    </w:r>
    <w:r>
      <w:rPr>
        <w:rStyle w:val="a8"/>
      </w:rPr>
      <w:instrText xml:space="preserve">PAGE  </w:instrText>
    </w:r>
    <w:r>
      <w:rPr>
        <w:rStyle w:val="a8"/>
      </w:rPr>
      <w:fldChar w:fldCharType="separate"/>
    </w:r>
    <w:r w:rsidR="00A7306D">
      <w:rPr>
        <w:rStyle w:val="a8"/>
        <w:noProof/>
      </w:rPr>
      <w:t>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0E5" w:rsidRDefault="00F420E5">
      <w:pPr>
        <w:spacing w:after="0"/>
      </w:pPr>
      <w:r>
        <w:separator/>
      </w:r>
    </w:p>
  </w:footnote>
  <w:footnote w:type="continuationSeparator" w:id="0">
    <w:p w:rsidR="00F420E5" w:rsidRDefault="00F420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r>
      <w:t>GB/T ××××—2008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f4"/>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jc w:val="right"/>
    </w:pPr>
    <w:r>
      <w:t>GB/T ××××—2008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A2F" w:rsidRDefault="00F420E5">
    <w:pPr>
      <w:pStyle w:val="a6"/>
      <w:pBdr>
        <w:bottom w:val="none" w:sz="0" w:space="0" w:color="auto"/>
      </w:pBdr>
      <w:wordWrap w:val="0"/>
      <w:ind w:right="210"/>
      <w:jc w:val="right"/>
      <w:rPr>
        <w:rFonts w:ascii="黑体" w:eastAsia="黑体" w:hAnsi="宋体"/>
        <w:sz w:val="21"/>
        <w:szCs w:val="21"/>
      </w:rPr>
    </w:pPr>
    <w:r>
      <w:rPr>
        <w:rFonts w:ascii="黑体" w:eastAsia="黑体" w:hint="eastAsia"/>
        <w:sz w:val="21"/>
        <w:szCs w:val="21"/>
      </w:rPr>
      <w:t>DB32/T    -20</w:t>
    </w:r>
    <w:r>
      <w:rPr>
        <w:rFonts w:ascii="黑体" w:eastAsia="黑体"/>
        <w:sz w:val="21"/>
        <w:szCs w:val="21"/>
      </w:rPr>
      <w:t>24</w:t>
    </w:r>
  </w:p>
  <w:p w:rsidR="00C15A2F" w:rsidRDefault="00F420E5">
    <w:pPr>
      <w:pStyle w:val="af6"/>
      <w:wordWrap w:val="0"/>
      <w:rPr>
        <w:rFonts w:ascii="黑体" w:eastAsia="黑体"/>
      </w:rPr>
    </w:pPr>
    <w:r>
      <w:rPr>
        <w:rFonts w:ascii="黑体" w:eastAsia="黑体"/>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B54C4"/>
    <w:multiLevelType w:val="singleLevel"/>
    <w:tmpl w:val="095B54C4"/>
    <w:lvl w:ilvl="0">
      <w:start w:val="1"/>
      <w:numFmt w:val="bullet"/>
      <w:pStyle w:val="a"/>
      <w:lvlText w:val=""/>
      <w:lvlJc w:val="left"/>
      <w:pPr>
        <w:ind w:left="420" w:hanging="420"/>
      </w:pPr>
      <w:rPr>
        <w:rFonts w:ascii="Wingdings" w:hAnsi="Wingdings" w:hint="default"/>
      </w:rPr>
    </w:lvl>
  </w:abstractNum>
  <w:abstractNum w:abstractNumId="1" w15:restartNumberingAfterBreak="0">
    <w:nsid w:val="6CEA2025"/>
    <w:multiLevelType w:val="multilevel"/>
    <w:tmpl w:val="6CEA2025"/>
    <w:lvl w:ilvl="0">
      <w:start w:val="1"/>
      <w:numFmt w:val="none"/>
      <w:suff w:val="nothing"/>
      <w:lvlText w:val="%1"/>
      <w:lvlJc w:val="left"/>
      <w:rPr>
        <w:rFonts w:ascii="Times New Roman" w:hAnsi="Times New Roman" w:cs="Times New Roman" w:hint="default"/>
        <w:b/>
        <w:i w:val="0"/>
        <w:sz w:val="21"/>
      </w:rPr>
    </w:lvl>
    <w:lvl w:ilvl="1">
      <w:start w:val="1"/>
      <w:numFmt w:val="decimal"/>
      <w:suff w:val="nothing"/>
      <w:lvlText w:val="%1%2　"/>
      <w:lvlJc w:val="left"/>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ZDBkZDgwY2Q5YzI1MjNiMjU1ZTA2ZWI1YTc2ZDIifQ=="/>
  </w:docVars>
  <w:rsids>
    <w:rsidRoot w:val="2055417D"/>
    <w:rsid w:val="00144F07"/>
    <w:rsid w:val="002E3B2A"/>
    <w:rsid w:val="00322E1E"/>
    <w:rsid w:val="003E1B26"/>
    <w:rsid w:val="0040526E"/>
    <w:rsid w:val="004A2DBD"/>
    <w:rsid w:val="006E5E28"/>
    <w:rsid w:val="0086381E"/>
    <w:rsid w:val="008E1B99"/>
    <w:rsid w:val="009879D7"/>
    <w:rsid w:val="009F1425"/>
    <w:rsid w:val="009F4C1B"/>
    <w:rsid w:val="00A70A38"/>
    <w:rsid w:val="00A7306D"/>
    <w:rsid w:val="00B1755E"/>
    <w:rsid w:val="00BF4727"/>
    <w:rsid w:val="00C15A2F"/>
    <w:rsid w:val="00CA70F8"/>
    <w:rsid w:val="00CD2A47"/>
    <w:rsid w:val="00D81219"/>
    <w:rsid w:val="00EE74C1"/>
    <w:rsid w:val="00F420E5"/>
    <w:rsid w:val="00F52311"/>
    <w:rsid w:val="00F77728"/>
    <w:rsid w:val="01210A8F"/>
    <w:rsid w:val="01E26C43"/>
    <w:rsid w:val="025263E9"/>
    <w:rsid w:val="0314780C"/>
    <w:rsid w:val="031E276F"/>
    <w:rsid w:val="03B45CAB"/>
    <w:rsid w:val="03FF005A"/>
    <w:rsid w:val="04052291"/>
    <w:rsid w:val="04355465"/>
    <w:rsid w:val="05DF4C89"/>
    <w:rsid w:val="08492E85"/>
    <w:rsid w:val="09FF232E"/>
    <w:rsid w:val="0A317BB6"/>
    <w:rsid w:val="0AC21C32"/>
    <w:rsid w:val="0BF10261"/>
    <w:rsid w:val="0D8213A6"/>
    <w:rsid w:val="0ECF5EA6"/>
    <w:rsid w:val="0ED96194"/>
    <w:rsid w:val="0EF835B3"/>
    <w:rsid w:val="0FBB3C96"/>
    <w:rsid w:val="0FFD0A7B"/>
    <w:rsid w:val="119B239A"/>
    <w:rsid w:val="11A529F2"/>
    <w:rsid w:val="11BF5CE0"/>
    <w:rsid w:val="121F7F17"/>
    <w:rsid w:val="122535D1"/>
    <w:rsid w:val="145060FE"/>
    <w:rsid w:val="149A2273"/>
    <w:rsid w:val="16A10EAF"/>
    <w:rsid w:val="175C7641"/>
    <w:rsid w:val="17980359"/>
    <w:rsid w:val="17F74799"/>
    <w:rsid w:val="17FC7D0B"/>
    <w:rsid w:val="181A5887"/>
    <w:rsid w:val="1A624B0A"/>
    <w:rsid w:val="1E9D53FC"/>
    <w:rsid w:val="1EB856DD"/>
    <w:rsid w:val="2055417D"/>
    <w:rsid w:val="20991085"/>
    <w:rsid w:val="213B1B76"/>
    <w:rsid w:val="220D067F"/>
    <w:rsid w:val="22244B28"/>
    <w:rsid w:val="229E2EDC"/>
    <w:rsid w:val="23D87F2A"/>
    <w:rsid w:val="26CA277C"/>
    <w:rsid w:val="2722102F"/>
    <w:rsid w:val="27C72CE8"/>
    <w:rsid w:val="280A2CD0"/>
    <w:rsid w:val="2C82771A"/>
    <w:rsid w:val="2CE0425D"/>
    <w:rsid w:val="2E051760"/>
    <w:rsid w:val="3028295C"/>
    <w:rsid w:val="318A0CB8"/>
    <w:rsid w:val="31CF3AF2"/>
    <w:rsid w:val="32F46A5C"/>
    <w:rsid w:val="351A4551"/>
    <w:rsid w:val="38CE756B"/>
    <w:rsid w:val="3984466D"/>
    <w:rsid w:val="3A6E2490"/>
    <w:rsid w:val="3AFA02B7"/>
    <w:rsid w:val="3C042CC1"/>
    <w:rsid w:val="3F61509E"/>
    <w:rsid w:val="3F915C6F"/>
    <w:rsid w:val="400B3158"/>
    <w:rsid w:val="400D04A0"/>
    <w:rsid w:val="414C5BAC"/>
    <w:rsid w:val="43086FC1"/>
    <w:rsid w:val="433B7A7E"/>
    <w:rsid w:val="443513BA"/>
    <w:rsid w:val="446F7A2D"/>
    <w:rsid w:val="456158B6"/>
    <w:rsid w:val="46A9217A"/>
    <w:rsid w:val="46B06807"/>
    <w:rsid w:val="4AEF092A"/>
    <w:rsid w:val="4E070B79"/>
    <w:rsid w:val="4E2B06C3"/>
    <w:rsid w:val="4F4E6E3E"/>
    <w:rsid w:val="4F62270B"/>
    <w:rsid w:val="52C30CD6"/>
    <w:rsid w:val="52CB6777"/>
    <w:rsid w:val="56AE0224"/>
    <w:rsid w:val="574E622B"/>
    <w:rsid w:val="57F30C49"/>
    <w:rsid w:val="581A1CA3"/>
    <w:rsid w:val="5A89437B"/>
    <w:rsid w:val="5C3F50FB"/>
    <w:rsid w:val="5C8D15D8"/>
    <w:rsid w:val="5CF967F3"/>
    <w:rsid w:val="5D2B4F43"/>
    <w:rsid w:val="5DBA7A36"/>
    <w:rsid w:val="5DBE6ED2"/>
    <w:rsid w:val="5E9E7590"/>
    <w:rsid w:val="5F2414B6"/>
    <w:rsid w:val="5F662BBE"/>
    <w:rsid w:val="5F69359F"/>
    <w:rsid w:val="62B52EEC"/>
    <w:rsid w:val="62C42875"/>
    <w:rsid w:val="632B6E8B"/>
    <w:rsid w:val="63E8113D"/>
    <w:rsid w:val="643823FC"/>
    <w:rsid w:val="64C44B44"/>
    <w:rsid w:val="64D85A38"/>
    <w:rsid w:val="699354F2"/>
    <w:rsid w:val="6AE12510"/>
    <w:rsid w:val="6B8C3C5C"/>
    <w:rsid w:val="6EEE446A"/>
    <w:rsid w:val="702C5FB9"/>
    <w:rsid w:val="705B2085"/>
    <w:rsid w:val="70BF17A1"/>
    <w:rsid w:val="71D00839"/>
    <w:rsid w:val="72395053"/>
    <w:rsid w:val="73A5338F"/>
    <w:rsid w:val="787B43B5"/>
    <w:rsid w:val="7A13782A"/>
    <w:rsid w:val="7A8A3879"/>
    <w:rsid w:val="7ABD06B1"/>
    <w:rsid w:val="7AE35BCF"/>
    <w:rsid w:val="7BF9577C"/>
    <w:rsid w:val="7D580819"/>
    <w:rsid w:val="7F116A99"/>
    <w:rsid w:val="7F3948E4"/>
    <w:rsid w:val="7F99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7B45533-174F-4BA4-987E-7CC15976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page number"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qFormat/>
    <w:pPr>
      <w:adjustRightInd w:val="0"/>
      <w:snapToGrid w:val="0"/>
      <w:spacing w:after="200"/>
    </w:pPr>
    <w:rPr>
      <w:rFonts w:ascii="Tahoma" w:eastAsia="微软雅黑" w:hAnsi="Tahoma"/>
      <w:sz w:val="22"/>
      <w:szCs w:val="22"/>
    </w:rPr>
  </w:style>
  <w:style w:type="paragraph" w:styleId="1">
    <w:name w:val="heading 1"/>
    <w:basedOn w:val="a0"/>
    <w:next w:val="a0"/>
    <w:qFormat/>
    <w:pPr>
      <w:keepNext/>
      <w:keepLines/>
      <w:spacing w:before="340" w:after="330" w:line="578" w:lineRule="auto"/>
      <w:outlineLvl w:val="0"/>
    </w:pPr>
    <w:rPr>
      <w:rFonts w:eastAsia="黑体"/>
      <w:b/>
      <w:bCs/>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pPr>
      <w:ind w:firstLineChars="200" w:firstLine="420"/>
    </w:pPr>
  </w:style>
  <w:style w:type="paragraph" w:styleId="a4">
    <w:name w:val="Body Text Indent"/>
    <w:basedOn w:val="a0"/>
    <w:pPr>
      <w:spacing w:after="120"/>
      <w:ind w:leftChars="200" w:left="420"/>
    </w:pPr>
  </w:style>
  <w:style w:type="paragraph" w:styleId="20">
    <w:name w:val="Body Text Indent 2"/>
    <w:basedOn w:val="a0"/>
    <w:pPr>
      <w:spacing w:line="276" w:lineRule="auto"/>
      <w:ind w:firstLineChars="200" w:firstLine="420"/>
    </w:pPr>
    <w:rPr>
      <w:rFonts w:ascii="宋体" w:hAnsi="宋体"/>
    </w:rPr>
  </w:style>
  <w:style w:type="paragraph" w:styleId="a5">
    <w:name w:val="footer"/>
    <w:basedOn w:val="a0"/>
    <w:uiPriority w:val="99"/>
    <w:unhideWhenUsed/>
    <w:qFormat/>
    <w:pPr>
      <w:tabs>
        <w:tab w:val="center" w:pos="4153"/>
        <w:tab w:val="right" w:pos="8306"/>
      </w:tabs>
    </w:pPr>
    <w:rPr>
      <w:sz w:val="18"/>
      <w:szCs w:val="18"/>
    </w:rPr>
  </w:style>
  <w:style w:type="paragraph" w:styleId="a6">
    <w:name w:val="header"/>
    <w:basedOn w:val="a0"/>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7">
    <w:name w:val="Normal (Web)"/>
    <w:basedOn w:val="a0"/>
    <w:qFormat/>
    <w:pPr>
      <w:spacing w:before="100" w:beforeAutospacing="1" w:after="100" w:afterAutospacing="1"/>
    </w:pPr>
    <w:rPr>
      <w:rFonts w:ascii="宋体" w:hAnsi="宋体"/>
      <w:sz w:val="24"/>
    </w:rPr>
  </w:style>
  <w:style w:type="character" w:styleId="a8">
    <w:name w:val="page number"/>
    <w:uiPriority w:val="99"/>
    <w:qFormat/>
    <w:rPr>
      <w:rFonts w:ascii="Times New Roman" w:eastAsia="宋体" w:hAnsi="Times New Roman"/>
      <w:sz w:val="18"/>
    </w:rPr>
  </w:style>
  <w:style w:type="paragraph" w:customStyle="1" w:styleId="a9">
    <w:name w:val="封面正文"/>
    <w:qFormat/>
    <w:pPr>
      <w:jc w:val="both"/>
    </w:pPr>
  </w:style>
  <w:style w:type="paragraph" w:customStyle="1" w:styleId="a">
    <w:name w:val="前言、引言标题"/>
    <w:next w:val="a0"/>
    <w:qFormat/>
    <w:pPr>
      <w:numPr>
        <w:numId w:val="1"/>
      </w:numPr>
      <w:shd w:val="clear" w:color="FFFFFF" w:fill="FFFFFF"/>
      <w:spacing w:before="640" w:after="560"/>
      <w:jc w:val="center"/>
      <w:outlineLvl w:val="0"/>
    </w:pPr>
    <w:rPr>
      <w:rFonts w:ascii="黑体" w:eastAsia="黑体"/>
      <w:sz w:val="32"/>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fontstyle01">
    <w:name w:val="fontstyle01"/>
    <w:qFormat/>
    <w:rPr>
      <w:rFonts w:ascii="宋体" w:eastAsia="宋体" w:hAnsi="宋体"/>
      <w:color w:val="000000"/>
      <w:sz w:val="22"/>
    </w:rPr>
  </w:style>
  <w:style w:type="paragraph" w:customStyle="1" w:styleId="ab">
    <w:name w:val="发布部门"/>
    <w:next w:val="aa"/>
    <w:pPr>
      <w:framePr w:w="7433" w:h="585" w:hRule="exact" w:hSpace="180" w:vSpace="180" w:wrap="around" w:hAnchor="margin" w:xAlign="center" w:y="14401" w:anchorLock="1"/>
      <w:jc w:val="center"/>
    </w:pPr>
    <w:rPr>
      <w:rFonts w:ascii="宋体"/>
      <w:b/>
      <w:spacing w:val="20"/>
      <w:w w:val="135"/>
      <w:sz w:val="36"/>
    </w:rPr>
  </w:style>
  <w:style w:type="character" w:customStyle="1" w:styleId="ac">
    <w:name w:val="发布"/>
    <w:qFormat/>
    <w:rPr>
      <w:rFonts w:ascii="黑体" w:eastAsia="黑体"/>
      <w:spacing w:val="22"/>
      <w:w w:val="100"/>
      <w:position w:val="3"/>
      <w:sz w:val="28"/>
    </w:rPr>
  </w:style>
  <w:style w:type="paragraph" w:customStyle="1" w:styleId="ad">
    <w:name w:val="标准标志"/>
    <w:next w:val="a0"/>
    <w:qFormat/>
    <w:pPr>
      <w:framePr w:w="2268" w:h="1392" w:hRule="exact" w:wrap="around" w:hAnchor="margin" w:x="6748" w:y="171" w:anchorLock="1"/>
      <w:shd w:val="solid" w:color="FFFFFF" w:fill="FFFFFF"/>
      <w:spacing w:line="240" w:lineRule="atLeast"/>
      <w:jc w:val="right"/>
    </w:pPr>
    <w:rPr>
      <w:b/>
      <w:w w:val="130"/>
      <w:sz w:val="96"/>
    </w:rPr>
  </w:style>
  <w:style w:type="paragraph" w:customStyle="1" w:styleId="ae">
    <w:name w:val="实施日期"/>
    <w:basedOn w:val="af"/>
    <w:qFormat/>
    <w:pPr>
      <w:framePr w:hSpace="0" w:wrap="around" w:xAlign="right"/>
      <w:jc w:val="right"/>
    </w:pPr>
  </w:style>
  <w:style w:type="paragraph" w:customStyle="1" w:styleId="af">
    <w:name w:val="发布日期"/>
    <w:qFormat/>
    <w:pPr>
      <w:framePr w:w="4000" w:h="473" w:hRule="exact" w:hSpace="180" w:vSpace="180" w:wrap="around" w:hAnchor="margin" w:y="13511" w:anchorLock="1"/>
    </w:pPr>
    <w:rPr>
      <w:rFonts w:eastAsia="黑体"/>
      <w:sz w:val="28"/>
    </w:rPr>
  </w:style>
  <w:style w:type="paragraph" w:customStyle="1" w:styleId="af0">
    <w:name w:val="封面标准英文名称"/>
    <w:qFormat/>
    <w:pPr>
      <w:widowControl w:val="0"/>
      <w:spacing w:before="370" w:line="400" w:lineRule="exact"/>
      <w:jc w:val="center"/>
    </w:pPr>
    <w:rPr>
      <w:sz w:val="28"/>
    </w:rPr>
  </w:style>
  <w:style w:type="paragraph" w:customStyle="1" w:styleId="af1">
    <w:name w:val="封面标准文稿类别"/>
    <w:qFormat/>
    <w:pPr>
      <w:spacing w:before="440" w:line="400" w:lineRule="exact"/>
      <w:jc w:val="center"/>
    </w:pPr>
    <w:rPr>
      <w:rFonts w:ascii="宋体"/>
      <w:sz w:val="24"/>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2">
    <w:name w:val="标准称谓"/>
    <w:next w:val="a0"/>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f3">
    <w:name w:val="文献分类号"/>
    <w:qFormat/>
    <w:pPr>
      <w:framePr w:hSpace="180" w:vSpace="180" w:wrap="around" w:hAnchor="margin" w:y="1" w:anchorLock="1"/>
      <w:widowControl w:val="0"/>
      <w:textAlignment w:val="center"/>
    </w:pPr>
    <w:rPr>
      <w:rFonts w:eastAsia="黑体"/>
      <w:sz w:val="21"/>
    </w:rPr>
  </w:style>
  <w:style w:type="paragraph" w:customStyle="1" w:styleId="af4">
    <w:name w:val="标准书眉一"/>
    <w:qFormat/>
    <w:pPr>
      <w:jc w:val="both"/>
    </w:pPr>
  </w:style>
  <w:style w:type="paragraph" w:customStyle="1" w:styleId="af5">
    <w:name w:val="标准书脚_奇数页"/>
    <w:qFormat/>
    <w:pPr>
      <w:spacing w:before="120"/>
      <w:jc w:val="right"/>
    </w:pPr>
    <w:rPr>
      <w:sz w:val="18"/>
    </w:rPr>
  </w:style>
  <w:style w:type="paragraph" w:customStyle="1" w:styleId="af6">
    <w:name w:val="标准书眉_奇数页"/>
    <w:next w:val="a0"/>
    <w:qFormat/>
    <w:pPr>
      <w:tabs>
        <w:tab w:val="center" w:pos="4154"/>
        <w:tab w:val="right" w:pos="8306"/>
      </w:tabs>
      <w:spacing w:after="120"/>
      <w:jc w:val="right"/>
    </w:pPr>
    <w:rPr>
      <w:sz w:val="21"/>
    </w:rPr>
  </w:style>
  <w:style w:type="paragraph" w:customStyle="1" w:styleId="Style2">
    <w:name w:val="_Style 2"/>
    <w:basedOn w:val="1"/>
    <w:next w:val="a0"/>
    <w:uiPriority w:val="39"/>
    <w:qFormat/>
    <w:pPr>
      <w:spacing w:before="240" w:after="0" w:line="259" w:lineRule="auto"/>
      <w:outlineLvl w:val="9"/>
    </w:pPr>
    <w:rPr>
      <w:rFonts w:ascii="等线 Light" w:eastAsia="等线 Light" w:hAnsi="等线 Light"/>
      <w:b w:val="0"/>
      <w:bCs w:val="0"/>
      <w:color w:val="2F5496"/>
      <w:sz w:val="32"/>
      <w:szCs w:val="32"/>
    </w:rPr>
  </w:style>
  <w:style w:type="paragraph" w:customStyle="1" w:styleId="af7">
    <w:name w:val="标准文件_段"/>
    <w:qFormat/>
    <w:pPr>
      <w:autoSpaceDE w:val="0"/>
      <w:autoSpaceDN w:val="0"/>
      <w:ind w:firstLineChars="200" w:firstLine="200"/>
      <w:jc w:val="both"/>
    </w:pPr>
    <w:rPr>
      <w:rFonts w:ascii="宋体" w:eastAsia="微软雅黑" w:hAnsi="Calibri"/>
      <w:sz w:val="21"/>
    </w:rPr>
  </w:style>
  <w:style w:type="paragraph" w:customStyle="1" w:styleId="af8">
    <w:name w:val="标准书脚_偶数页"/>
    <w:qFormat/>
    <w:pPr>
      <w:spacing w:before="12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686</Words>
  <Characters>3911</Characters>
  <Application>Microsoft Office Word</Application>
  <DocSecurity>0</DocSecurity>
  <Lines>32</Lines>
  <Paragraphs>9</Paragraphs>
  <ScaleCrop>false</ScaleCrop>
  <Company>xitongtiandi.net</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LYC</dc:creator>
  <cp:lastModifiedBy>Administrator</cp:lastModifiedBy>
  <cp:revision>22</cp:revision>
  <cp:lastPrinted>2024-01-28T08:30:00Z</cp:lastPrinted>
  <dcterms:created xsi:type="dcterms:W3CDTF">2022-08-16T08:46:00Z</dcterms:created>
  <dcterms:modified xsi:type="dcterms:W3CDTF">2024-04-07T02:51:00Z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75C3B53760FB429D99B172873184C351_13</vt:lpwstr>
  </property>
</Properties>
</file>